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MEETING RECORD  /  WEB APPLICATION SYSTEM BRIEF</w:t>
      </w:r>
    </w:p>
    <w:p>
      <w:pPr>
        <w:spacing w:after="440"/>
      </w:pPr>
      <w:r/>
    </w:p>
    <w:p>
      <w:pPr>
        <w:pStyle w:val="Title"/>
      </w:pPr>
      <w:r>
        <w:t>Partner-Campus</w:t>
        <w:br/>
        <w:t>Monitoring Dashboard</w:t>
      </w:r>
    </w:p>
    <w:p>
      <w:pPr>
        <w:pStyle w:val="Subtitle"/>
      </w:pPr>
      <w:r>
        <w:t>Comprehensive meeting recap</w:t>
        <w:br/>
        <w:t>and dedicated whole-system section</w:t>
      </w:r>
    </w:p>
    <w:p>
      <w:pPr>
        <w:spacing w:after="300"/>
      </w:pPr>
      <w:r/>
    </w:p>
    <w:p>
      <w:pPr>
        <w:pStyle w:val="Heading2"/>
      </w:pPr>
      <w:r>
        <w:t>DEB working context • “Putih” benchmark</w:t>
      </w:r>
    </w:p>
    <w:p>
      <w:r>
        <w:t>A structured record of the discussion on monitoring partner-campus progress, managing proposal revisions, and supporting program communication.</w:t>
      </w:r>
    </w:p>
    <w:p>
      <w:pPr>
        <w:spacing w:after="280"/>
      </w:pPr>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5256"/>
        <w:gridCol w:w="4435"/>
      </w:tblGrid>
      <w:tr>
        <w:trPr>
          <w:tblHeader/>
        </w:trPr>
        <w:tc>
          <w:tcPr>
            <w:tcW w:type="dxa" w:w="5256"/>
            <w:vAlign w:val="center"/>
            <w:shd w:fill="183247"/>
          </w:tcPr>
          <w:p>
            <w:pPr>
              <w:pStyle w:val="TableText"/>
              <w:keepNext/>
            </w:pPr>
            <w:r>
              <w:rPr>
                <w:b/>
                <w:color w:val="FFFFFF"/>
                <w:sz w:val="19"/>
              </w:rPr>
              <w:t>MEETING SOURCE</w:t>
            </w:r>
          </w:p>
        </w:tc>
        <w:tc>
          <w:tcPr>
            <w:tcW w:type="dxa" w:w="4435"/>
            <w:vAlign w:val="center"/>
            <w:shd w:fill="183247"/>
          </w:tcPr>
          <w:p>
            <w:pPr>
              <w:pStyle w:val="TableText"/>
              <w:keepNext/>
            </w:pPr>
            <w:r>
              <w:rPr>
                <w:b/>
                <w:color w:val="FFFFFF"/>
                <w:sz w:val="19"/>
              </w:rPr>
              <w:t>DOCUMENT STATUS</w:t>
            </w:r>
          </w:p>
        </w:tc>
      </w:tr>
      <w:tr>
        <w:trPr>
          <w:cantSplit/>
        </w:trPr>
        <w:tc>
          <w:tcPr>
            <w:tcW w:type="dxa" w:w="5256"/>
            <w:vAlign w:val="top"/>
            <w:shd w:fill="F5F8FA"/>
          </w:tcPr>
          <w:p>
            <w:pPr>
              <w:pStyle w:val="TableText"/>
            </w:pPr>
            <w:r>
              <w:rPr>
                <w:sz w:val="19"/>
              </w:rPr>
              <w:t>8 September, as stated in the recording filename.</w:t>
              <w:br/>
              <w:t>The meeting year is not recorded in the transcript.</w:t>
            </w:r>
          </w:p>
        </w:tc>
        <w:tc>
          <w:tcPr>
            <w:tcW w:type="dxa" w:w="4435"/>
            <w:vAlign w:val="top"/>
            <w:shd w:fill="F5F8FA"/>
          </w:tcPr>
          <w:p>
            <w:pPr>
              <w:pStyle w:val="TableText"/>
            </w:pPr>
            <w:r>
              <w:rPr>
                <w:sz w:val="19"/>
              </w:rPr>
              <w:t>Prepared: 8 September 2026</w:t>
              <w:br/>
              <w:t>Version 1.0 • For stakeholder review</w:t>
            </w:r>
          </w:p>
        </w:tc>
      </w:tr>
      <w:tr>
        <w:trPr>
          <w:cantSplit/>
        </w:trPr>
        <w:tc>
          <w:tcPr>
            <w:tcW w:type="dxa" w:w="5256"/>
            <w:vAlign w:val="top"/>
          </w:tcPr>
          <w:p>
            <w:pPr>
              <w:pStyle w:val="TableText"/>
            </w:pPr>
            <w:r>
              <w:rPr>
                <w:sz w:val="19"/>
              </w:rPr>
              <w:t>Recording: Rapat mas Seto DEB 08 September.mp4</w:t>
              <w:br/>
              <w:t>Transcript duration: 25 minutes 18 seconds.</w:t>
            </w:r>
          </w:p>
        </w:tc>
        <w:tc>
          <w:tcPr>
            <w:tcW w:type="dxa" w:w="4435"/>
            <w:vAlign w:val="top"/>
          </w:tcPr>
          <w:p>
            <w:pPr>
              <w:pStyle w:val="TableText"/>
            </w:pPr>
            <w:r>
              <w:rPr>
                <w:sz w:val="19"/>
              </w:rPr>
              <w:t>Basis: the supplied transcript(2).json only.</w:t>
              <w:br/>
              <w:t>No external requirements or technical stack assumed.</w:t>
            </w:r>
          </w:p>
        </w:tc>
      </w:tr>
    </w:tbl>
    <w:p>
      <w:pPr>
        <w:spacing w:after="20"/>
      </w:pPr>
      <w:r/>
    </w:p>
    <w:p>
      <w:pPr>
        <w:spacing w:before="120" w:after="180"/>
        <w:ind w:left="187" w:right="144"/>
        <w:shd w:fill="EDF4F6"/>
        <w:pBdr>
          <w:left w:val="single" w:sz="18" w:space="8" w:color="156C78"/>
        </w:pBdr>
      </w:pPr>
      <w:r/>
      <w:r>
        <w:rPr>
          <w:b/>
        </w:rPr>
        <w:t xml:space="preserve">Central outcome  </w:t>
      </w:r>
      <w:r>
        <w:t>The discussion converged on three core modules—proposal versions, indicator monitoring, and Q&amp;A—with a separate data-feedback / ticket workflow. The near-term deliverable is a mockup, not an agreed production launch.</w:t>
      </w:r>
    </w:p>
    <w:p>
      <w:pPr>
        <w:pStyle w:val="Evidence"/>
      </w:pPr>
      <w:r>
        <w:t>Source: Closing recap, 21:36–23:18 [T15]; mockup discussion, 13:13–14:24 [T09].</w:t>
      </w:r>
    </w:p>
    <w:p>
      <w:pPr>
        <w:pStyle w:val="Kicker"/>
      </w:pPr>
      <w:r>
        <w:t>READING NOTE</w:t>
      </w:r>
    </w:p>
    <w:p>
      <w:pPr>
        <w:pStyle w:val="Small"/>
      </w:pPr>
      <w:r>
        <w:t>“Dedicated section” is used here for the requested web-app system coverage. Part I records what the meeting discussed. Part II translates those discussions into a traceable system brief, with unresolved choices kept explicit.</w:t>
      </w:r>
    </w:p>
    <w:p>
      <w:r>
        <w:br w:type="page"/>
      </w:r>
    </w:p>
    <w:p>
      <w:pPr>
        <w:pStyle w:val="Kicker"/>
      </w:pPr>
      <w:r>
        <w:t>OVERVIEW</w:t>
      </w:r>
    </w:p>
    <w:p>
      <w:bookmarkStart w:id="1" w:name="overview"/>
      <w:pPr>
        <w:pStyle w:val="Heading1"/>
      </w:pPr>
      <w:r>
        <w:t>Executive summary &amp; reading guide</w:t>
      </w:r>
      <w:bookmarkEnd w:id="1"/>
    </w:p>
    <w:p>
      <w:r>
        <w:t>The proposed application is a monitoring and evaluation workspace for 40 existing partner campuses. Its purpose is to reveal each campus’s position against the Holding’s “Putih” criteria, identify bottlenecks, and support preparation and continued revision of proposals. A subset of 12 campuses is being accelerated because its existing results were described as stronger. [T01, T05, T12]</w:t>
      </w:r>
    </w:p>
    <w:p>
      <w:r>
        <w:t>Campuses are expected to maintain their own data and proposal files. PF administrators need a cross-campus view, downloadable recaps, the ability to answer questions, and a separate mechanism to request and review data corrections. The meeting explicitly did not introduce a scoring or judging function. [T05–T07]</w:t>
      </w:r>
    </w:p>
    <w:p>
      <w:r>
        <w:t>The request is urgent: a mockup is wanted for a Friday FGD, preferably reviewed on Wednesday or Thursday. Operational monitoring was requested for the third week of September, with reporting for the 12 accelerated campuses by the third week of October and a program horizon through December. These are meeting-stated targets, not a confirmed delivery contract. [T09, T12, T16]</w:t>
      </w:r>
    </w:p>
    <w:p>
      <w:pPr>
        <w:pStyle w:val="Heading2"/>
      </w:pPr>
      <w:r>
        <w:t>How to read status labels</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987"/>
        <w:gridCol w:w="7704"/>
      </w:tblGrid>
      <w:tr>
        <w:trPr>
          <w:tblHeader/>
        </w:trPr>
        <w:tc>
          <w:tcPr>
            <w:tcW w:type="dxa" w:w="1987"/>
            <w:vAlign w:val="center"/>
            <w:shd w:fill="183247"/>
          </w:tcPr>
          <w:p>
            <w:pPr>
              <w:pStyle w:val="TableText"/>
              <w:keepNext/>
            </w:pPr>
            <w:r>
              <w:rPr>
                <w:b/>
                <w:color w:val="FFFFFF"/>
                <w:sz w:val="18"/>
              </w:rPr>
              <w:t>Label</w:t>
            </w:r>
          </w:p>
        </w:tc>
        <w:tc>
          <w:tcPr>
            <w:tcW w:type="dxa" w:w="7704"/>
            <w:vAlign w:val="center"/>
            <w:shd w:fill="183247"/>
          </w:tcPr>
          <w:p>
            <w:pPr>
              <w:pStyle w:val="TableText"/>
              <w:keepNext/>
            </w:pPr>
            <w:r>
              <w:rPr>
                <w:b/>
                <w:color w:val="FFFFFF"/>
                <w:sz w:val="18"/>
              </w:rPr>
              <w:t>Meaning in this document</w:t>
            </w:r>
          </w:p>
        </w:tc>
      </w:tr>
      <w:tr>
        <w:trPr>
          <w:cantSplit/>
        </w:trPr>
        <w:tc>
          <w:tcPr>
            <w:tcW w:type="dxa" w:w="1987"/>
            <w:vAlign w:val="top"/>
            <w:shd w:fill="F5F8FA"/>
          </w:tcPr>
          <w:p>
            <w:pPr>
              <w:pStyle w:val="TableText"/>
            </w:pPr>
            <w:r>
              <w:rPr>
                <w:sz w:val="18"/>
              </w:rPr>
              <w:t>Agreed direction</w:t>
            </w:r>
          </w:p>
        </w:tc>
        <w:tc>
          <w:tcPr>
            <w:tcW w:type="dxa" w:w="7704"/>
            <w:vAlign w:val="top"/>
            <w:shd w:fill="F5F8FA"/>
          </w:tcPr>
          <w:p>
            <w:pPr>
              <w:pStyle w:val="TableText"/>
            </w:pPr>
            <w:r>
              <w:rPr>
                <w:sz w:val="18"/>
              </w:rPr>
              <w:t>An explicit choice or clear convergence in the discussion; not formal contractual approval.</w:t>
            </w:r>
          </w:p>
        </w:tc>
      </w:tr>
      <w:tr>
        <w:trPr>
          <w:cantSplit/>
        </w:trPr>
        <w:tc>
          <w:tcPr>
            <w:tcW w:type="dxa" w:w="1987"/>
            <w:vAlign w:val="top"/>
          </w:tcPr>
          <w:p>
            <w:pPr>
              <w:pStyle w:val="TableText"/>
            </w:pPr>
            <w:r>
              <w:rPr>
                <w:sz w:val="18"/>
              </w:rPr>
              <w:t>Requested</w:t>
            </w:r>
          </w:p>
        </w:tc>
        <w:tc>
          <w:tcPr>
            <w:tcW w:type="dxa" w:w="7704"/>
            <w:vAlign w:val="top"/>
          </w:tcPr>
          <w:p>
            <w:pPr>
              <w:pStyle w:val="TableText"/>
            </w:pPr>
            <w:r>
              <w:rPr>
                <w:sz w:val="18"/>
              </w:rPr>
              <w:t>A stated need or target whose delivery details are not fully committed.</w:t>
            </w:r>
          </w:p>
        </w:tc>
      </w:tr>
      <w:tr>
        <w:trPr>
          <w:cantSplit/>
        </w:trPr>
        <w:tc>
          <w:tcPr>
            <w:tcW w:type="dxa" w:w="1987"/>
            <w:vAlign w:val="top"/>
            <w:shd w:fill="F5F8FA"/>
          </w:tcPr>
          <w:p>
            <w:pPr>
              <w:pStyle w:val="TableText"/>
            </w:pPr>
            <w:r>
              <w:rPr>
                <w:sz w:val="18"/>
              </w:rPr>
              <w:t>Suggested / conditional</w:t>
            </w:r>
          </w:p>
        </w:tc>
        <w:tc>
          <w:tcPr>
            <w:tcW w:type="dxa" w:w="7704"/>
            <w:vAlign w:val="top"/>
            <w:shd w:fill="F5F8FA"/>
          </w:tcPr>
          <w:p>
            <w:pPr>
              <w:pStyle w:val="TableText"/>
            </w:pPr>
            <w:r>
              <w:rPr>
                <w:sz w:val="18"/>
              </w:rPr>
              <w:t>An optional idea, preference, or enhancement raised in discussion.</w:t>
            </w:r>
          </w:p>
        </w:tc>
      </w:tr>
      <w:tr>
        <w:trPr>
          <w:cantSplit/>
        </w:trPr>
        <w:tc>
          <w:tcPr>
            <w:tcW w:type="dxa" w:w="1987"/>
            <w:vAlign w:val="top"/>
          </w:tcPr>
          <w:p>
            <w:pPr>
              <w:pStyle w:val="TableText"/>
            </w:pPr>
            <w:r>
              <w:rPr>
                <w:sz w:val="18"/>
              </w:rPr>
              <w:t>Derived / open</w:t>
            </w:r>
          </w:p>
        </w:tc>
        <w:tc>
          <w:tcPr>
            <w:tcW w:type="dxa" w:w="7704"/>
            <w:vAlign w:val="top"/>
          </w:tcPr>
          <w:p>
            <w:pPr>
              <w:pStyle w:val="TableText"/>
            </w:pPr>
            <w:r>
              <w:rPr>
                <w:sz w:val="18"/>
              </w:rPr>
              <w:t>An editorial system interpretation, or a decision the transcript does not resolve.</w:t>
            </w:r>
          </w:p>
        </w:tc>
      </w:tr>
    </w:tbl>
    <w:p>
      <w:pPr>
        <w:spacing w:after="20"/>
      </w:pPr>
      <w:r/>
    </w:p>
    <w:p>
      <w:pPr>
        <w:pStyle w:val="Heading2"/>
      </w:pPr>
      <w:r>
        <w:t>Document map</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2304"/>
        <w:gridCol w:w="6451"/>
        <w:gridCol w:w="936"/>
      </w:tblGrid>
      <w:tr>
        <w:trPr>
          <w:tblHeader/>
        </w:trPr>
        <w:tc>
          <w:tcPr>
            <w:tcW w:type="dxa" w:w="2304"/>
            <w:vAlign w:val="center"/>
            <w:shd w:fill="183247"/>
          </w:tcPr>
          <w:p>
            <w:pPr>
              <w:pStyle w:val="TableText"/>
              <w:keepNext/>
            </w:pPr>
            <w:r>
              <w:rPr>
                <w:b/>
                <w:color w:val="FFFFFF"/>
                <w:sz w:val="18"/>
              </w:rPr>
              <w:t>Part</w:t>
            </w:r>
          </w:p>
        </w:tc>
        <w:tc>
          <w:tcPr>
            <w:tcW w:type="dxa" w:w="6451"/>
            <w:vAlign w:val="center"/>
            <w:shd w:fill="183247"/>
          </w:tcPr>
          <w:p>
            <w:pPr>
              <w:pStyle w:val="TableText"/>
              <w:keepNext/>
            </w:pPr>
            <w:r>
              <w:rPr>
                <w:b/>
                <w:color w:val="FFFFFF"/>
                <w:sz w:val="18"/>
              </w:rPr>
              <w:t>Coverage</w:t>
            </w:r>
          </w:p>
        </w:tc>
        <w:tc>
          <w:tcPr>
            <w:tcW w:type="dxa" w:w="936"/>
            <w:vAlign w:val="center"/>
            <w:shd w:fill="183247"/>
          </w:tcPr>
          <w:p>
            <w:pPr>
              <w:pStyle w:val="TableText"/>
              <w:keepNext/>
            </w:pPr>
            <w:r>
              <w:rPr>
                <w:b/>
                <w:color w:val="FFFFFF"/>
                <w:sz w:val="18"/>
              </w:rPr>
              <w:t>Pages</w:t>
            </w:r>
          </w:p>
        </w:tc>
      </w:tr>
      <w:tr>
        <w:trPr>
          <w:cantSplit/>
        </w:trPr>
        <w:tc>
          <w:tcPr>
            <w:tcW w:type="dxa" w:w="2304"/>
            <w:vAlign w:val="top"/>
            <w:shd w:fill="F5F8FA"/>
          </w:tcPr>
          <w:p>
            <w:pPr>
              <w:pStyle w:val="TableText"/>
            </w:pPr>
            <w:r>
              <w:rPr>
                <w:sz w:val="18"/>
              </w:rPr>
              <w:t>I • Meeting recap</w:t>
            </w:r>
          </w:p>
        </w:tc>
        <w:tc>
          <w:tcPr>
            <w:tcW w:type="dxa" w:w="6451"/>
            <w:vAlign w:val="top"/>
            <w:shd w:fill="F5F8FA"/>
          </w:tcPr>
          <w:p>
            <w:pPr>
              <w:pStyle w:val="TableText"/>
            </w:pPr>
            <w:r>
              <w:rPr>
                <w:sz w:val="18"/>
              </w:rPr>
              <w:t>Context and access; core modules; communication; schedule and budget; decisions; actions and risks.</w:t>
            </w:r>
          </w:p>
        </w:tc>
        <w:tc>
          <w:tcPr>
            <w:tcW w:type="dxa" w:w="936"/>
            <w:vAlign w:val="top"/>
            <w:shd w:fill="F5F8FA"/>
          </w:tcPr>
          <w:p>
            <w:pPr>
              <w:pStyle w:val="TableText"/>
            </w:pPr>
            <w:r>
              <w:rPr>
                <w:sz w:val="18"/>
              </w:rPr>
              <w:t>3–8</w:t>
            </w:r>
          </w:p>
        </w:tc>
      </w:tr>
      <w:tr>
        <w:trPr>
          <w:cantSplit/>
        </w:trPr>
        <w:tc>
          <w:tcPr>
            <w:tcW w:type="dxa" w:w="2304"/>
            <w:vAlign w:val="top"/>
          </w:tcPr>
          <w:p>
            <w:pPr>
              <w:pStyle w:val="TableText"/>
            </w:pPr>
            <w:r>
              <w:rPr>
                <w:sz w:val="18"/>
              </w:rPr>
              <w:t>II • Dedicated web-app system section</w:t>
            </w:r>
          </w:p>
        </w:tc>
        <w:tc>
          <w:tcPr>
            <w:tcW w:type="dxa" w:w="6451"/>
            <w:vAlign w:val="top"/>
          </w:tcPr>
          <w:p>
            <w:pPr>
              <w:pStyle w:val="TableText"/>
            </w:pPr>
            <w:r>
              <w:rPr>
                <w:sz w:val="18"/>
              </w:rPr>
              <w:t>Scope and roles; functional requirements; workflows; data; acceptance checks; unresolved technical and business decisions.</w:t>
            </w:r>
          </w:p>
        </w:tc>
        <w:tc>
          <w:tcPr>
            <w:tcW w:type="dxa" w:w="936"/>
            <w:vAlign w:val="top"/>
          </w:tcPr>
          <w:p>
            <w:pPr>
              <w:pStyle w:val="TableText"/>
            </w:pPr>
            <w:r>
              <w:rPr>
                <w:sz w:val="18"/>
              </w:rPr>
              <w:t>9–15</w:t>
            </w:r>
          </w:p>
        </w:tc>
      </w:tr>
      <w:tr>
        <w:trPr>
          <w:cantSplit/>
        </w:trPr>
        <w:tc>
          <w:tcPr>
            <w:tcW w:type="dxa" w:w="2304"/>
            <w:vAlign w:val="top"/>
            <w:shd w:fill="F5F8FA"/>
          </w:tcPr>
          <w:p>
            <w:pPr>
              <w:pStyle w:val="TableText"/>
            </w:pPr>
            <w:r>
              <w:rPr>
                <w:sz w:val="18"/>
              </w:rPr>
              <w:t>Source register</w:t>
            </w:r>
          </w:p>
        </w:tc>
        <w:tc>
          <w:tcPr>
            <w:tcW w:type="dxa" w:w="6451"/>
            <w:vAlign w:val="top"/>
            <w:shd w:fill="F5F8FA"/>
          </w:tcPr>
          <w:p>
            <w:pPr>
              <w:pStyle w:val="TableText"/>
            </w:pPr>
            <w:r>
              <w:rPr>
                <w:sz w:val="18"/>
              </w:rPr>
              <w:t>Timestamp references, terminology cautions, and limits of the source.</w:t>
            </w:r>
          </w:p>
        </w:tc>
        <w:tc>
          <w:tcPr>
            <w:tcW w:type="dxa" w:w="936"/>
            <w:vAlign w:val="top"/>
            <w:shd w:fill="F5F8FA"/>
          </w:tcPr>
          <w:p>
            <w:pPr>
              <w:pStyle w:val="TableText"/>
            </w:pPr>
            <w:r>
              <w:rPr>
                <w:sz w:val="18"/>
              </w:rPr>
              <w:t>16</w:t>
            </w:r>
          </w:p>
        </w:tc>
      </w:tr>
    </w:tbl>
    <w:p>
      <w:pPr>
        <w:spacing w:after="20"/>
      </w:pPr>
      <w:r/>
    </w:p>
    <w:p>
      <w:pPr>
        <w:pStyle w:val="Heading2"/>
      </w:pPr>
      <w:r>
        <w:t>Evidence and limitations</w:t>
      </w:r>
    </w:p>
    <w:p>
      <w:pPr>
        <w:pStyle w:val="Small"/>
      </w:pPr>
      <w:r>
        <w:t>References such as [T03] point to recording offsets in the source register. The JSON contains no speaker labels, verified attendee roster, or calendar year. The master Excel, proposal template, and promised requirements slides were not supplied. Their unseen contents are not reconstructed here. Names and ambiguous acronyms are not treated as verified facts.</w:t>
      </w:r>
    </w:p>
    <w:p>
      <w:r>
        <w:br w:type="page"/>
      </w:r>
    </w:p>
    <w:p>
      <w:pPr>
        <w:pStyle w:val="Kicker"/>
      </w:pPr>
      <w:r>
        <w:t>PART I • MEETING RECAP</w:t>
      </w:r>
    </w:p>
    <w:p>
      <w:bookmarkStart w:id="2" w:name="recap_context"/>
      <w:pPr>
        <w:pStyle w:val="Heading1"/>
      </w:pPr>
      <w:r>
        <w:t>1. Purpose, users &amp; application boundary</w:t>
      </w:r>
      <w:bookmarkEnd w:id="2"/>
    </w:p>
    <w:p>
      <w:pPr>
        <w:pStyle w:val="Heading2"/>
      </w:pPr>
      <w:r>
        <w:t>1.1 Business objective</w:t>
      </w:r>
    </w:p>
    <w:p>
      <w:r>
        <w:t>The program team needs visibility into the progress of 40 partner campuses toward the lowest “Putih” category discussed in the meeting. Criteria were said to come from Holding. The team wants to understand where campuses are blocked, see how far they remain from the benchmark, and use that information when campuses prepare proposals for potential adoption. [T01]</w:t>
      </w:r>
    </w:p>
    <w:p>
      <w:r>
        <w:t>This makes the dashboard an operational monitoring tool rather than just a document repository. The intended relationship is: campus updates its position, the program team identifies gaps, the campus progresses and refines its proposal, and administrators follow up where necessary. This sequence is a synthesis of the discussion, not a formally approved process map. [T01, T04, T07]</w:t>
      </w:r>
    </w:p>
    <w:p>
      <w:pPr>
        <w:pStyle w:val="Heading2"/>
      </w:pPr>
      <w:r>
        <w:t>1.2 Intended users and access model</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901"/>
        <w:gridCol w:w="4248"/>
        <w:gridCol w:w="3542"/>
      </w:tblGrid>
      <w:tr>
        <w:trPr>
          <w:tblHeader/>
        </w:trPr>
        <w:tc>
          <w:tcPr>
            <w:tcW w:type="dxa" w:w="1901"/>
            <w:vAlign w:val="center"/>
            <w:shd w:fill="183247"/>
          </w:tcPr>
          <w:p>
            <w:pPr>
              <w:pStyle w:val="TableText"/>
              <w:keepNext/>
            </w:pPr>
            <w:r>
              <w:rPr>
                <w:b/>
                <w:color w:val="FFFFFF"/>
                <w:sz w:val="18"/>
              </w:rPr>
              <w:t>Stakeholder</w:t>
            </w:r>
          </w:p>
        </w:tc>
        <w:tc>
          <w:tcPr>
            <w:tcW w:type="dxa" w:w="4248"/>
            <w:vAlign w:val="center"/>
            <w:shd w:fill="183247"/>
          </w:tcPr>
          <w:p>
            <w:pPr>
              <w:pStyle w:val="TableText"/>
              <w:keepNext/>
            </w:pPr>
            <w:r>
              <w:rPr>
                <w:b/>
                <w:color w:val="FFFFFF"/>
                <w:sz w:val="18"/>
              </w:rPr>
              <w:t>Meeting position</w:t>
            </w:r>
          </w:p>
        </w:tc>
        <w:tc>
          <w:tcPr>
            <w:tcW w:type="dxa" w:w="3542"/>
            <w:vAlign w:val="center"/>
            <w:shd w:fill="183247"/>
          </w:tcPr>
          <w:p>
            <w:pPr>
              <w:pStyle w:val="TableText"/>
              <w:keepNext/>
            </w:pPr>
            <w:r>
              <w:rPr>
                <w:b/>
                <w:color w:val="FFFFFF"/>
                <w:sz w:val="18"/>
              </w:rPr>
              <w:t>Qualification</w:t>
            </w:r>
          </w:p>
        </w:tc>
      </w:tr>
      <w:tr>
        <w:trPr>
          <w:cantSplit/>
        </w:trPr>
        <w:tc>
          <w:tcPr>
            <w:tcW w:type="dxa" w:w="1901"/>
            <w:vAlign w:val="top"/>
            <w:shd w:fill="F5F8FA"/>
          </w:tcPr>
          <w:p>
            <w:pPr>
              <w:pStyle w:val="TableText"/>
            </w:pPr>
            <w:r>
              <w:rPr>
                <w:sz w:val="18"/>
              </w:rPr>
              <w:t>Partner campuses</w:t>
            </w:r>
          </w:p>
        </w:tc>
        <w:tc>
          <w:tcPr>
            <w:tcW w:type="dxa" w:w="4248"/>
            <w:vAlign w:val="top"/>
            <w:shd w:fill="F5F8FA"/>
          </w:tcPr>
          <w:p>
            <w:pPr>
              <w:pStyle w:val="TableText"/>
            </w:pPr>
            <w:r>
              <w:rPr>
                <w:sz w:val="18"/>
              </w:rPr>
              <w:t>Existing partners receive accounts; one campus has one account. Each campus updates its data and proposals.</w:t>
            </w:r>
          </w:p>
        </w:tc>
        <w:tc>
          <w:tcPr>
            <w:tcW w:type="dxa" w:w="3542"/>
            <w:vAlign w:val="top"/>
            <w:shd w:fill="F5F8FA"/>
          </w:tcPr>
          <w:p>
            <w:pPr>
              <w:pStyle w:val="TableText"/>
            </w:pPr>
            <w:r>
              <w:rPr>
                <w:sz w:val="18"/>
              </w:rPr>
              <w:t>40 campuses were discussed. Multiple individual accounts per campus were not agreed.</w:t>
            </w:r>
          </w:p>
        </w:tc>
      </w:tr>
      <w:tr>
        <w:trPr>
          <w:cantSplit/>
        </w:trPr>
        <w:tc>
          <w:tcPr>
            <w:tcW w:type="dxa" w:w="1901"/>
            <w:vAlign w:val="top"/>
          </w:tcPr>
          <w:p>
            <w:pPr>
              <w:pStyle w:val="TableText"/>
            </w:pPr>
            <w:r>
              <w:rPr>
                <w:sz w:val="18"/>
              </w:rPr>
              <w:t>PF / program administrators</w:t>
            </w:r>
          </w:p>
        </w:tc>
        <w:tc>
          <w:tcPr>
            <w:tcW w:type="dxa" w:w="4248"/>
            <w:vAlign w:val="top"/>
          </w:tcPr>
          <w:p>
            <w:pPr>
              <w:pStyle w:val="TableText"/>
            </w:pPr>
            <w:r>
              <w:rPr>
                <w:sz w:val="18"/>
              </w:rPr>
              <w:t>View all campus data, monitor progress, answer questions, provide feedback, and download the recap.</w:t>
            </w:r>
          </w:p>
        </w:tc>
        <w:tc>
          <w:tcPr>
            <w:tcW w:type="dxa" w:w="3542"/>
            <w:vAlign w:val="top"/>
          </w:tcPr>
          <w:p>
            <w:pPr>
              <w:pStyle w:val="TableText"/>
            </w:pPr>
            <w:r>
              <w:rPr>
                <w:sz w:val="18"/>
              </w:rPr>
              <w:t>No separate scoring or judging activity was requested.</w:t>
            </w:r>
          </w:p>
        </w:tc>
      </w:tr>
      <w:tr>
        <w:trPr>
          <w:cantSplit/>
        </w:trPr>
        <w:tc>
          <w:tcPr>
            <w:tcW w:type="dxa" w:w="1901"/>
            <w:vAlign w:val="top"/>
            <w:shd w:fill="F5F8FA"/>
          </w:tcPr>
          <w:p>
            <w:pPr>
              <w:pStyle w:val="TableText"/>
            </w:pPr>
            <w:r>
              <w:rPr>
                <w:sz w:val="18"/>
              </w:rPr>
              <w:t>“DMM” master account</w:t>
            </w:r>
          </w:p>
        </w:tc>
        <w:tc>
          <w:tcPr>
            <w:tcW w:type="dxa" w:w="4248"/>
            <w:vAlign w:val="top"/>
            <w:shd w:fill="F5F8FA"/>
          </w:tcPr>
          <w:p>
            <w:pPr>
              <w:pStyle w:val="TableText"/>
            </w:pPr>
            <w:r>
              <w:rPr>
                <w:sz w:val="18"/>
              </w:rPr>
              <w:t>A master account for the party transcribed as DMM was mentioned.</w:t>
            </w:r>
          </w:p>
        </w:tc>
        <w:tc>
          <w:tcPr>
            <w:tcW w:type="dxa" w:w="3542"/>
            <w:vAlign w:val="top"/>
            <w:shd w:fill="F5F8FA"/>
          </w:tcPr>
          <w:p>
            <w:pPr>
              <w:pStyle w:val="TableText"/>
            </w:pPr>
            <w:r>
              <w:rPr>
                <w:sz w:val="18"/>
              </w:rPr>
              <w:t>Identity, permission boundaries, and whether this is a separate role remain unclear.</w:t>
            </w:r>
          </w:p>
        </w:tc>
      </w:tr>
      <w:tr>
        <w:trPr>
          <w:cantSplit/>
        </w:trPr>
        <w:tc>
          <w:tcPr>
            <w:tcW w:type="dxa" w:w="1901"/>
            <w:vAlign w:val="top"/>
          </w:tcPr>
          <w:p>
            <w:pPr>
              <w:pStyle w:val="TableText"/>
            </w:pPr>
            <w:r>
              <w:rPr>
                <w:sz w:val="18"/>
              </w:rPr>
              <w:t>Lecturers / additional campus monitors</w:t>
            </w:r>
          </w:p>
        </w:tc>
        <w:tc>
          <w:tcPr>
            <w:tcW w:type="dxa" w:w="4248"/>
            <w:vAlign w:val="top"/>
          </w:tcPr>
          <w:p>
            <w:pPr>
              <w:pStyle w:val="TableText"/>
            </w:pPr>
            <w:r>
              <w:rPr>
                <w:sz w:val="18"/>
              </w:rPr>
              <w:t>Additional monitoring access was raised.</w:t>
            </w:r>
          </w:p>
        </w:tc>
        <w:tc>
          <w:tcPr>
            <w:tcW w:type="dxa" w:w="3542"/>
            <w:vAlign w:val="top"/>
          </w:tcPr>
          <w:p>
            <w:pPr>
              <w:pStyle w:val="TableText"/>
            </w:pPr>
            <w:r>
              <w:rPr>
                <w:sz w:val="18"/>
              </w:rPr>
              <w:t>Deferred as a possible later update; not an initial commitment.</w:t>
            </w:r>
          </w:p>
        </w:tc>
      </w:tr>
      <w:tr>
        <w:trPr>
          <w:cantSplit/>
        </w:trPr>
        <w:tc>
          <w:tcPr>
            <w:tcW w:type="dxa" w:w="1901"/>
            <w:vAlign w:val="top"/>
            <w:shd w:fill="F5F8FA"/>
          </w:tcPr>
          <w:p>
            <w:pPr>
              <w:pStyle w:val="TableText"/>
            </w:pPr>
            <w:r>
              <w:rPr>
                <w:sz w:val="18"/>
              </w:rPr>
              <w:t>Holding</w:t>
            </w:r>
          </w:p>
        </w:tc>
        <w:tc>
          <w:tcPr>
            <w:tcW w:type="dxa" w:w="4248"/>
            <w:vAlign w:val="top"/>
            <w:shd w:fill="F5F8FA"/>
          </w:tcPr>
          <w:p>
            <w:pPr>
              <w:pStyle w:val="TableText"/>
            </w:pPr>
            <w:r>
              <w:rPr>
                <w:sz w:val="18"/>
              </w:rPr>
              <w:t>Provides the criteria and is part of the proposal-adoption context.</w:t>
            </w:r>
          </w:p>
        </w:tc>
        <w:tc>
          <w:tcPr>
            <w:tcW w:type="dxa" w:w="3542"/>
            <w:vAlign w:val="top"/>
            <w:shd w:fill="F5F8FA"/>
          </w:tcPr>
          <w:p>
            <w:pPr>
              <w:pStyle w:val="TableText"/>
            </w:pPr>
            <w:r>
              <w:rPr>
                <w:sz w:val="18"/>
              </w:rPr>
              <w:t>No Holding user account or direct system integration was agreed.</w:t>
            </w:r>
          </w:p>
        </w:tc>
      </w:tr>
    </w:tbl>
    <w:p>
      <w:pPr>
        <w:spacing w:after="20"/>
      </w:pPr>
      <w:r/>
    </w:p>
    <w:p>
      <w:pPr>
        <w:pStyle w:val="Evidence"/>
      </w:pPr>
      <w:r>
        <w:t>Source: Purpose [T01]; accounts and visibility [T05]; administrator responsibilities [T06].</w:t>
      </w:r>
    </w:p>
    <w:p>
      <w:pPr>
        <w:pStyle w:val="Heading2"/>
      </w:pPr>
      <w:r>
        <w:t>1.3 Separate from registration</w:t>
      </w:r>
    </w:p>
    <w:p>
      <w:r>
        <w:t>The participants favored a separate application for monitoring and evaluation, rather than combining it with the registration website. The discussion describes users entering monitoring after the registration / selection stage and favors a separate application for each program to retain flexibility. [T08]</w:t>
      </w:r>
    </w:p>
    <w:p>
      <w:pPr>
        <w:spacing w:before="120" w:after="180"/>
        <w:ind w:left="187" w:right="144"/>
        <w:shd w:fill="EDF4F6"/>
        <w:pBdr>
          <w:left w:val="single" w:sz="18" w:space="8" w:color="156C78"/>
        </w:pBdr>
      </w:pPr>
      <w:r/>
      <w:r>
        <w:rPr>
          <w:b/>
        </w:rPr>
        <w:t xml:space="preserve">Architecture caution  </w:t>
      </w:r>
      <w:r>
        <w:t>The words “monolit,” “microservice,” and “silo” were used conversationally. They do not establish an approved microservices architecture, deployment topology, integration contract, or technology stack. The supported decision is product separation from registration. [T08]</w:t>
      </w:r>
    </w:p>
    <w:p>
      <w:r>
        <w:br w:type="page"/>
      </w:r>
    </w:p>
    <w:p>
      <w:pPr>
        <w:pStyle w:val="Kicker"/>
      </w:pPr>
      <w:r>
        <w:t>PART I • MEETING RECAP</w:t>
      </w:r>
    </w:p>
    <w:p>
      <w:bookmarkStart w:id="3" w:name="recap_core"/>
      <w:pPr>
        <w:pStyle w:val="Heading1"/>
      </w:pPr>
      <w:r>
        <w:t>2. Proposal versions &amp; indicator monitoring</w:t>
      </w:r>
      <w:bookmarkEnd w:id="3"/>
    </w:p>
    <w:p>
      <w:pPr>
        <w:pStyle w:val="Heading2"/>
      </w:pPr>
      <w:r>
        <w:t>2.1 Proposal management: options and chosen direction</w:t>
      </w:r>
    </w:p>
    <w:p>
      <w:r>
        <w:t>Two alternatives were discussed: a structured online form that could be exported into a proposal, or file uploads that preserve successive revisions. The team noted the need to retain the required proposal format and the possible complexity of converting form responses into that format. [T03]</w:t>
      </w:r>
    </w:p>
    <w:p>
      <w:r>
        <w:t>The discussion then settled on versioned uploads. A campus uploads version 1, later uploads version 2, and the older version remains available. Users should be able to open the different versions rather than lose the earlier file. The opening discussion also requested that the proposal submission area stay available continuously. [T01, T03]</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4349"/>
        <w:gridCol w:w="5342"/>
      </w:tblGrid>
      <w:tr>
        <w:trPr>
          <w:tblHeader/>
        </w:trPr>
        <w:tc>
          <w:tcPr>
            <w:tcW w:type="dxa" w:w="4349"/>
            <w:vAlign w:val="center"/>
            <w:shd w:fill="183247"/>
          </w:tcPr>
          <w:p>
            <w:pPr>
              <w:pStyle w:val="TableText"/>
              <w:keepNext/>
            </w:pPr>
            <w:r>
              <w:rPr>
                <w:b/>
                <w:color w:val="FFFFFF"/>
                <w:sz w:val="18"/>
              </w:rPr>
              <w:t>Captured requirement</w:t>
            </w:r>
          </w:p>
        </w:tc>
        <w:tc>
          <w:tcPr>
            <w:tcW w:type="dxa" w:w="5342"/>
            <w:vAlign w:val="center"/>
            <w:shd w:fill="183247"/>
          </w:tcPr>
          <w:p>
            <w:pPr>
              <w:pStyle w:val="TableText"/>
              <w:keepNext/>
            </w:pPr>
            <w:r>
              <w:rPr>
                <w:b/>
                <w:color w:val="FFFFFF"/>
                <w:sz w:val="18"/>
              </w:rPr>
              <w:t>Boundary / unresolved detail</w:t>
            </w:r>
          </w:p>
        </w:tc>
      </w:tr>
      <w:tr>
        <w:trPr>
          <w:cantSplit/>
        </w:trPr>
        <w:tc>
          <w:tcPr>
            <w:tcW w:type="dxa" w:w="4349"/>
            <w:vAlign w:val="top"/>
            <w:shd w:fill="F5F8FA"/>
          </w:tcPr>
          <w:p>
            <w:pPr>
              <w:pStyle w:val="TableText"/>
            </w:pPr>
            <w:r>
              <w:rPr>
                <w:sz w:val="18"/>
              </w:rPr>
              <w:t>Upload and revise proposals through a version history.</w:t>
            </w:r>
          </w:p>
        </w:tc>
        <w:tc>
          <w:tcPr>
            <w:tcW w:type="dxa" w:w="5342"/>
            <w:vAlign w:val="top"/>
            <w:shd w:fill="F5F8FA"/>
          </w:tcPr>
          <w:p>
            <w:pPr>
              <w:pStyle w:val="TableText"/>
            </w:pPr>
            <w:r>
              <w:rPr>
                <w:sz w:val="18"/>
              </w:rPr>
              <w:t>“Editable” was resolved through re-uploading versions; an in-browser Word editor was not agreed.</w:t>
            </w:r>
          </w:p>
        </w:tc>
      </w:tr>
      <w:tr>
        <w:trPr>
          <w:cantSplit/>
        </w:trPr>
        <w:tc>
          <w:tcPr>
            <w:tcW w:type="dxa" w:w="4349"/>
            <w:vAlign w:val="top"/>
          </w:tcPr>
          <w:p>
            <w:pPr>
              <w:pStyle w:val="TableText"/>
            </w:pPr>
            <w:r>
              <w:rPr>
                <w:sz w:val="18"/>
              </w:rPr>
              <w:t>Retain and access earlier versions.</w:t>
            </w:r>
          </w:p>
        </w:tc>
        <w:tc>
          <w:tcPr>
            <w:tcW w:type="dxa" w:w="5342"/>
            <w:vAlign w:val="top"/>
          </w:tcPr>
          <w:p>
            <w:pPr>
              <w:pStyle w:val="TableText"/>
            </w:pPr>
            <w:r>
              <w:rPr>
                <w:sz w:val="18"/>
              </w:rPr>
              <w:t>Automated text comparison, rollback behavior, deletion rules, and version limits were not specified.</w:t>
            </w:r>
          </w:p>
        </w:tc>
      </w:tr>
      <w:tr>
        <w:trPr>
          <w:cantSplit/>
        </w:trPr>
        <w:tc>
          <w:tcPr>
            <w:tcW w:type="dxa" w:w="4349"/>
            <w:vAlign w:val="top"/>
            <w:shd w:fill="F5F8FA"/>
          </w:tcPr>
          <w:p>
            <w:pPr>
              <w:pStyle w:val="TableText"/>
            </w:pPr>
            <w:r>
              <w:rPr>
                <w:sz w:val="18"/>
              </w:rPr>
              <w:t>Follow the required proposal format.</w:t>
            </w:r>
          </w:p>
        </w:tc>
        <w:tc>
          <w:tcPr>
            <w:tcW w:type="dxa" w:w="5342"/>
            <w:vAlign w:val="top"/>
            <w:shd w:fill="F5F8FA"/>
          </w:tcPr>
          <w:p>
            <w:pPr>
              <w:pStyle w:val="TableText"/>
            </w:pPr>
            <w:r>
              <w:rPr>
                <w:sz w:val="18"/>
              </w:rPr>
              <w:t>The actual template, accepted extensions, file-size limit, and completeness checks were not supplied.</w:t>
            </w:r>
          </w:p>
        </w:tc>
      </w:tr>
      <w:tr>
        <w:trPr>
          <w:cantSplit/>
        </w:trPr>
        <w:tc>
          <w:tcPr>
            <w:tcW w:type="dxa" w:w="4349"/>
            <w:vAlign w:val="top"/>
          </w:tcPr>
          <w:p>
            <w:pPr>
              <w:pStyle w:val="TableText"/>
            </w:pPr>
            <w:r>
              <w:rPr>
                <w:sz w:val="18"/>
              </w:rPr>
              <w:t>Keep the upload area open over time.</w:t>
            </w:r>
          </w:p>
        </w:tc>
        <w:tc>
          <w:tcPr>
            <w:tcW w:type="dxa" w:w="5342"/>
            <w:vAlign w:val="top"/>
          </w:tcPr>
          <w:p>
            <w:pPr>
              <w:pStyle w:val="TableText"/>
            </w:pPr>
            <w:r>
              <w:rPr>
                <w:sz w:val="18"/>
              </w:rPr>
              <w:t>No application-level cutoff, approval sequence, or locking rule was defined.</w:t>
            </w:r>
          </w:p>
        </w:tc>
      </w:tr>
    </w:tbl>
    <w:p>
      <w:pPr>
        <w:spacing w:after="20"/>
      </w:pPr>
      <w:r/>
    </w:p>
    <w:p>
      <w:pPr>
        <w:pStyle w:val="Heading2"/>
      </w:pPr>
      <w:r>
        <w:t>2.2 Monitoring against the “Putih” benchmark</w:t>
      </w:r>
    </w:p>
    <w:p>
      <w:r>
        <w:t>Campuses are expected to enter and update indicator data based on the master Excel discussed in the meeting. The important display requirement is to show the benchmark or target alongside the campus’s current position, making the remaining gap visible. A red indicator was used as an example of being below target. Updates should be made whenever the underlying situation changes. [T04]</w:t>
      </w:r>
    </w:p>
    <w:p>
      <w:r>
        <w:t>Examples included capacity expressed as “KWP” and an income-related comparison between a target of 10 million and a current figure transcribed as “7,9.” These are conversational illustrations, not approved threshold values, units, reporting periods, or formulas. The master Excel was acknowledged to be incomplete, and the program representative said calculation details and targets would be sent to IT. [T04]</w:t>
      </w:r>
    </w:p>
    <w:p>
      <w:pPr>
        <w:spacing w:before="120" w:after="180"/>
        <w:ind w:left="187" w:right="144"/>
        <w:shd w:fill="EDF4F6"/>
        <w:pBdr>
          <w:left w:val="single" w:sz="18" w:space="8" w:color="156C78"/>
        </w:pBdr>
      </w:pPr>
      <w:r/>
      <w:r>
        <w:rPr>
          <w:b/>
        </w:rPr>
        <w:t xml:space="preserve">Do not hard-code the examples  </w:t>
      </w:r>
      <w:r>
        <w:t>The system needs the actual indicator list, data definitions, units, target values, and calculation rules before readiness calculations can be implemented reliably. The transcript alone does not define a valid overall readiness score. [T04]</w:t>
      </w:r>
    </w:p>
    <w:p>
      <w:pPr>
        <w:pStyle w:val="Evidence"/>
      </w:pPr>
      <w:r>
        <w:t>Source: Proposal alternatives and agreement, 03:06–05:53 [T03]; indicator requirements, 07:52–09:26 [T04].</w:t>
      </w:r>
    </w:p>
    <w:p>
      <w:r>
        <w:br w:type="page"/>
      </w:r>
    </w:p>
    <w:p>
      <w:pPr>
        <w:pStyle w:val="Kicker"/>
      </w:pPr>
      <w:r>
        <w:t>PART I • MEETING RECAP</w:t>
      </w:r>
    </w:p>
    <w:p>
      <w:bookmarkStart w:id="4" w:name="recap_communication"/>
      <w:pPr>
        <w:pStyle w:val="Heading1"/>
      </w:pPr>
      <w:r>
        <w:t>3. Communication, feedback &amp; reporting</w:t>
      </w:r>
      <w:bookmarkEnd w:id="4"/>
    </w:p>
    <w:p>
      <w:pPr>
        <w:pStyle w:val="Heading2"/>
      </w:pPr>
      <w:r>
        <w:t>3.1 Q&amp;A: a shared forum, not a live support chat</w:t>
      </w:r>
    </w:p>
    <w:p>
      <w:r>
        <w:t>The initial idea was a question-and-reply area similar to social-media comments. Participants explored private versus shared interaction and ultimately moved toward a forum where questions and answers are visible to other users. The requester explicitly distinguished this from an ongoing customer-service chat. [T02]</w:t>
      </w:r>
    </w:p>
    <w:p>
      <w:r>
        <w:t>Search was requested so users can find existing answers. Curating repeated or useful answers into an FAQ was suggested. A popularity-based ordering idea was also raised, but the transcript does not establish the exact mechanism or whether it would use likes, votes, or something else. [T02]</w:t>
      </w:r>
    </w:p>
    <w:p>
      <w:pPr>
        <w:spacing w:before="120" w:after="180"/>
        <w:ind w:left="187" w:right="144"/>
        <w:shd w:fill="EDF4F6"/>
        <w:pBdr>
          <w:left w:val="single" w:sz="18" w:space="8" w:color="156C78"/>
        </w:pBdr>
      </w:pPr>
      <w:r/>
      <w:r>
        <w:rPr>
          <w:b/>
        </w:rPr>
        <w:t xml:space="preserve">Audience remains unresolved  </w:t>
      </w:r>
      <w:r>
        <w:t>The discussion refers both to invited account holders and an “open” or “public” forum. It supports shared Q&amp;A, but does not settle whether anonymous internet visitors may read or participate. That boundary must be confirmed before release. [T02, T05]</w:t>
      </w:r>
    </w:p>
    <w:p>
      <w:pPr>
        <w:pStyle w:val="Heading2"/>
      </w:pPr>
      <w:r>
        <w:t>3.2 Data feedback is a separate workflow</w:t>
      </w:r>
    </w:p>
    <w:p>
      <w:r>
        <w:t>The program representative added a need to comment when campus progress or data needs attention. A clarification established that this feedback concerns the monitoring data, not the proposal file. It is also separate from the general Q&amp;A forum. [T07]</w:t>
      </w:r>
    </w:p>
    <w:p>
      <w:r>
        <w:t>The interaction was described as a ticket: an administrator asks for a correction or update; the campus receives the request and updates the data; the administrator is notified, checks the result, and can request another revision. The closing recap repeated this as an additional feature with conditional wording. The workflow is therefore a captured requirement, while its inclusion in the first delivery remains to be confirmed. [T07, T15]</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2275"/>
        <w:gridCol w:w="3456"/>
        <w:gridCol w:w="3960"/>
      </w:tblGrid>
      <w:tr>
        <w:trPr>
          <w:tblHeader/>
        </w:trPr>
        <w:tc>
          <w:tcPr>
            <w:tcW w:type="dxa" w:w="2275"/>
            <w:vAlign w:val="center"/>
            <w:shd w:fill="183247"/>
          </w:tcPr>
          <w:p>
            <w:pPr>
              <w:pStyle w:val="TableText"/>
              <w:keepNext/>
            </w:pPr>
            <w:r>
              <w:rPr>
                <w:b/>
                <w:color w:val="FFFFFF"/>
                <w:sz w:val="18"/>
              </w:rPr>
              <w:t>Communication area</w:t>
            </w:r>
          </w:p>
        </w:tc>
        <w:tc>
          <w:tcPr>
            <w:tcW w:type="dxa" w:w="3456"/>
            <w:vAlign w:val="center"/>
            <w:shd w:fill="183247"/>
          </w:tcPr>
          <w:p>
            <w:pPr>
              <w:pStyle w:val="TableText"/>
              <w:keepNext/>
            </w:pPr>
            <w:r>
              <w:rPr>
                <w:b/>
                <w:color w:val="FFFFFF"/>
                <w:sz w:val="18"/>
              </w:rPr>
              <w:t>Primary purpose</w:t>
            </w:r>
          </w:p>
        </w:tc>
        <w:tc>
          <w:tcPr>
            <w:tcW w:type="dxa" w:w="3960"/>
            <w:vAlign w:val="center"/>
            <w:shd w:fill="183247"/>
          </w:tcPr>
          <w:p>
            <w:pPr>
              <w:pStyle w:val="TableText"/>
              <w:keepNext/>
            </w:pPr>
            <w:r>
              <w:rPr>
                <w:b/>
                <w:color w:val="FFFFFF"/>
                <w:sz w:val="18"/>
              </w:rPr>
              <w:t>Unresolved detail</w:t>
            </w:r>
          </w:p>
        </w:tc>
      </w:tr>
      <w:tr>
        <w:trPr>
          <w:cantSplit/>
        </w:trPr>
        <w:tc>
          <w:tcPr>
            <w:tcW w:type="dxa" w:w="2275"/>
            <w:vAlign w:val="top"/>
            <w:shd w:fill="F5F8FA"/>
          </w:tcPr>
          <w:p>
            <w:pPr>
              <w:pStyle w:val="TableText"/>
            </w:pPr>
            <w:r>
              <w:rPr>
                <w:sz w:val="18"/>
              </w:rPr>
              <w:t>Shared Q&amp;A</w:t>
            </w:r>
          </w:p>
        </w:tc>
        <w:tc>
          <w:tcPr>
            <w:tcW w:type="dxa" w:w="3456"/>
            <w:vAlign w:val="top"/>
            <w:shd w:fill="F5F8FA"/>
          </w:tcPr>
          <w:p>
            <w:pPr>
              <w:pStyle w:val="TableText"/>
            </w:pPr>
            <w:r>
              <w:rPr>
                <w:sz w:val="18"/>
              </w:rPr>
              <w:t>Ask and answer reusable program questions.</w:t>
            </w:r>
          </w:p>
        </w:tc>
        <w:tc>
          <w:tcPr>
            <w:tcW w:type="dxa" w:w="3960"/>
            <w:vAlign w:val="top"/>
            <w:shd w:fill="F5F8FA"/>
          </w:tcPr>
          <w:p>
            <w:pPr>
              <w:pStyle w:val="TableText"/>
            </w:pPr>
            <w:r>
              <w:rPr>
                <w:sz w:val="18"/>
              </w:rPr>
              <w:t>Public visibility, reply permissions, moderation, FAQ curation, and popularity ordering.</w:t>
            </w:r>
          </w:p>
        </w:tc>
      </w:tr>
      <w:tr>
        <w:trPr>
          <w:cantSplit/>
        </w:trPr>
        <w:tc>
          <w:tcPr>
            <w:tcW w:type="dxa" w:w="2275"/>
            <w:vAlign w:val="top"/>
          </w:tcPr>
          <w:p>
            <w:pPr>
              <w:pStyle w:val="TableText"/>
            </w:pPr>
            <w:r>
              <w:rPr>
                <w:sz w:val="18"/>
              </w:rPr>
              <w:t>Campus data feedback / ticket</w:t>
            </w:r>
          </w:p>
        </w:tc>
        <w:tc>
          <w:tcPr>
            <w:tcW w:type="dxa" w:w="3456"/>
            <w:vAlign w:val="top"/>
          </w:tcPr>
          <w:p>
            <w:pPr>
              <w:pStyle w:val="TableText"/>
            </w:pPr>
            <w:r>
              <w:rPr>
                <w:sz w:val="18"/>
              </w:rPr>
              <w:t>Request, track, and review a particular campus’s data correction.</w:t>
            </w:r>
          </w:p>
        </w:tc>
        <w:tc>
          <w:tcPr>
            <w:tcW w:type="dxa" w:w="3960"/>
            <w:vAlign w:val="top"/>
          </w:tcPr>
          <w:p>
            <w:pPr>
              <w:pStyle w:val="TableText"/>
            </w:pPr>
            <w:r>
              <w:rPr>
                <w:sz w:val="18"/>
              </w:rPr>
              <w:t>Ticket states, closure rules, response deadlines, and first-release inclusion.</w:t>
            </w:r>
          </w:p>
        </w:tc>
      </w:tr>
      <w:tr>
        <w:trPr>
          <w:cantSplit/>
        </w:trPr>
        <w:tc>
          <w:tcPr>
            <w:tcW w:type="dxa" w:w="2275"/>
            <w:vAlign w:val="top"/>
            <w:shd w:fill="F5F8FA"/>
          </w:tcPr>
          <w:p>
            <w:pPr>
              <w:pStyle w:val="TableText"/>
            </w:pPr>
            <w:r>
              <w:rPr>
                <w:sz w:val="18"/>
              </w:rPr>
              <w:t>Notifications</w:t>
            </w:r>
          </w:p>
        </w:tc>
        <w:tc>
          <w:tcPr>
            <w:tcW w:type="dxa" w:w="3456"/>
            <w:vAlign w:val="top"/>
            <w:shd w:fill="F5F8FA"/>
          </w:tcPr>
          <w:p>
            <w:pPr>
              <w:pStyle w:val="TableText"/>
            </w:pPr>
            <w:r>
              <w:rPr>
                <w:sz w:val="18"/>
              </w:rPr>
              <w:t>Alert the campus to feedback and alert administrators after an update.</w:t>
            </w:r>
          </w:p>
        </w:tc>
        <w:tc>
          <w:tcPr>
            <w:tcW w:type="dxa" w:w="3960"/>
            <w:vAlign w:val="top"/>
            <w:shd w:fill="F5F8FA"/>
          </w:tcPr>
          <w:p>
            <w:pPr>
              <w:pStyle w:val="TableText"/>
            </w:pPr>
            <w:r>
              <w:rPr>
                <w:sz w:val="18"/>
              </w:rPr>
              <w:t>Email and in-app options were discussed; exact channels and trigger rules were not finalized.</w:t>
            </w:r>
          </w:p>
        </w:tc>
      </w:tr>
    </w:tbl>
    <w:p>
      <w:pPr>
        <w:spacing w:after="20"/>
      </w:pPr>
      <w:r/>
    </w:p>
    <w:p>
      <w:pPr>
        <w:pStyle w:val="Heading2"/>
      </w:pPr>
      <w:r>
        <w:t>3.3 Dashboard recap and export</w:t>
      </w:r>
    </w:p>
    <w:p>
      <w:r>
        <w:t>PF needs an overview across campuses, the ability to inspect their latest positions, and a downloadable recap. No output template, export format, filter specification, report schedule, or automatic distribution rule was agreed. Monitoring against a target should not be presented as an unrequested scoring or competition feature. [T05, T06]</w:t>
      </w:r>
    </w:p>
    <w:p>
      <w:r>
        <w:br w:type="page"/>
      </w:r>
    </w:p>
    <w:p>
      <w:pPr>
        <w:pStyle w:val="Kicker"/>
      </w:pPr>
      <w:r>
        <w:t>PART I • MEETING RECAP</w:t>
      </w:r>
    </w:p>
    <w:p>
      <w:bookmarkStart w:id="5" w:name="recap_delivery"/>
      <w:pPr>
        <w:pStyle w:val="Heading1"/>
      </w:pPr>
      <w:r>
        <w:t>4. Delivery expectations, capacity &amp; funding</w:t>
      </w:r>
      <w:bookmarkEnd w:id="5"/>
    </w:p>
    <w:p>
      <w:pPr>
        <w:pStyle w:val="Heading2"/>
      </w:pPr>
      <w:r>
        <w:t>4.1 Timeline stated in the meeting</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2016"/>
        <w:gridCol w:w="2477"/>
        <w:gridCol w:w="5198"/>
      </w:tblGrid>
      <w:tr>
        <w:trPr>
          <w:tblHeader/>
        </w:trPr>
        <w:tc>
          <w:tcPr>
            <w:tcW w:type="dxa" w:w="2016"/>
            <w:vAlign w:val="center"/>
            <w:shd w:fill="183247"/>
          </w:tcPr>
          <w:p>
            <w:pPr>
              <w:pStyle w:val="TableText"/>
              <w:keepNext/>
            </w:pPr>
            <w:r>
              <w:rPr>
                <w:b/>
                <w:color w:val="FFFFFF"/>
                <w:sz w:val="18"/>
              </w:rPr>
              <w:t>Milestone</w:t>
            </w:r>
          </w:p>
        </w:tc>
        <w:tc>
          <w:tcPr>
            <w:tcW w:type="dxa" w:w="2477"/>
            <w:vAlign w:val="center"/>
            <w:shd w:fill="183247"/>
          </w:tcPr>
          <w:p>
            <w:pPr>
              <w:pStyle w:val="TableText"/>
              <w:keepNext/>
            </w:pPr>
            <w:r>
              <w:rPr>
                <w:b/>
                <w:color w:val="FFFFFF"/>
                <w:sz w:val="18"/>
              </w:rPr>
              <w:t>Timing as stated</w:t>
            </w:r>
          </w:p>
        </w:tc>
        <w:tc>
          <w:tcPr>
            <w:tcW w:type="dxa" w:w="5198"/>
            <w:vAlign w:val="center"/>
            <w:shd w:fill="183247"/>
          </w:tcPr>
          <w:p>
            <w:pPr>
              <w:pStyle w:val="TableText"/>
              <w:keepNext/>
            </w:pPr>
            <w:r>
              <w:rPr>
                <w:b/>
                <w:color w:val="FFFFFF"/>
                <w:sz w:val="18"/>
              </w:rPr>
              <w:t>Commitment / caveat</w:t>
            </w:r>
          </w:p>
        </w:tc>
      </w:tr>
      <w:tr>
        <w:trPr>
          <w:cantSplit/>
        </w:trPr>
        <w:tc>
          <w:tcPr>
            <w:tcW w:type="dxa" w:w="2016"/>
            <w:vAlign w:val="top"/>
            <w:shd w:fill="F5F8FA"/>
          </w:tcPr>
          <w:p>
            <w:pPr>
              <w:pStyle w:val="TableText"/>
            </w:pPr>
            <w:r>
              <w:rPr>
                <w:sz w:val="18"/>
              </w:rPr>
              <w:t>Program requirements package</w:t>
            </w:r>
          </w:p>
        </w:tc>
        <w:tc>
          <w:tcPr>
            <w:tcW w:type="dxa" w:w="2477"/>
            <w:vAlign w:val="top"/>
            <w:shd w:fill="F5F8FA"/>
          </w:tcPr>
          <w:p>
            <w:pPr>
              <w:pStyle w:val="TableText"/>
            </w:pPr>
            <w:r>
              <w:rPr>
                <w:sz w:val="18"/>
              </w:rPr>
              <w:t>“Tonight” after the meeting.</w:t>
            </w:r>
          </w:p>
        </w:tc>
        <w:tc>
          <w:tcPr>
            <w:tcW w:type="dxa" w:w="5198"/>
            <w:vAlign w:val="top"/>
            <w:shd w:fill="F5F8FA"/>
          </w:tcPr>
          <w:p>
            <w:pPr>
              <w:pStyle w:val="TableText"/>
            </w:pPr>
            <w:r>
              <w:rPr>
                <w:sz w:val="18"/>
              </w:rPr>
              <w:t>Program representative to prepare requirements slides with Excel-related data and guidance. [T14]</w:t>
            </w:r>
          </w:p>
        </w:tc>
      </w:tr>
      <w:tr>
        <w:trPr>
          <w:cantSplit/>
        </w:trPr>
        <w:tc>
          <w:tcPr>
            <w:tcW w:type="dxa" w:w="2016"/>
            <w:vAlign w:val="top"/>
          </w:tcPr>
          <w:p>
            <w:pPr>
              <w:pStyle w:val="TableText"/>
            </w:pPr>
            <w:r>
              <w:rPr>
                <w:sz w:val="18"/>
              </w:rPr>
              <w:t>Early mockup review</w:t>
            </w:r>
          </w:p>
        </w:tc>
        <w:tc>
          <w:tcPr>
            <w:tcW w:type="dxa" w:w="2477"/>
            <w:vAlign w:val="top"/>
          </w:tcPr>
          <w:p>
            <w:pPr>
              <w:pStyle w:val="TableText"/>
            </w:pPr>
            <w:r>
              <w:rPr>
                <w:sz w:val="18"/>
              </w:rPr>
              <w:t>Wednesday or Thursday, before the FGD.</w:t>
            </w:r>
          </w:p>
        </w:tc>
        <w:tc>
          <w:tcPr>
            <w:tcW w:type="dxa" w:w="5198"/>
            <w:vAlign w:val="top"/>
          </w:tcPr>
          <w:p>
            <w:pPr>
              <w:pStyle w:val="TableText"/>
            </w:pPr>
            <w:r>
              <w:rPr>
                <w:sz w:val="18"/>
              </w:rPr>
              <w:t>Preferred review window raised near the end; not a dated handover schedule. [T16]</w:t>
            </w:r>
          </w:p>
        </w:tc>
      </w:tr>
      <w:tr>
        <w:trPr>
          <w:cantSplit/>
        </w:trPr>
        <w:tc>
          <w:tcPr>
            <w:tcW w:type="dxa" w:w="2016"/>
            <w:vAlign w:val="top"/>
            <w:shd w:fill="F5F8FA"/>
          </w:tcPr>
          <w:p>
            <w:pPr>
              <w:pStyle w:val="TableText"/>
            </w:pPr>
            <w:r>
              <w:rPr>
                <w:sz w:val="18"/>
              </w:rPr>
              <w:t>Program kick-off</w:t>
            </w:r>
          </w:p>
        </w:tc>
        <w:tc>
          <w:tcPr>
            <w:tcW w:type="dxa" w:w="2477"/>
            <w:vAlign w:val="top"/>
            <w:shd w:fill="F5F8FA"/>
          </w:tcPr>
          <w:p>
            <w:pPr>
              <w:pStyle w:val="TableText"/>
            </w:pPr>
            <w:r>
              <w:rPr>
                <w:sz w:val="18"/>
              </w:rPr>
              <w:t>Thursday.</w:t>
            </w:r>
          </w:p>
        </w:tc>
        <w:tc>
          <w:tcPr>
            <w:tcW w:type="dxa" w:w="5198"/>
            <w:vAlign w:val="top"/>
            <w:shd w:fill="F5F8FA"/>
          </w:tcPr>
          <w:p>
            <w:pPr>
              <w:pStyle w:val="TableText"/>
            </w:pPr>
            <w:r>
              <w:rPr>
                <w:sz w:val="18"/>
              </w:rPr>
              <w:t>Event timing mentioned; the transcript does not establish a system launch at kick-off. [T09]</w:t>
            </w:r>
          </w:p>
        </w:tc>
      </w:tr>
      <w:tr>
        <w:trPr>
          <w:cantSplit/>
        </w:trPr>
        <w:tc>
          <w:tcPr>
            <w:tcW w:type="dxa" w:w="2016"/>
            <w:vAlign w:val="top"/>
          </w:tcPr>
          <w:p>
            <w:pPr>
              <w:pStyle w:val="TableText"/>
            </w:pPr>
            <w:r>
              <w:rPr>
                <w:sz w:val="18"/>
              </w:rPr>
              <w:t>FGD demonstration</w:t>
            </w:r>
          </w:p>
        </w:tc>
        <w:tc>
          <w:tcPr>
            <w:tcW w:type="dxa" w:w="2477"/>
            <w:vAlign w:val="top"/>
          </w:tcPr>
          <w:p>
            <w:pPr>
              <w:pStyle w:val="TableText"/>
            </w:pPr>
            <w:r>
              <w:rPr>
                <w:sz w:val="18"/>
              </w:rPr>
              <w:t>Friday afternoon; 15:00 was repeated after 13:00 was mentioned.</w:t>
            </w:r>
          </w:p>
        </w:tc>
        <w:tc>
          <w:tcPr>
            <w:tcW w:type="dxa" w:w="5198"/>
            <w:vAlign w:val="top"/>
          </w:tcPr>
          <w:p>
            <w:pPr>
              <w:pStyle w:val="TableText"/>
            </w:pPr>
            <w:r>
              <w:rPr>
                <w:sz w:val="18"/>
              </w:rPr>
              <w:t>Mockup requested; preferably ready earlier in the day. Exact session time needs confirmation. [T09, T16]</w:t>
            </w:r>
          </w:p>
        </w:tc>
      </w:tr>
      <w:tr>
        <w:trPr>
          <w:cantSplit/>
        </w:trPr>
        <w:tc>
          <w:tcPr>
            <w:tcW w:type="dxa" w:w="2016"/>
            <w:vAlign w:val="top"/>
            <w:shd w:fill="F5F8FA"/>
          </w:tcPr>
          <w:p>
            <w:pPr>
              <w:pStyle w:val="TableText"/>
            </w:pPr>
            <w:r>
              <w:rPr>
                <w:sz w:val="18"/>
              </w:rPr>
              <w:t>Operational monitoring</w:t>
            </w:r>
          </w:p>
        </w:tc>
        <w:tc>
          <w:tcPr>
            <w:tcW w:type="dxa" w:w="2477"/>
            <w:vAlign w:val="top"/>
            <w:shd w:fill="F5F8FA"/>
          </w:tcPr>
          <w:p>
            <w:pPr>
              <w:pStyle w:val="TableText"/>
            </w:pPr>
            <w:r>
              <w:rPr>
                <w:sz w:val="18"/>
              </w:rPr>
              <w:t>Third week of September, also described as “next week.”</w:t>
            </w:r>
          </w:p>
        </w:tc>
        <w:tc>
          <w:tcPr>
            <w:tcW w:type="dxa" w:w="5198"/>
            <w:vAlign w:val="top"/>
            <w:shd w:fill="F5F8FA"/>
          </w:tcPr>
          <w:p>
            <w:pPr>
              <w:pStyle w:val="TableText"/>
            </w:pPr>
            <w:r>
              <w:rPr>
                <w:sz w:val="18"/>
              </w:rPr>
              <w:t>Business-side request. IT noted the compressed timing; production readiness was not committed. [T12]</w:t>
            </w:r>
          </w:p>
        </w:tc>
      </w:tr>
      <w:tr>
        <w:trPr>
          <w:cantSplit/>
        </w:trPr>
        <w:tc>
          <w:tcPr>
            <w:tcW w:type="dxa" w:w="2016"/>
            <w:vAlign w:val="top"/>
          </w:tcPr>
          <w:p>
            <w:pPr>
              <w:pStyle w:val="TableText"/>
            </w:pPr>
            <w:r>
              <w:rPr>
                <w:sz w:val="18"/>
              </w:rPr>
              <w:t>Accelerated-campus report</w:t>
            </w:r>
          </w:p>
        </w:tc>
        <w:tc>
          <w:tcPr>
            <w:tcW w:type="dxa" w:w="2477"/>
            <w:vAlign w:val="top"/>
          </w:tcPr>
          <w:p>
            <w:pPr>
              <w:pStyle w:val="TableText"/>
            </w:pPr>
            <w:r>
              <w:rPr>
                <w:sz w:val="18"/>
              </w:rPr>
              <w:t>No later than the third week of October.</w:t>
            </w:r>
          </w:p>
        </w:tc>
        <w:tc>
          <w:tcPr>
            <w:tcW w:type="dxa" w:w="5198"/>
            <w:vAlign w:val="top"/>
          </w:tcPr>
          <w:p>
            <w:pPr>
              <w:pStyle w:val="TableText"/>
            </w:pPr>
            <w:r>
              <w:rPr>
                <w:sz w:val="18"/>
              </w:rPr>
              <w:t>Applies to 12 campuses described as already progressing well. [T12]</w:t>
            </w:r>
          </w:p>
        </w:tc>
      </w:tr>
      <w:tr>
        <w:trPr>
          <w:cantSplit/>
        </w:trPr>
        <w:tc>
          <w:tcPr>
            <w:tcW w:type="dxa" w:w="2016"/>
            <w:vAlign w:val="top"/>
            <w:shd w:fill="F5F8FA"/>
          </w:tcPr>
          <w:p>
            <w:pPr>
              <w:pStyle w:val="TableText"/>
            </w:pPr>
            <w:r>
              <w:rPr>
                <w:sz w:val="18"/>
              </w:rPr>
              <w:t>Overall program horizon</w:t>
            </w:r>
          </w:p>
        </w:tc>
        <w:tc>
          <w:tcPr>
            <w:tcW w:type="dxa" w:w="2477"/>
            <w:vAlign w:val="top"/>
            <w:shd w:fill="F5F8FA"/>
          </w:tcPr>
          <w:p>
            <w:pPr>
              <w:pStyle w:val="TableText"/>
            </w:pPr>
            <w:r>
              <w:rPr>
                <w:sz w:val="18"/>
              </w:rPr>
              <w:t>Through December.</w:t>
            </w:r>
          </w:p>
        </w:tc>
        <w:tc>
          <w:tcPr>
            <w:tcW w:type="dxa" w:w="5198"/>
            <w:vAlign w:val="top"/>
            <w:shd w:fill="F5F8FA"/>
          </w:tcPr>
          <w:p>
            <w:pPr>
              <w:pStyle w:val="TableText"/>
            </w:pPr>
            <w:r>
              <w:rPr>
                <w:sz w:val="18"/>
              </w:rPr>
              <w:t>Program timeline, not a defined hosting, support, or retention end date. [T12]</w:t>
            </w:r>
          </w:p>
        </w:tc>
      </w:tr>
    </w:tbl>
    <w:p>
      <w:pPr>
        <w:spacing w:after="20"/>
      </w:pPr>
      <w:r/>
    </w:p>
    <w:p>
      <w:pPr>
        <w:pStyle w:val="Small"/>
      </w:pPr>
      <w:r>
        <w:t>No calendar dates are inferred from these relative references. The filename contains 8 September but no year; the meeting itself does not supply a full dated schedule.</w:t>
      </w:r>
    </w:p>
    <w:p>
      <w:pPr>
        <w:pStyle w:val="Heading2"/>
      </w:pPr>
      <w:r>
        <w:t>4.2 Capacity and feasibility</w:t>
      </w:r>
    </w:p>
    <w:p>
      <w:r>
        <w:t>IT indicated that a mockup was feasible, while explaining that multiple programs were competing for development capacity. The contrast between a Friday mockup and an operational system the following week was explicitly recognized as difficult. The record therefore separates demonstration readiness from implementation and production acceptance. [T09, T11–T13, T16]</w:t>
      </w:r>
    </w:p>
    <w:p>
      <w:pPr>
        <w:pStyle w:val="Heading2"/>
      </w:pPr>
      <w:r>
        <w:t>4.3 Funding and shared infrastructure</w:t>
      </w:r>
    </w:p>
    <w:p>
      <w:r>
        <w:t>The group discussed program contributions toward IT infrastructure that could be reused across programs, with internal allocation handled by IT. Development work and the cost of later changes remained a separate discussion. An indicative figure of 50 million was mentioned, but no approved budget, currency declaration, quotation, line-item allocation, or payment arrangement was finalized. [T10]</w:t>
      </w:r>
    </w:p>
    <w:p>
      <w:pPr>
        <w:pStyle w:val="Small"/>
      </w:pPr>
      <w:r>
        <w:t>Other informal amounts, including 5 million, 10 million, and a historical 10-plus-8 reference, appear in the conversation. They should not be combined into this project’s budget. The useful conclusion is that funding was available for discussion, while scope, capacity, and delivery timing still required alignment. [T03, T10, T11]</w:t>
      </w:r>
    </w:p>
    <w:p>
      <w:r>
        <w:br w:type="page"/>
      </w:r>
    </w:p>
    <w:p>
      <w:pPr>
        <w:pStyle w:val="Kicker"/>
      </w:pPr>
      <w:r>
        <w:t>PART I • MEETING RECAP</w:t>
      </w:r>
    </w:p>
    <w:p>
      <w:bookmarkStart w:id="6" w:name="decision_register"/>
      <w:pPr>
        <w:pStyle w:val="Heading1"/>
      </w:pPr>
      <w:r>
        <w:t>5. Decision register</w:t>
      </w:r>
      <w:bookmarkEnd w:id="6"/>
    </w:p>
    <w:p>
      <w:pPr>
        <w:pStyle w:val="Small"/>
      </w:pPr>
      <w:r>
        <w:t>This register records the strength of the meeting evidence. “Agreed direction” does not mean formal sign-off, procurement approval, or a guaranteed release date.</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691"/>
        <w:gridCol w:w="4003"/>
        <w:gridCol w:w="4997"/>
      </w:tblGrid>
      <w:tr>
        <w:trPr>
          <w:tblHeader/>
        </w:trPr>
        <w:tc>
          <w:tcPr>
            <w:tcW w:type="dxa" w:w="691"/>
            <w:vAlign w:val="center"/>
            <w:shd w:fill="183247"/>
          </w:tcPr>
          <w:p>
            <w:pPr>
              <w:pStyle w:val="TableText"/>
              <w:keepNext/>
            </w:pPr>
            <w:r>
              <w:rPr>
                <w:b/>
                <w:color w:val="FFFFFF"/>
                <w:sz w:val="18"/>
              </w:rPr>
              <w:t>ID</w:t>
            </w:r>
          </w:p>
        </w:tc>
        <w:tc>
          <w:tcPr>
            <w:tcW w:type="dxa" w:w="4003"/>
            <w:vAlign w:val="center"/>
            <w:shd w:fill="183247"/>
          </w:tcPr>
          <w:p>
            <w:pPr>
              <w:pStyle w:val="TableText"/>
              <w:keepNext/>
            </w:pPr>
            <w:r>
              <w:rPr>
                <w:b/>
                <w:color w:val="FFFFFF"/>
                <w:sz w:val="18"/>
              </w:rPr>
              <w:t>Decision / requirement</w:t>
            </w:r>
          </w:p>
        </w:tc>
        <w:tc>
          <w:tcPr>
            <w:tcW w:type="dxa" w:w="4997"/>
            <w:vAlign w:val="center"/>
            <w:shd w:fill="183247"/>
          </w:tcPr>
          <w:p>
            <w:pPr>
              <w:pStyle w:val="TableText"/>
              <w:keepNext/>
            </w:pPr>
            <w:r>
              <w:rPr>
                <w:b/>
                <w:color w:val="FFFFFF"/>
                <w:sz w:val="18"/>
              </w:rPr>
              <w:t>Status and qualification</w:t>
            </w:r>
          </w:p>
        </w:tc>
      </w:tr>
      <w:tr>
        <w:trPr>
          <w:cantSplit/>
        </w:trPr>
        <w:tc>
          <w:tcPr>
            <w:tcW w:type="dxa" w:w="691"/>
            <w:vAlign w:val="top"/>
            <w:shd w:fill="F5F8FA"/>
          </w:tcPr>
          <w:p>
            <w:pPr>
              <w:pStyle w:val="TableText"/>
            </w:pPr>
            <w:r>
              <w:rPr>
                <w:sz w:val="18"/>
              </w:rPr>
              <w:t>D01</w:t>
            </w:r>
          </w:p>
        </w:tc>
        <w:tc>
          <w:tcPr>
            <w:tcW w:type="dxa" w:w="4003"/>
            <w:vAlign w:val="top"/>
            <w:shd w:fill="F5F8FA"/>
          </w:tcPr>
          <w:p>
            <w:pPr>
              <w:pStyle w:val="TableText"/>
            </w:pPr>
            <w:r>
              <w:rPr>
                <w:sz w:val="18"/>
              </w:rPr>
              <w:t>Use a separate monitoring application for existing partners.</w:t>
            </w:r>
          </w:p>
        </w:tc>
        <w:tc>
          <w:tcPr>
            <w:tcW w:type="dxa" w:w="4997"/>
            <w:vAlign w:val="top"/>
            <w:shd w:fill="F5F8FA"/>
          </w:tcPr>
          <w:p>
            <w:pPr>
              <w:pStyle w:val="TableText"/>
            </w:pPr>
            <w:r>
              <w:rPr>
                <w:sz w:val="18"/>
              </w:rPr>
              <w:t>Agreed direction. Registration remains a separate product; technical architecture is open. [T05, T08]</w:t>
            </w:r>
          </w:p>
        </w:tc>
      </w:tr>
      <w:tr>
        <w:trPr>
          <w:cantSplit/>
        </w:trPr>
        <w:tc>
          <w:tcPr>
            <w:tcW w:type="dxa" w:w="691"/>
            <w:vAlign w:val="top"/>
          </w:tcPr>
          <w:p>
            <w:pPr>
              <w:pStyle w:val="TableText"/>
            </w:pPr>
            <w:r>
              <w:rPr>
                <w:sz w:val="18"/>
              </w:rPr>
              <w:t>D02</w:t>
            </w:r>
          </w:p>
        </w:tc>
        <w:tc>
          <w:tcPr>
            <w:tcW w:type="dxa" w:w="4003"/>
            <w:vAlign w:val="top"/>
          </w:tcPr>
          <w:p>
            <w:pPr>
              <w:pStyle w:val="TableText"/>
            </w:pPr>
            <w:r>
              <w:rPr>
                <w:sz w:val="18"/>
              </w:rPr>
              <w:t>Start with one account per campus and a PF administrator role.</w:t>
            </w:r>
          </w:p>
        </w:tc>
        <w:tc>
          <w:tcPr>
            <w:tcW w:type="dxa" w:w="4997"/>
            <w:vAlign w:val="top"/>
          </w:tcPr>
          <w:p>
            <w:pPr>
              <w:pStyle w:val="TableText"/>
            </w:pPr>
            <w:r>
              <w:rPr>
                <w:sz w:val="18"/>
              </w:rPr>
              <w:t>Agreed direction. 40 campuses discussed. The DMM master account needs clarification. [T05, T15]</w:t>
            </w:r>
          </w:p>
        </w:tc>
      </w:tr>
      <w:tr>
        <w:trPr>
          <w:cantSplit/>
        </w:trPr>
        <w:tc>
          <w:tcPr>
            <w:tcW w:type="dxa" w:w="691"/>
            <w:vAlign w:val="top"/>
            <w:shd w:fill="F5F8FA"/>
          </w:tcPr>
          <w:p>
            <w:pPr>
              <w:pStyle w:val="TableText"/>
            </w:pPr>
            <w:r>
              <w:rPr>
                <w:sz w:val="18"/>
              </w:rPr>
              <w:t>D03</w:t>
            </w:r>
          </w:p>
        </w:tc>
        <w:tc>
          <w:tcPr>
            <w:tcW w:type="dxa" w:w="4003"/>
            <w:vAlign w:val="top"/>
            <w:shd w:fill="F5F8FA"/>
          </w:tcPr>
          <w:p>
            <w:pPr>
              <w:pStyle w:val="TableText"/>
            </w:pPr>
            <w:r>
              <w:rPr>
                <w:sz w:val="18"/>
              </w:rPr>
              <w:t>Handle proposal edits through new file versions without losing old versions.</w:t>
            </w:r>
          </w:p>
        </w:tc>
        <w:tc>
          <w:tcPr>
            <w:tcW w:type="dxa" w:w="4997"/>
            <w:vAlign w:val="top"/>
            <w:shd w:fill="F5F8FA"/>
          </w:tcPr>
          <w:p>
            <w:pPr>
              <w:pStyle w:val="TableText"/>
            </w:pPr>
            <w:r>
              <w:rPr>
                <w:sz w:val="18"/>
              </w:rPr>
              <w:t>Agreed direction. Form-to-proposal generation was considered but not selected. [T03]</w:t>
            </w:r>
          </w:p>
        </w:tc>
      </w:tr>
      <w:tr>
        <w:trPr>
          <w:cantSplit/>
        </w:trPr>
        <w:tc>
          <w:tcPr>
            <w:tcW w:type="dxa" w:w="691"/>
            <w:vAlign w:val="top"/>
          </w:tcPr>
          <w:p>
            <w:pPr>
              <w:pStyle w:val="TableText"/>
            </w:pPr>
            <w:r>
              <w:rPr>
                <w:sz w:val="18"/>
              </w:rPr>
              <w:t>D04</w:t>
            </w:r>
          </w:p>
        </w:tc>
        <w:tc>
          <w:tcPr>
            <w:tcW w:type="dxa" w:w="4003"/>
            <w:vAlign w:val="top"/>
          </w:tcPr>
          <w:p>
            <w:pPr>
              <w:pStyle w:val="TableText"/>
            </w:pPr>
            <w:r>
              <w:rPr>
                <w:sz w:val="18"/>
              </w:rPr>
              <w:t>Keep proposal uploads available over time.</w:t>
            </w:r>
          </w:p>
        </w:tc>
        <w:tc>
          <w:tcPr>
            <w:tcW w:type="dxa" w:w="4997"/>
            <w:vAlign w:val="top"/>
          </w:tcPr>
          <w:p>
            <w:pPr>
              <w:pStyle w:val="TableText"/>
            </w:pPr>
            <w:r>
              <w:rPr>
                <w:sz w:val="18"/>
              </w:rPr>
              <w:t>Requested. No cutoff or document-locking process was defined. [T01]</w:t>
            </w:r>
          </w:p>
        </w:tc>
      </w:tr>
      <w:tr>
        <w:trPr>
          <w:cantSplit/>
        </w:trPr>
        <w:tc>
          <w:tcPr>
            <w:tcW w:type="dxa" w:w="691"/>
            <w:vAlign w:val="top"/>
            <w:shd w:fill="F5F8FA"/>
          </w:tcPr>
          <w:p>
            <w:pPr>
              <w:pStyle w:val="TableText"/>
            </w:pPr>
            <w:r>
              <w:rPr>
                <w:sz w:val="18"/>
              </w:rPr>
              <w:t>D05</w:t>
            </w:r>
          </w:p>
        </w:tc>
        <w:tc>
          <w:tcPr>
            <w:tcW w:type="dxa" w:w="4003"/>
            <w:vAlign w:val="top"/>
            <w:shd w:fill="F5F8FA"/>
          </w:tcPr>
          <w:p>
            <w:pPr>
              <w:pStyle w:val="TableText"/>
            </w:pPr>
            <w:r>
              <w:rPr>
                <w:sz w:val="18"/>
              </w:rPr>
              <w:t>Allow campus indicator updates and show the target, current position, and gap.</w:t>
            </w:r>
          </w:p>
        </w:tc>
        <w:tc>
          <w:tcPr>
            <w:tcW w:type="dxa" w:w="4997"/>
            <w:vAlign w:val="top"/>
            <w:shd w:fill="F5F8FA"/>
          </w:tcPr>
          <w:p>
            <w:pPr>
              <w:pStyle w:val="TableText"/>
            </w:pPr>
            <w:r>
              <w:rPr>
                <w:sz w:val="18"/>
              </w:rPr>
              <w:t>Requested core capability. Exact fields and calculation rules depend on the missing Excel and targets. [T04, T15]</w:t>
            </w:r>
          </w:p>
        </w:tc>
      </w:tr>
      <w:tr>
        <w:trPr>
          <w:cantSplit/>
        </w:trPr>
        <w:tc>
          <w:tcPr>
            <w:tcW w:type="dxa" w:w="691"/>
            <w:vAlign w:val="top"/>
          </w:tcPr>
          <w:p>
            <w:pPr>
              <w:pStyle w:val="TableText"/>
            </w:pPr>
            <w:r>
              <w:rPr>
                <w:sz w:val="18"/>
              </w:rPr>
              <w:t>D06</w:t>
            </w:r>
          </w:p>
        </w:tc>
        <w:tc>
          <w:tcPr>
            <w:tcW w:type="dxa" w:w="4003"/>
            <w:vAlign w:val="top"/>
          </w:tcPr>
          <w:p>
            <w:pPr>
              <w:pStyle w:val="TableText"/>
            </w:pPr>
            <w:r>
              <w:rPr>
                <w:sz w:val="18"/>
              </w:rPr>
              <w:t>Provide a shared question-and-answer forum with search.</w:t>
            </w:r>
          </w:p>
        </w:tc>
        <w:tc>
          <w:tcPr>
            <w:tcW w:type="dxa" w:w="4997"/>
            <w:vAlign w:val="top"/>
          </w:tcPr>
          <w:p>
            <w:pPr>
              <w:pStyle w:val="TableText"/>
            </w:pPr>
            <w:r>
              <w:rPr>
                <w:sz w:val="18"/>
              </w:rPr>
              <w:t>Agreed direction for forum interaction; search requested. Internet-public access remains open. [T02]</w:t>
            </w:r>
          </w:p>
        </w:tc>
      </w:tr>
      <w:tr>
        <w:trPr>
          <w:cantSplit/>
        </w:trPr>
        <w:tc>
          <w:tcPr>
            <w:tcW w:type="dxa" w:w="691"/>
            <w:vAlign w:val="top"/>
            <w:shd w:fill="F5F8FA"/>
          </w:tcPr>
          <w:p>
            <w:pPr>
              <w:pStyle w:val="TableText"/>
            </w:pPr>
            <w:r>
              <w:rPr>
                <w:sz w:val="18"/>
              </w:rPr>
              <w:t>D07</w:t>
            </w:r>
          </w:p>
        </w:tc>
        <w:tc>
          <w:tcPr>
            <w:tcW w:type="dxa" w:w="4003"/>
            <w:vAlign w:val="top"/>
            <w:shd w:fill="F5F8FA"/>
          </w:tcPr>
          <w:p>
            <w:pPr>
              <w:pStyle w:val="TableText"/>
            </w:pPr>
            <w:r>
              <w:rPr>
                <w:sz w:val="18"/>
              </w:rPr>
              <w:t>Keep data-correction feedback separate from general Q&amp;A.</w:t>
            </w:r>
          </w:p>
        </w:tc>
        <w:tc>
          <w:tcPr>
            <w:tcW w:type="dxa" w:w="4997"/>
            <w:vAlign w:val="top"/>
            <w:shd w:fill="F5F8FA"/>
          </w:tcPr>
          <w:p>
            <w:pPr>
              <w:pStyle w:val="TableText"/>
            </w:pPr>
            <w:r>
              <w:rPr>
                <w:sz w:val="18"/>
              </w:rPr>
              <w:t>Agreed workflow direction. Ticket implementation and first-release inclusion remain conditional. [T07, T15]</w:t>
            </w:r>
          </w:p>
        </w:tc>
      </w:tr>
      <w:tr>
        <w:trPr>
          <w:cantSplit/>
        </w:trPr>
        <w:tc>
          <w:tcPr>
            <w:tcW w:type="dxa" w:w="691"/>
            <w:vAlign w:val="top"/>
          </w:tcPr>
          <w:p>
            <w:pPr>
              <w:pStyle w:val="TableText"/>
            </w:pPr>
            <w:r>
              <w:rPr>
                <w:sz w:val="18"/>
              </w:rPr>
              <w:t>D08</w:t>
            </w:r>
          </w:p>
        </w:tc>
        <w:tc>
          <w:tcPr>
            <w:tcW w:type="dxa" w:w="4003"/>
            <w:vAlign w:val="top"/>
          </w:tcPr>
          <w:p>
            <w:pPr>
              <w:pStyle w:val="TableText"/>
            </w:pPr>
            <w:r>
              <w:rPr>
                <w:sz w:val="18"/>
              </w:rPr>
              <w:t>Notify both sides as feedback and campus updates are exchanged.</w:t>
            </w:r>
          </w:p>
        </w:tc>
        <w:tc>
          <w:tcPr>
            <w:tcW w:type="dxa" w:w="4997"/>
            <w:vAlign w:val="top"/>
          </w:tcPr>
          <w:p>
            <w:pPr>
              <w:pStyle w:val="TableText"/>
            </w:pPr>
            <w:r>
              <w:rPr>
                <w:sz w:val="18"/>
              </w:rPr>
              <w:t>Requested. Email and in-app delivery were discussed, not fully specified. [T07]</w:t>
            </w:r>
          </w:p>
        </w:tc>
      </w:tr>
      <w:tr>
        <w:trPr>
          <w:cantSplit/>
        </w:trPr>
        <w:tc>
          <w:tcPr>
            <w:tcW w:type="dxa" w:w="691"/>
            <w:vAlign w:val="top"/>
            <w:shd w:fill="F5F8FA"/>
          </w:tcPr>
          <w:p>
            <w:pPr>
              <w:pStyle w:val="TableText"/>
            </w:pPr>
            <w:r>
              <w:rPr>
                <w:sz w:val="18"/>
              </w:rPr>
              <w:t>D09</w:t>
            </w:r>
          </w:p>
        </w:tc>
        <w:tc>
          <w:tcPr>
            <w:tcW w:type="dxa" w:w="4003"/>
            <w:vAlign w:val="top"/>
            <w:shd w:fill="F5F8FA"/>
          </w:tcPr>
          <w:p>
            <w:pPr>
              <w:pStyle w:val="TableText"/>
            </w:pPr>
            <w:r>
              <w:rPr>
                <w:sz w:val="18"/>
              </w:rPr>
              <w:t>Provide a cross-campus dashboard and downloadable recap.</w:t>
            </w:r>
          </w:p>
        </w:tc>
        <w:tc>
          <w:tcPr>
            <w:tcW w:type="dxa" w:w="4997"/>
            <w:vAlign w:val="top"/>
            <w:shd w:fill="F5F8FA"/>
          </w:tcPr>
          <w:p>
            <w:pPr>
              <w:pStyle w:val="TableText"/>
            </w:pPr>
            <w:r>
              <w:rPr>
                <w:sz w:val="18"/>
              </w:rPr>
              <w:t>Requested. Output fields and file format remain open. [T05, T06]</w:t>
            </w:r>
          </w:p>
        </w:tc>
      </w:tr>
      <w:tr>
        <w:trPr>
          <w:cantSplit/>
        </w:trPr>
        <w:tc>
          <w:tcPr>
            <w:tcW w:type="dxa" w:w="691"/>
            <w:vAlign w:val="top"/>
          </w:tcPr>
          <w:p>
            <w:pPr>
              <w:pStyle w:val="TableText"/>
            </w:pPr>
            <w:r>
              <w:rPr>
                <w:sz w:val="18"/>
              </w:rPr>
              <w:t>D10</w:t>
            </w:r>
          </w:p>
        </w:tc>
        <w:tc>
          <w:tcPr>
            <w:tcW w:type="dxa" w:w="4003"/>
            <w:vAlign w:val="top"/>
          </w:tcPr>
          <w:p>
            <w:pPr>
              <w:pStyle w:val="TableText"/>
            </w:pPr>
            <w:r>
              <w:rPr>
                <w:sz w:val="18"/>
              </w:rPr>
              <w:t>Do not add a separate scoring / judging process.</w:t>
            </w:r>
          </w:p>
        </w:tc>
        <w:tc>
          <w:tcPr>
            <w:tcW w:type="dxa" w:w="4997"/>
            <w:vAlign w:val="top"/>
          </w:tcPr>
          <w:p>
            <w:pPr>
              <w:pStyle w:val="TableText"/>
            </w:pPr>
            <w:r>
              <w:rPr>
                <w:sz w:val="18"/>
              </w:rPr>
              <w:t>Explicit current-scope boundary. This does not remove the requested target comparisons. [T06]</w:t>
            </w:r>
          </w:p>
        </w:tc>
      </w:tr>
      <w:tr>
        <w:trPr>
          <w:cantSplit/>
        </w:trPr>
        <w:tc>
          <w:tcPr>
            <w:tcW w:type="dxa" w:w="691"/>
            <w:vAlign w:val="top"/>
            <w:shd w:fill="F5F8FA"/>
          </w:tcPr>
          <w:p>
            <w:pPr>
              <w:pStyle w:val="TableText"/>
            </w:pPr>
            <w:r>
              <w:rPr>
                <w:sz w:val="18"/>
              </w:rPr>
              <w:t>D11</w:t>
            </w:r>
          </w:p>
        </w:tc>
        <w:tc>
          <w:tcPr>
            <w:tcW w:type="dxa" w:w="4003"/>
            <w:vAlign w:val="top"/>
            <w:shd w:fill="F5F8FA"/>
          </w:tcPr>
          <w:p>
            <w:pPr>
              <w:pStyle w:val="TableText"/>
            </w:pPr>
            <w:r>
              <w:rPr>
                <w:sz w:val="18"/>
              </w:rPr>
              <w:t>Prepare a mockup for Friday’s FGD and seek an earlier review.</w:t>
            </w:r>
          </w:p>
        </w:tc>
        <w:tc>
          <w:tcPr>
            <w:tcW w:type="dxa" w:w="4997"/>
            <w:vAlign w:val="top"/>
            <w:shd w:fill="F5F8FA"/>
          </w:tcPr>
          <w:p>
            <w:pPr>
              <w:pStyle w:val="TableText"/>
            </w:pPr>
            <w:r>
              <w:rPr>
                <w:sz w:val="18"/>
              </w:rPr>
              <w:t>Mockup accepted as the near-term deliverable. Exact handover timing and production launch are not committed. [T09, T16]</w:t>
            </w:r>
          </w:p>
        </w:tc>
      </w:tr>
      <w:tr>
        <w:trPr>
          <w:cantSplit/>
        </w:trPr>
        <w:tc>
          <w:tcPr>
            <w:tcW w:type="dxa" w:w="691"/>
            <w:vAlign w:val="top"/>
          </w:tcPr>
          <w:p>
            <w:pPr>
              <w:pStyle w:val="TableText"/>
            </w:pPr>
            <w:r>
              <w:rPr>
                <w:sz w:val="18"/>
              </w:rPr>
              <w:t>D12</w:t>
            </w:r>
          </w:p>
        </w:tc>
        <w:tc>
          <w:tcPr>
            <w:tcW w:type="dxa" w:w="4003"/>
            <w:vAlign w:val="top"/>
          </w:tcPr>
          <w:p>
            <w:pPr>
              <w:pStyle w:val="TableText"/>
            </w:pPr>
            <w:r>
              <w:rPr>
                <w:sz w:val="18"/>
              </w:rPr>
              <w:t>Consider FAQ curation, popularity ordering, and more campus access roles later.</w:t>
            </w:r>
          </w:p>
        </w:tc>
        <w:tc>
          <w:tcPr>
            <w:tcW w:type="dxa" w:w="4997"/>
            <w:vAlign w:val="top"/>
          </w:tcPr>
          <w:p>
            <w:pPr>
              <w:pStyle w:val="TableText"/>
            </w:pPr>
            <w:r>
              <w:rPr>
                <w:sz w:val="18"/>
              </w:rPr>
              <w:t>Suggestions / deferred items. Not approved as mandatory first-release features. [T02, T05]</w:t>
            </w:r>
          </w:p>
        </w:tc>
      </w:tr>
    </w:tbl>
    <w:p>
      <w:pPr>
        <w:spacing w:after="20"/>
      </w:pPr>
      <w:r/>
    </w:p>
    <w:p>
      <w:pPr>
        <w:spacing w:before="120" w:after="180"/>
        <w:ind w:left="187" w:right="144"/>
        <w:shd w:fill="EDF4F6"/>
        <w:pBdr>
          <w:left w:val="single" w:sz="18" w:space="8" w:color="156C78"/>
        </w:pBdr>
      </w:pPr>
      <w:r/>
      <w:r>
        <w:rPr>
          <w:b/>
        </w:rPr>
        <w:t xml:space="preserve">Approval still needed  </w:t>
      </w:r>
      <w:r>
        <w:t>The meeting did not settle a final technical stack, complete data dictionary, release acceptance criteria, confirmed implementation date, or approved cost baseline.</w:t>
      </w:r>
    </w:p>
    <w:p>
      <w:r>
        <w:br w:type="page"/>
      </w:r>
    </w:p>
    <w:p>
      <w:pPr>
        <w:pStyle w:val="Kicker"/>
      </w:pPr>
      <w:r>
        <w:t>PART I • MEETING RECAP</w:t>
      </w:r>
    </w:p>
    <w:p>
      <w:bookmarkStart w:id="7" w:name="actions_risks"/>
      <w:pPr>
        <w:pStyle w:val="Heading1"/>
      </w:pPr>
      <w:r>
        <w:t>6. Actions, dependencies &amp; delivery risks</w:t>
      </w:r>
      <w:bookmarkEnd w:id="7"/>
    </w:p>
    <w:p>
      <w:pPr>
        <w:pStyle w:val="Small"/>
      </w:pPr>
      <w:r>
        <w:t>Owners below are role-level interpretations of the conversation. The transcript has no speaker labels, so named accountability and acceptance of each assignment require confirmation.</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4349"/>
        <w:gridCol w:w="1987"/>
        <w:gridCol w:w="3355"/>
      </w:tblGrid>
      <w:tr>
        <w:trPr>
          <w:tblHeader/>
        </w:trPr>
        <w:tc>
          <w:tcPr>
            <w:tcW w:type="dxa" w:w="4349"/>
            <w:vAlign w:val="center"/>
            <w:shd w:fill="183247"/>
          </w:tcPr>
          <w:p>
            <w:pPr>
              <w:pStyle w:val="TableText"/>
              <w:keepNext/>
            </w:pPr>
            <w:r>
              <w:rPr>
                <w:b/>
                <w:color w:val="FFFFFF"/>
                <w:sz w:val="18"/>
              </w:rPr>
              <w:t>Action</w:t>
            </w:r>
          </w:p>
        </w:tc>
        <w:tc>
          <w:tcPr>
            <w:tcW w:type="dxa" w:w="1987"/>
            <w:vAlign w:val="center"/>
            <w:shd w:fill="183247"/>
          </w:tcPr>
          <w:p>
            <w:pPr>
              <w:pStyle w:val="TableText"/>
              <w:keepNext/>
            </w:pPr>
            <w:r>
              <w:rPr>
                <w:b/>
                <w:color w:val="FFFFFF"/>
                <w:sz w:val="18"/>
              </w:rPr>
              <w:t>Role-level owner</w:t>
            </w:r>
          </w:p>
        </w:tc>
        <w:tc>
          <w:tcPr>
            <w:tcW w:type="dxa" w:w="3355"/>
            <w:vAlign w:val="center"/>
            <w:shd w:fill="183247"/>
          </w:tcPr>
          <w:p>
            <w:pPr>
              <w:pStyle w:val="TableText"/>
              <w:keepNext/>
            </w:pPr>
            <w:r>
              <w:rPr>
                <w:b/>
                <w:color w:val="FFFFFF"/>
                <w:sz w:val="18"/>
              </w:rPr>
              <w:t>Due / dependency</w:t>
            </w:r>
          </w:p>
        </w:tc>
      </w:tr>
      <w:tr>
        <w:trPr>
          <w:cantSplit/>
        </w:trPr>
        <w:tc>
          <w:tcPr>
            <w:tcW w:type="dxa" w:w="4349"/>
            <w:vAlign w:val="top"/>
            <w:shd w:fill="F5F8FA"/>
          </w:tcPr>
          <w:p>
            <w:pPr>
              <w:pStyle w:val="TableText"/>
            </w:pPr>
            <w:r>
              <w:rPr>
                <w:sz w:val="18"/>
              </w:rPr>
              <w:t>A01 • Prepare and share requirements slides, data-field explanations, and practical guidance. [T14]</w:t>
            </w:r>
          </w:p>
        </w:tc>
        <w:tc>
          <w:tcPr>
            <w:tcW w:type="dxa" w:w="1987"/>
            <w:vAlign w:val="top"/>
            <w:shd w:fill="F5F8FA"/>
          </w:tcPr>
          <w:p>
            <w:pPr>
              <w:pStyle w:val="TableText"/>
            </w:pPr>
            <w:r>
              <w:rPr>
                <w:sz w:val="18"/>
              </w:rPr>
              <w:t>Program representative</w:t>
            </w:r>
          </w:p>
        </w:tc>
        <w:tc>
          <w:tcPr>
            <w:tcW w:type="dxa" w:w="3355"/>
            <w:vAlign w:val="top"/>
            <w:shd w:fill="F5F8FA"/>
          </w:tcPr>
          <w:p>
            <w:pPr>
              <w:pStyle w:val="TableText"/>
            </w:pPr>
            <w:r>
              <w:rPr>
                <w:sz w:val="18"/>
              </w:rPr>
              <w:t>“Tonight” after the meeting; completion is not evidenced by the transcript.</w:t>
            </w:r>
          </w:p>
        </w:tc>
      </w:tr>
      <w:tr>
        <w:trPr>
          <w:cantSplit/>
        </w:trPr>
        <w:tc>
          <w:tcPr>
            <w:tcW w:type="dxa" w:w="4349"/>
            <w:vAlign w:val="top"/>
          </w:tcPr>
          <w:p>
            <w:pPr>
              <w:pStyle w:val="TableText"/>
            </w:pPr>
            <w:r>
              <w:rPr>
                <w:sz w:val="18"/>
              </w:rPr>
              <w:t>A02 • Supply the master Excel, completed targets, and calculation rules. [T04]</w:t>
            </w:r>
          </w:p>
        </w:tc>
        <w:tc>
          <w:tcPr>
            <w:tcW w:type="dxa" w:w="1987"/>
            <w:vAlign w:val="top"/>
          </w:tcPr>
          <w:p>
            <w:pPr>
              <w:pStyle w:val="TableText"/>
            </w:pPr>
            <w:r>
              <w:rPr>
                <w:sz w:val="18"/>
              </w:rPr>
              <w:t>Program / criteria owner</w:t>
            </w:r>
          </w:p>
        </w:tc>
        <w:tc>
          <w:tcPr>
            <w:tcW w:type="dxa" w:w="3355"/>
            <w:vAlign w:val="top"/>
          </w:tcPr>
          <w:p>
            <w:pPr>
              <w:pStyle w:val="TableText"/>
            </w:pPr>
            <w:r>
              <w:rPr>
                <w:sz w:val="18"/>
              </w:rPr>
              <w:t>Needed before real indicator calculations can be implemented; no exact due date.</w:t>
            </w:r>
          </w:p>
        </w:tc>
      </w:tr>
      <w:tr>
        <w:trPr>
          <w:cantSplit/>
        </w:trPr>
        <w:tc>
          <w:tcPr>
            <w:tcW w:type="dxa" w:w="4349"/>
            <w:vAlign w:val="top"/>
            <w:shd w:fill="F5F8FA"/>
          </w:tcPr>
          <w:p>
            <w:pPr>
              <w:pStyle w:val="TableText"/>
            </w:pPr>
            <w:r>
              <w:rPr>
                <w:sz w:val="18"/>
              </w:rPr>
              <w:t>A03 • Produce the dashboard mockup. [T09, T14–T16]</w:t>
            </w:r>
          </w:p>
        </w:tc>
        <w:tc>
          <w:tcPr>
            <w:tcW w:type="dxa" w:w="1987"/>
            <w:vAlign w:val="top"/>
            <w:shd w:fill="F5F8FA"/>
          </w:tcPr>
          <w:p>
            <w:pPr>
              <w:pStyle w:val="TableText"/>
            </w:pPr>
            <w:r>
              <w:rPr>
                <w:sz w:val="18"/>
              </w:rPr>
              <w:t>IT / mockup team</w:t>
            </w:r>
          </w:p>
        </w:tc>
        <w:tc>
          <w:tcPr>
            <w:tcW w:type="dxa" w:w="3355"/>
            <w:vAlign w:val="top"/>
            <w:shd w:fill="F5F8FA"/>
          </w:tcPr>
          <w:p>
            <w:pPr>
              <w:pStyle w:val="TableText"/>
            </w:pPr>
            <w:r>
              <w:rPr>
                <w:sz w:val="18"/>
              </w:rPr>
              <w:t>For Friday’s FGD, with Wednesday or Thursday review preferred; individual owner unresolved.</w:t>
            </w:r>
          </w:p>
        </w:tc>
      </w:tr>
      <w:tr>
        <w:trPr>
          <w:cantSplit/>
        </w:trPr>
        <w:tc>
          <w:tcPr>
            <w:tcW w:type="dxa" w:w="4349"/>
            <w:vAlign w:val="top"/>
          </w:tcPr>
          <w:p>
            <w:pPr>
              <w:pStyle w:val="TableText"/>
            </w:pPr>
            <w:r>
              <w:rPr>
                <w:sz w:val="18"/>
              </w:rPr>
              <w:t>A04 • Review the mockup and align the material to the FGD. [T16]</w:t>
            </w:r>
          </w:p>
        </w:tc>
        <w:tc>
          <w:tcPr>
            <w:tcW w:type="dxa" w:w="1987"/>
            <w:vAlign w:val="top"/>
          </w:tcPr>
          <w:p>
            <w:pPr>
              <w:pStyle w:val="TableText"/>
            </w:pPr>
            <w:r>
              <w:rPr>
                <w:sz w:val="18"/>
              </w:rPr>
              <w:t>Program representative + IT</w:t>
            </w:r>
          </w:p>
        </w:tc>
        <w:tc>
          <w:tcPr>
            <w:tcW w:type="dxa" w:w="3355"/>
            <w:vAlign w:val="top"/>
          </w:tcPr>
          <w:p>
            <w:pPr>
              <w:pStyle w:val="TableText"/>
            </w:pPr>
            <w:r>
              <w:rPr>
                <w:sz w:val="18"/>
              </w:rPr>
              <w:t>Before the FGD; exact reviewer and approval method were not stated.</w:t>
            </w:r>
          </w:p>
        </w:tc>
      </w:tr>
      <w:tr>
        <w:trPr>
          <w:cantSplit/>
        </w:trPr>
        <w:tc>
          <w:tcPr>
            <w:tcW w:type="dxa" w:w="4349"/>
            <w:vAlign w:val="top"/>
            <w:shd w:fill="F5F8FA"/>
          </w:tcPr>
          <w:p>
            <w:pPr>
              <w:pStyle w:val="TableText"/>
            </w:pPr>
            <w:r>
              <w:rPr>
                <w:sz w:val="18"/>
              </w:rPr>
              <w:t>A05 • Refine costs and discuss later-development contributions. [T10]</w:t>
            </w:r>
          </w:p>
        </w:tc>
        <w:tc>
          <w:tcPr>
            <w:tcW w:type="dxa" w:w="1987"/>
            <w:vAlign w:val="top"/>
            <w:shd w:fill="F5F8FA"/>
          </w:tcPr>
          <w:p>
            <w:pPr>
              <w:pStyle w:val="TableText"/>
            </w:pPr>
            <w:r>
              <w:rPr>
                <w:sz w:val="18"/>
              </w:rPr>
              <w:t>Program budget owner + IT</w:t>
            </w:r>
          </w:p>
        </w:tc>
        <w:tc>
          <w:tcPr>
            <w:tcW w:type="dxa" w:w="3355"/>
            <w:vAlign w:val="top"/>
            <w:shd w:fill="F5F8FA"/>
          </w:tcPr>
          <w:p>
            <w:pPr>
              <w:pStyle w:val="TableText"/>
            </w:pPr>
            <w:r>
              <w:rPr>
                <w:sz w:val="18"/>
              </w:rPr>
              <w:t>Follow-up discussion; no finalized estimate or deadline.</w:t>
            </w:r>
          </w:p>
        </w:tc>
      </w:tr>
      <w:tr>
        <w:trPr>
          <w:cantSplit/>
        </w:trPr>
        <w:tc>
          <w:tcPr>
            <w:tcW w:type="dxa" w:w="4349"/>
            <w:vAlign w:val="top"/>
          </w:tcPr>
          <w:p>
            <w:pPr>
              <w:pStyle w:val="TableText"/>
            </w:pPr>
            <w:r>
              <w:rPr>
                <w:sz w:val="18"/>
              </w:rPr>
              <w:t>A06 • Align the implementation sequence with IT capacity and the monitoring request. [T11–T13]</w:t>
            </w:r>
          </w:p>
        </w:tc>
        <w:tc>
          <w:tcPr>
            <w:tcW w:type="dxa" w:w="1987"/>
            <w:vAlign w:val="top"/>
          </w:tcPr>
          <w:p>
            <w:pPr>
              <w:pStyle w:val="TableText"/>
            </w:pPr>
            <w:r>
              <w:rPr>
                <w:sz w:val="18"/>
              </w:rPr>
              <w:t>Program + IT leads</w:t>
            </w:r>
          </w:p>
        </w:tc>
        <w:tc>
          <w:tcPr>
            <w:tcW w:type="dxa" w:w="3355"/>
            <w:vAlign w:val="top"/>
          </w:tcPr>
          <w:p>
            <w:pPr>
              <w:pStyle w:val="TableText"/>
            </w:pPr>
            <w:r>
              <w:rPr>
                <w:sz w:val="18"/>
              </w:rPr>
              <w:t>Necessary follow-up inferred from the timing conflict; not a dated assignment.</w:t>
            </w:r>
          </w:p>
        </w:tc>
      </w:tr>
    </w:tbl>
    <w:p>
      <w:pPr>
        <w:spacing w:after="20"/>
      </w:pPr>
      <w:r/>
    </w:p>
    <w:p>
      <w:pPr>
        <w:pStyle w:val="Heading2"/>
      </w:pPr>
      <w:r>
        <w:t>Dependencies not supplied with this record</w:t>
      </w:r>
    </w:p>
    <w:p>
      <w:r>
        <w:t>The discussion refers to the master Excel, indicator calculations and target values, a required proposal format, explanatory slides, and a program timeline. None of those supporting artifacts is attached here. Account-holder details, the list of 12 accelerated campuses, and a report template also remain necessary inputs for implementation; their collection was not assigned explicitly. [T03–T05, T12, T14]</w:t>
      </w:r>
    </w:p>
    <w:p>
      <w:pPr>
        <w:pStyle w:val="Heading2"/>
      </w:pPr>
      <w:r>
        <w:t>Risks inferred from the discussion</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2995"/>
        <w:gridCol w:w="6696"/>
      </w:tblGrid>
      <w:tr>
        <w:trPr>
          <w:tblHeader/>
        </w:trPr>
        <w:tc>
          <w:tcPr>
            <w:tcW w:type="dxa" w:w="2995"/>
            <w:vAlign w:val="center"/>
            <w:shd w:fill="183247"/>
          </w:tcPr>
          <w:p>
            <w:pPr>
              <w:pStyle w:val="TableText"/>
              <w:keepNext/>
            </w:pPr>
            <w:r>
              <w:rPr>
                <w:b/>
                <w:color w:val="FFFFFF"/>
                <w:sz w:val="18"/>
              </w:rPr>
              <w:t>Risk</w:t>
            </w:r>
          </w:p>
        </w:tc>
        <w:tc>
          <w:tcPr>
            <w:tcW w:type="dxa" w:w="6696"/>
            <w:vAlign w:val="center"/>
            <w:shd w:fill="183247"/>
          </w:tcPr>
          <w:p>
            <w:pPr>
              <w:pStyle w:val="TableText"/>
              <w:keepNext/>
            </w:pPr>
            <w:r>
              <w:rPr>
                <w:b/>
                <w:color w:val="FFFFFF"/>
                <w:sz w:val="18"/>
              </w:rPr>
              <w:t>Effect / immediate decision needed</w:t>
            </w:r>
          </w:p>
        </w:tc>
      </w:tr>
      <w:tr>
        <w:trPr>
          <w:cantSplit/>
        </w:trPr>
        <w:tc>
          <w:tcPr>
            <w:tcW w:type="dxa" w:w="2995"/>
            <w:vAlign w:val="top"/>
            <w:shd w:fill="F5F8FA"/>
          </w:tcPr>
          <w:p>
            <w:pPr>
              <w:pStyle w:val="TableText"/>
            </w:pPr>
            <w:r>
              <w:rPr>
                <w:sz w:val="18"/>
              </w:rPr>
              <w:t>Unfinished indicator definitions</w:t>
            </w:r>
          </w:p>
        </w:tc>
        <w:tc>
          <w:tcPr>
            <w:tcW w:type="dxa" w:w="6696"/>
            <w:vAlign w:val="top"/>
            <w:shd w:fill="F5F8FA"/>
          </w:tcPr>
          <w:p>
            <w:pPr>
              <w:pStyle w:val="TableText"/>
            </w:pPr>
            <w:r>
              <w:rPr>
                <w:sz w:val="18"/>
              </w:rPr>
              <w:t>A mockup may show the concept, but operational calculations cannot be validated until the program supplies authoritative definitions.</w:t>
            </w:r>
          </w:p>
        </w:tc>
      </w:tr>
      <w:tr>
        <w:trPr>
          <w:cantSplit/>
        </w:trPr>
        <w:tc>
          <w:tcPr>
            <w:tcW w:type="dxa" w:w="2995"/>
            <w:vAlign w:val="top"/>
          </w:tcPr>
          <w:p>
            <w:pPr>
              <w:pStyle w:val="TableText"/>
            </w:pPr>
            <w:r>
              <w:rPr>
                <w:sz w:val="18"/>
              </w:rPr>
              <w:t>Compressed timing and competing work</w:t>
            </w:r>
          </w:p>
        </w:tc>
        <w:tc>
          <w:tcPr>
            <w:tcW w:type="dxa" w:w="6696"/>
            <w:vAlign w:val="top"/>
          </w:tcPr>
          <w:p>
            <w:pPr>
              <w:pStyle w:val="TableText"/>
            </w:pPr>
            <w:r>
              <w:rPr>
                <w:sz w:val="18"/>
              </w:rPr>
              <w:t>A demonstration could be mistaken for a launch commitment. Agree a separate, capacity-backed implementation plan.</w:t>
            </w:r>
          </w:p>
        </w:tc>
      </w:tr>
      <w:tr>
        <w:trPr>
          <w:cantSplit/>
        </w:trPr>
        <w:tc>
          <w:tcPr>
            <w:tcW w:type="dxa" w:w="2995"/>
            <w:vAlign w:val="top"/>
            <w:shd w:fill="F5F8FA"/>
          </w:tcPr>
          <w:p>
            <w:pPr>
              <w:pStyle w:val="TableText"/>
            </w:pPr>
            <w:r>
              <w:rPr>
                <w:sz w:val="18"/>
              </w:rPr>
              <w:t>Ambiguous access and optional scope</w:t>
            </w:r>
          </w:p>
        </w:tc>
        <w:tc>
          <w:tcPr>
            <w:tcW w:type="dxa" w:w="6696"/>
            <w:vAlign w:val="top"/>
            <w:shd w:fill="F5F8FA"/>
          </w:tcPr>
          <w:p>
            <w:pPr>
              <w:pStyle w:val="TableText"/>
            </w:pPr>
            <w:r>
              <w:rPr>
                <w:sz w:val="18"/>
              </w:rPr>
              <w:t>Forum visibility, the master account, feedback release scope, and enhancements could change effort. Confirm the first-release boundary.</w:t>
            </w:r>
          </w:p>
        </w:tc>
      </w:tr>
      <w:tr>
        <w:trPr>
          <w:cantSplit/>
        </w:trPr>
        <w:tc>
          <w:tcPr>
            <w:tcW w:type="dxa" w:w="2995"/>
            <w:vAlign w:val="top"/>
          </w:tcPr>
          <w:p>
            <w:pPr>
              <w:pStyle w:val="TableText"/>
            </w:pPr>
            <w:r>
              <w:rPr>
                <w:sz w:val="18"/>
              </w:rPr>
              <w:t>Unapproved funding and ongoing costs</w:t>
            </w:r>
          </w:p>
        </w:tc>
        <w:tc>
          <w:tcPr>
            <w:tcW w:type="dxa" w:w="6696"/>
            <w:vAlign w:val="top"/>
          </w:tcPr>
          <w:p>
            <w:pPr>
              <w:pStyle w:val="TableText"/>
            </w:pPr>
            <w:r>
              <w:rPr>
                <w:sz w:val="18"/>
              </w:rPr>
              <w:t>The indicative amount is not a spending baseline. Separate infrastructure contribution, development, and later changes.</w:t>
            </w:r>
          </w:p>
        </w:tc>
      </w:tr>
    </w:tbl>
    <w:p>
      <w:pPr>
        <w:spacing w:after="20"/>
      </w:pPr>
      <w:r/>
    </w:p>
    <w:p>
      <w:r>
        <w:br w:type="page"/>
      </w:r>
    </w:p>
    <w:p>
      <w:pPr>
        <w:pStyle w:val="Kicker"/>
      </w:pPr>
      <w:r>
        <w:t>PART II • DEDICATED WEB-APP SYSTEM SECTION</w:t>
      </w:r>
    </w:p>
    <w:p>
      <w:bookmarkStart w:id="8" w:name="system_scope"/>
      <w:pPr>
        <w:pStyle w:val="Heading1"/>
      </w:pPr>
      <w:r>
        <w:t>7. Whole-system scope &amp; permissions</w:t>
      </w:r>
      <w:bookmarkEnd w:id="8"/>
    </w:p>
    <w:p>
      <w:pPr>
        <w:pStyle w:val="Small"/>
      </w:pPr>
      <w:r>
        <w:t>The following is a source-derived system brief, not a completed technical requirements document. Module boundaries and requirement IDs organize the meeting’s needs. Proposed checks and data relationships are explicitly identified as derived; unspecified implementation choices remain open.</w:t>
      </w:r>
    </w:p>
    <w:p>
      <w:pPr>
        <w:pStyle w:val="Heading2"/>
      </w:pPr>
      <w:r>
        <w:t>7.1 Product boundary</w:t>
      </w:r>
    </w:p>
    <w:p>
      <w:r>
        <w:t>Provide an account-based website in which partner campuses maintain monitoring data and proposal versions, while PF monitors all campuses, communicates guidance, and produces recaps. Shared Q&amp;A supports reusable knowledge; campus data feedback supports directed follow-up. A mobile-accessible experience was requested as a preference, especially for answering Q&amp;A. [T01–T08, T15]</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2045"/>
        <w:gridCol w:w="3715"/>
        <w:gridCol w:w="3931"/>
      </w:tblGrid>
      <w:tr>
        <w:trPr>
          <w:tblHeader/>
        </w:trPr>
        <w:tc>
          <w:tcPr>
            <w:tcW w:type="dxa" w:w="2045"/>
            <w:vAlign w:val="center"/>
            <w:shd w:fill="183247"/>
          </w:tcPr>
          <w:p>
            <w:pPr>
              <w:pStyle w:val="TableText"/>
              <w:keepNext/>
            </w:pPr>
            <w:r>
              <w:rPr>
                <w:b/>
                <w:color w:val="FFFFFF"/>
                <w:sz w:val="18"/>
              </w:rPr>
              <w:t>System area</w:t>
            </w:r>
          </w:p>
        </w:tc>
        <w:tc>
          <w:tcPr>
            <w:tcW w:type="dxa" w:w="3715"/>
            <w:vAlign w:val="center"/>
            <w:shd w:fill="183247"/>
          </w:tcPr>
          <w:p>
            <w:pPr>
              <w:pStyle w:val="TableText"/>
              <w:keepNext/>
            </w:pPr>
            <w:r>
              <w:rPr>
                <w:b/>
                <w:color w:val="FFFFFF"/>
                <w:sz w:val="18"/>
              </w:rPr>
              <w:t>In the discussed scope</w:t>
            </w:r>
          </w:p>
        </w:tc>
        <w:tc>
          <w:tcPr>
            <w:tcW w:type="dxa" w:w="3931"/>
            <w:vAlign w:val="center"/>
            <w:shd w:fill="183247"/>
          </w:tcPr>
          <w:p>
            <w:pPr>
              <w:pStyle w:val="TableText"/>
              <w:keepNext/>
            </w:pPr>
            <w:r>
              <w:rPr>
                <w:b/>
                <w:color w:val="FFFFFF"/>
                <w:sz w:val="18"/>
              </w:rPr>
              <w:t>Outside / not established</w:t>
            </w:r>
          </w:p>
        </w:tc>
      </w:tr>
      <w:tr>
        <w:trPr>
          <w:cantSplit/>
        </w:trPr>
        <w:tc>
          <w:tcPr>
            <w:tcW w:type="dxa" w:w="2045"/>
            <w:vAlign w:val="top"/>
            <w:shd w:fill="F5F8FA"/>
          </w:tcPr>
          <w:p>
            <w:pPr>
              <w:pStyle w:val="TableText"/>
            </w:pPr>
            <w:r>
              <w:rPr>
                <w:sz w:val="18"/>
              </w:rPr>
              <w:t>Accounts and monitoring</w:t>
            </w:r>
          </w:p>
        </w:tc>
        <w:tc>
          <w:tcPr>
            <w:tcW w:type="dxa" w:w="3715"/>
            <w:vAlign w:val="top"/>
            <w:shd w:fill="F5F8FA"/>
          </w:tcPr>
          <w:p>
            <w:pPr>
              <w:pStyle w:val="TableText"/>
            </w:pPr>
            <w:r>
              <w:rPr>
                <w:sz w:val="18"/>
              </w:rPr>
              <w:t>Campus accounts; PF oversight; current values versus targets.</w:t>
            </w:r>
          </w:p>
        </w:tc>
        <w:tc>
          <w:tcPr>
            <w:tcW w:type="dxa" w:w="3931"/>
            <w:vAlign w:val="top"/>
            <w:shd w:fill="F5F8FA"/>
          </w:tcPr>
          <w:p>
            <w:pPr>
              <w:pStyle w:val="TableText"/>
            </w:pPr>
            <w:r>
              <w:rPr>
                <w:sz w:val="18"/>
              </w:rPr>
              <w:t>Public registration; lecturer subaccounts; a separate judging workflow.</w:t>
            </w:r>
          </w:p>
        </w:tc>
      </w:tr>
      <w:tr>
        <w:trPr>
          <w:cantSplit/>
        </w:trPr>
        <w:tc>
          <w:tcPr>
            <w:tcW w:type="dxa" w:w="2045"/>
            <w:vAlign w:val="top"/>
          </w:tcPr>
          <w:p>
            <w:pPr>
              <w:pStyle w:val="TableText"/>
            </w:pPr>
            <w:r>
              <w:rPr>
                <w:sz w:val="18"/>
              </w:rPr>
              <w:t>Documents and communication</w:t>
            </w:r>
          </w:p>
        </w:tc>
        <w:tc>
          <w:tcPr>
            <w:tcW w:type="dxa" w:w="3715"/>
            <w:vAlign w:val="top"/>
          </w:tcPr>
          <w:p>
            <w:pPr>
              <w:pStyle w:val="TableText"/>
            </w:pPr>
            <w:r>
              <w:rPr>
                <w:sz w:val="18"/>
              </w:rPr>
              <w:t>Proposal version history; shared Q&amp;A; separate data-feedback loop.</w:t>
            </w:r>
          </w:p>
        </w:tc>
        <w:tc>
          <w:tcPr>
            <w:tcW w:type="dxa" w:w="3931"/>
            <w:vAlign w:val="top"/>
          </w:tcPr>
          <w:p>
            <w:pPr>
              <w:pStyle w:val="TableText"/>
            </w:pPr>
            <w:r>
              <w:rPr>
                <w:sz w:val="18"/>
              </w:rPr>
              <w:t>In-browser document editing; real-time chat, presence, or typing indicators; automated document comparison.</w:t>
            </w:r>
          </w:p>
        </w:tc>
      </w:tr>
      <w:tr>
        <w:trPr>
          <w:cantSplit/>
        </w:trPr>
        <w:tc>
          <w:tcPr>
            <w:tcW w:type="dxa" w:w="2045"/>
            <w:vAlign w:val="top"/>
            <w:shd w:fill="F5F8FA"/>
          </w:tcPr>
          <w:p>
            <w:pPr>
              <w:pStyle w:val="TableText"/>
            </w:pPr>
            <w:r>
              <w:rPr>
                <w:sz w:val="18"/>
              </w:rPr>
              <w:t>Reporting and platform</w:t>
            </w:r>
          </w:p>
        </w:tc>
        <w:tc>
          <w:tcPr>
            <w:tcW w:type="dxa" w:w="3715"/>
            <w:vAlign w:val="top"/>
            <w:shd w:fill="F5F8FA"/>
          </w:tcPr>
          <w:p>
            <w:pPr>
              <w:pStyle w:val="TableText"/>
            </w:pPr>
            <w:r>
              <w:rPr>
                <w:sz w:val="18"/>
              </w:rPr>
              <w:t>Cross-campus recap and download; separation from registration.</w:t>
            </w:r>
          </w:p>
        </w:tc>
        <w:tc>
          <w:tcPr>
            <w:tcW w:type="dxa" w:w="3931"/>
            <w:vAlign w:val="top"/>
            <w:shd w:fill="F5F8FA"/>
          </w:tcPr>
          <w:p>
            <w:pPr>
              <w:pStyle w:val="TableText"/>
            </w:pPr>
            <w:r>
              <w:rPr>
                <w:sz w:val="18"/>
              </w:rPr>
              <w:t>A specified report format, API integration, hosting provider, backend stack, or microservices design.</w:t>
            </w:r>
          </w:p>
        </w:tc>
      </w:tr>
    </w:tbl>
    <w:p>
      <w:pPr>
        <w:spacing w:after="20"/>
      </w:pPr>
      <w:r/>
    </w:p>
    <w:p>
      <w:pPr>
        <w:pStyle w:val="Heading2"/>
      </w:pPr>
      <w:r>
        <w:t>7.2 Permission boundary to carry into design</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987"/>
        <w:gridCol w:w="2419"/>
        <w:gridCol w:w="2592"/>
        <w:gridCol w:w="2693"/>
      </w:tblGrid>
      <w:tr>
        <w:trPr>
          <w:tblHeader/>
        </w:trPr>
        <w:tc>
          <w:tcPr>
            <w:tcW w:type="dxa" w:w="1987"/>
            <w:vAlign w:val="center"/>
            <w:shd w:fill="183247"/>
          </w:tcPr>
          <w:p>
            <w:pPr>
              <w:pStyle w:val="TableText"/>
              <w:keepNext/>
            </w:pPr>
            <w:r>
              <w:rPr>
                <w:b/>
                <w:color w:val="FFFFFF"/>
                <w:sz w:val="17"/>
              </w:rPr>
              <w:t>Capability</w:t>
            </w:r>
          </w:p>
        </w:tc>
        <w:tc>
          <w:tcPr>
            <w:tcW w:type="dxa" w:w="2419"/>
            <w:vAlign w:val="center"/>
            <w:shd w:fill="183247"/>
          </w:tcPr>
          <w:p>
            <w:pPr>
              <w:pStyle w:val="TableText"/>
              <w:keepNext/>
            </w:pPr>
            <w:r>
              <w:rPr>
                <w:b/>
                <w:color w:val="FFFFFF"/>
                <w:sz w:val="17"/>
              </w:rPr>
              <w:t>Campus account</w:t>
            </w:r>
          </w:p>
        </w:tc>
        <w:tc>
          <w:tcPr>
            <w:tcW w:type="dxa" w:w="2592"/>
            <w:vAlign w:val="center"/>
            <w:shd w:fill="183247"/>
          </w:tcPr>
          <w:p>
            <w:pPr>
              <w:pStyle w:val="TableText"/>
              <w:keepNext/>
            </w:pPr>
            <w:r>
              <w:rPr>
                <w:b/>
                <w:color w:val="FFFFFF"/>
                <w:sz w:val="17"/>
              </w:rPr>
              <w:t>PF administrator</w:t>
            </w:r>
          </w:p>
        </w:tc>
        <w:tc>
          <w:tcPr>
            <w:tcW w:type="dxa" w:w="2693"/>
            <w:vAlign w:val="center"/>
            <w:shd w:fill="183247"/>
          </w:tcPr>
          <w:p>
            <w:pPr>
              <w:pStyle w:val="TableText"/>
              <w:keepNext/>
            </w:pPr>
            <w:r>
              <w:rPr>
                <w:b/>
                <w:color w:val="FFFFFF"/>
                <w:sz w:val="17"/>
              </w:rPr>
              <w:t>Qualification</w:t>
            </w:r>
          </w:p>
        </w:tc>
      </w:tr>
      <w:tr>
        <w:trPr>
          <w:cantSplit/>
        </w:trPr>
        <w:tc>
          <w:tcPr>
            <w:tcW w:type="dxa" w:w="1987"/>
            <w:vAlign w:val="top"/>
            <w:shd w:fill="F5F8FA"/>
          </w:tcPr>
          <w:p>
            <w:pPr>
              <w:pStyle w:val="TableText"/>
            </w:pPr>
            <w:r>
              <w:rPr>
                <w:sz w:val="17"/>
              </w:rPr>
              <w:t>View / update monitoring</w:t>
            </w:r>
          </w:p>
        </w:tc>
        <w:tc>
          <w:tcPr>
            <w:tcW w:type="dxa" w:w="2419"/>
            <w:vAlign w:val="top"/>
            <w:shd w:fill="F5F8FA"/>
          </w:tcPr>
          <w:p>
            <w:pPr>
              <w:pStyle w:val="TableText"/>
            </w:pPr>
            <w:r>
              <w:rPr>
                <w:sz w:val="17"/>
              </w:rPr>
              <w:t>Update its own campus data.</w:t>
            </w:r>
          </w:p>
        </w:tc>
        <w:tc>
          <w:tcPr>
            <w:tcW w:type="dxa" w:w="2592"/>
            <w:vAlign w:val="top"/>
            <w:shd w:fill="F5F8FA"/>
          </w:tcPr>
          <w:p>
            <w:pPr>
              <w:pStyle w:val="TableText"/>
            </w:pPr>
            <w:r>
              <w:rPr>
                <w:sz w:val="17"/>
              </w:rPr>
              <w:t>View all campuses; request corrections.</w:t>
            </w:r>
          </w:p>
        </w:tc>
        <w:tc>
          <w:tcPr>
            <w:tcW w:type="dxa" w:w="2693"/>
            <w:vAlign w:val="top"/>
            <w:shd w:fill="F5F8FA"/>
          </w:tcPr>
          <w:p>
            <w:pPr>
              <w:pStyle w:val="TableText"/>
            </w:pPr>
            <w:r>
              <w:rPr>
                <w:sz w:val="17"/>
              </w:rPr>
              <w:t>Direct PF editing was not agreed.</w:t>
            </w:r>
          </w:p>
        </w:tc>
      </w:tr>
      <w:tr>
        <w:trPr>
          <w:cantSplit/>
        </w:trPr>
        <w:tc>
          <w:tcPr>
            <w:tcW w:type="dxa" w:w="1987"/>
            <w:vAlign w:val="top"/>
          </w:tcPr>
          <w:p>
            <w:pPr>
              <w:pStyle w:val="TableText"/>
            </w:pPr>
            <w:r>
              <w:rPr>
                <w:sz w:val="17"/>
              </w:rPr>
              <w:t>Manage proposal versions</w:t>
            </w:r>
          </w:p>
        </w:tc>
        <w:tc>
          <w:tcPr>
            <w:tcW w:type="dxa" w:w="2419"/>
            <w:vAlign w:val="top"/>
          </w:tcPr>
          <w:p>
            <w:pPr>
              <w:pStyle w:val="TableText"/>
            </w:pPr>
            <w:r>
              <w:rPr>
                <w:sz w:val="17"/>
              </w:rPr>
              <w:t>Upload and revisit campus versions.</w:t>
            </w:r>
          </w:p>
        </w:tc>
        <w:tc>
          <w:tcPr>
            <w:tcW w:type="dxa" w:w="2592"/>
            <w:vAlign w:val="top"/>
          </w:tcPr>
          <w:p>
            <w:pPr>
              <w:pStyle w:val="TableText"/>
            </w:pPr>
            <w:r>
              <w:rPr>
                <w:sz w:val="17"/>
              </w:rPr>
              <w:t>Cross-campus oversight is intended.</w:t>
            </w:r>
          </w:p>
        </w:tc>
        <w:tc>
          <w:tcPr>
            <w:tcW w:type="dxa" w:w="2693"/>
            <w:vAlign w:val="top"/>
          </w:tcPr>
          <w:p>
            <w:pPr>
              <w:pStyle w:val="TableText"/>
            </w:pPr>
            <w:r>
              <w:rPr>
                <w:sz w:val="17"/>
              </w:rPr>
              <w:t>Detailed download / delete permissions are open.</w:t>
            </w:r>
          </w:p>
        </w:tc>
      </w:tr>
      <w:tr>
        <w:trPr>
          <w:cantSplit/>
        </w:trPr>
        <w:tc>
          <w:tcPr>
            <w:tcW w:type="dxa" w:w="1987"/>
            <w:vAlign w:val="top"/>
            <w:shd w:fill="F5F8FA"/>
          </w:tcPr>
          <w:p>
            <w:pPr>
              <w:pStyle w:val="TableText"/>
            </w:pPr>
            <w:r>
              <w:rPr>
                <w:sz w:val="17"/>
              </w:rPr>
              <w:t>Use shared Q&amp;A</w:t>
            </w:r>
          </w:p>
        </w:tc>
        <w:tc>
          <w:tcPr>
            <w:tcW w:type="dxa" w:w="2419"/>
            <w:vAlign w:val="top"/>
            <w:shd w:fill="F5F8FA"/>
          </w:tcPr>
          <w:p>
            <w:pPr>
              <w:pStyle w:val="TableText"/>
            </w:pPr>
            <w:r>
              <w:rPr>
                <w:sz w:val="17"/>
              </w:rPr>
              <w:t>Ask questions and view shared answers.</w:t>
            </w:r>
          </w:p>
        </w:tc>
        <w:tc>
          <w:tcPr>
            <w:tcW w:type="dxa" w:w="2592"/>
            <w:vAlign w:val="top"/>
            <w:shd w:fill="F5F8FA"/>
          </w:tcPr>
          <w:p>
            <w:pPr>
              <w:pStyle w:val="TableText"/>
            </w:pPr>
            <w:r>
              <w:rPr>
                <w:sz w:val="17"/>
              </w:rPr>
              <w:t>Answer questions.</w:t>
            </w:r>
          </w:p>
        </w:tc>
        <w:tc>
          <w:tcPr>
            <w:tcW w:type="dxa" w:w="2693"/>
            <w:vAlign w:val="top"/>
            <w:shd w:fill="F5F8FA"/>
          </w:tcPr>
          <w:p>
            <w:pPr>
              <w:pStyle w:val="TableText"/>
            </w:pPr>
            <w:r>
              <w:rPr>
                <w:sz w:val="17"/>
              </w:rPr>
              <w:t>Peer replies and anonymous visibility need confirmation.</w:t>
            </w:r>
          </w:p>
        </w:tc>
      </w:tr>
      <w:tr>
        <w:trPr>
          <w:cantSplit/>
        </w:trPr>
        <w:tc>
          <w:tcPr>
            <w:tcW w:type="dxa" w:w="1987"/>
            <w:vAlign w:val="top"/>
          </w:tcPr>
          <w:p>
            <w:pPr>
              <w:pStyle w:val="TableText"/>
            </w:pPr>
            <w:r>
              <w:rPr>
                <w:sz w:val="17"/>
              </w:rPr>
              <w:t>Act on data feedback</w:t>
            </w:r>
          </w:p>
        </w:tc>
        <w:tc>
          <w:tcPr>
            <w:tcW w:type="dxa" w:w="2419"/>
            <w:vAlign w:val="top"/>
          </w:tcPr>
          <w:p>
            <w:pPr>
              <w:pStyle w:val="TableText"/>
            </w:pPr>
            <w:r>
              <w:rPr>
                <w:sz w:val="17"/>
              </w:rPr>
              <w:t>Receive request; update data; respond.</w:t>
            </w:r>
          </w:p>
        </w:tc>
        <w:tc>
          <w:tcPr>
            <w:tcW w:type="dxa" w:w="2592"/>
            <w:vAlign w:val="top"/>
          </w:tcPr>
          <w:p>
            <w:pPr>
              <w:pStyle w:val="TableText"/>
            </w:pPr>
            <w:r>
              <w:rPr>
                <w:sz w:val="17"/>
              </w:rPr>
              <w:t>Raise request; review update; request revision.</w:t>
            </w:r>
          </w:p>
        </w:tc>
        <w:tc>
          <w:tcPr>
            <w:tcW w:type="dxa" w:w="2693"/>
            <w:vAlign w:val="top"/>
          </w:tcPr>
          <w:p>
            <w:pPr>
              <w:pStyle w:val="TableText"/>
            </w:pPr>
            <w:r>
              <w:rPr>
                <w:sz w:val="17"/>
              </w:rPr>
              <w:t>Ticket state and closure permissions are open.</w:t>
            </w:r>
          </w:p>
        </w:tc>
      </w:tr>
      <w:tr>
        <w:trPr>
          <w:cantSplit/>
        </w:trPr>
        <w:tc>
          <w:tcPr>
            <w:tcW w:type="dxa" w:w="1987"/>
            <w:vAlign w:val="top"/>
            <w:shd w:fill="F5F8FA"/>
          </w:tcPr>
          <w:p>
            <w:pPr>
              <w:pStyle w:val="TableText"/>
            </w:pPr>
            <w:r>
              <w:rPr>
                <w:sz w:val="17"/>
              </w:rPr>
              <w:t>Download recap</w:t>
            </w:r>
          </w:p>
        </w:tc>
        <w:tc>
          <w:tcPr>
            <w:tcW w:type="dxa" w:w="2419"/>
            <w:vAlign w:val="top"/>
            <w:shd w:fill="F5F8FA"/>
          </w:tcPr>
          <w:p>
            <w:pPr>
              <w:pStyle w:val="TableText"/>
            </w:pPr>
            <w:r>
              <w:rPr>
                <w:sz w:val="17"/>
              </w:rPr>
              <w:t>Not specified.</w:t>
            </w:r>
          </w:p>
        </w:tc>
        <w:tc>
          <w:tcPr>
            <w:tcW w:type="dxa" w:w="2592"/>
            <w:vAlign w:val="top"/>
            <w:shd w:fill="F5F8FA"/>
          </w:tcPr>
          <w:p>
            <w:pPr>
              <w:pStyle w:val="TableText"/>
            </w:pPr>
            <w:r>
              <w:rPr>
                <w:sz w:val="17"/>
              </w:rPr>
              <w:t>Requested for the program / PF view.</w:t>
            </w:r>
          </w:p>
        </w:tc>
        <w:tc>
          <w:tcPr>
            <w:tcW w:type="dxa" w:w="2693"/>
            <w:vAlign w:val="top"/>
            <w:shd w:fill="F5F8FA"/>
          </w:tcPr>
          <w:p>
            <w:pPr>
              <w:pStyle w:val="TableText"/>
            </w:pPr>
            <w:r>
              <w:rPr>
                <w:sz w:val="17"/>
              </w:rPr>
              <w:t>Export scope and format are open.</w:t>
            </w:r>
          </w:p>
        </w:tc>
      </w:tr>
      <w:tr>
        <w:trPr>
          <w:cantSplit/>
        </w:trPr>
        <w:tc>
          <w:tcPr>
            <w:tcW w:type="dxa" w:w="1987"/>
            <w:vAlign w:val="top"/>
          </w:tcPr>
          <w:p>
            <w:pPr>
              <w:pStyle w:val="TableText"/>
            </w:pPr>
            <w:r>
              <w:rPr>
                <w:sz w:val="17"/>
              </w:rPr>
              <w:t>Administer accounts / targets</w:t>
            </w:r>
          </w:p>
        </w:tc>
        <w:tc>
          <w:tcPr>
            <w:tcW w:type="dxa" w:w="2419"/>
            <w:vAlign w:val="top"/>
          </w:tcPr>
          <w:p>
            <w:pPr>
              <w:pStyle w:val="TableText"/>
            </w:pPr>
            <w:r>
              <w:rPr>
                <w:sz w:val="17"/>
              </w:rPr>
              <w:t>Not specified.</w:t>
            </w:r>
          </w:p>
        </w:tc>
        <w:tc>
          <w:tcPr>
            <w:tcW w:type="dxa" w:w="2592"/>
            <w:vAlign w:val="top"/>
          </w:tcPr>
          <w:p>
            <w:pPr>
              <w:pStyle w:val="TableText"/>
            </w:pPr>
            <w:r>
              <w:rPr>
                <w:sz w:val="17"/>
              </w:rPr>
              <w:t>Administrative need exists; UI not defined.</w:t>
            </w:r>
          </w:p>
        </w:tc>
        <w:tc>
          <w:tcPr>
            <w:tcW w:type="dxa" w:w="2693"/>
            <w:vAlign w:val="top"/>
          </w:tcPr>
          <w:p>
            <w:pPr>
              <w:pStyle w:val="TableText"/>
            </w:pPr>
            <w:r>
              <w:rPr>
                <w:sz w:val="17"/>
              </w:rPr>
              <w:t>Provisioning, reset, target editing, and DMM permissions are open.</w:t>
            </w:r>
          </w:p>
        </w:tc>
      </w:tr>
    </w:tbl>
    <w:p>
      <w:pPr>
        <w:spacing w:after="20"/>
      </w:pPr>
      <w:r/>
    </w:p>
    <w:p>
      <w:pPr>
        <w:pStyle w:val="Small"/>
      </w:pPr>
      <w:r>
        <w:t>Holding is not modeled as a system user without further confirmation. The DMM master account must not automatically inherit full administrator privileges merely because it was called “master.” The latter is a design caution, not a meeting decision. [T01, T05]</w:t>
      </w:r>
    </w:p>
    <w:p>
      <w:r>
        <w:br w:type="page"/>
      </w:r>
    </w:p>
    <w:p>
      <w:pPr>
        <w:pStyle w:val="Kicker"/>
      </w:pPr>
      <w:r>
        <w:t>PART II • DEDICATED WEB-APP SYSTEM SECTION</w:t>
      </w:r>
    </w:p>
    <w:p>
      <w:bookmarkStart w:id="9" w:name="requirements_core"/>
      <w:pPr>
        <w:pStyle w:val="Heading1"/>
      </w:pPr>
      <w:r>
        <w:t>8. Functional requirements: core workspace</w:t>
      </w:r>
      <w:bookmarkEnd w:id="9"/>
    </w:p>
    <w:p>
      <w:pPr>
        <w:pStyle w:val="Small"/>
      </w:pPr>
      <w:r>
        <w:t>“Required behavior” below captures meeting needs. Open details are not silently converted into requirements. IDs support design review and testing; they were assigned for this document.</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757"/>
        <w:gridCol w:w="4118"/>
        <w:gridCol w:w="3816"/>
      </w:tblGrid>
      <w:tr>
        <w:trPr>
          <w:tblHeader/>
        </w:trPr>
        <w:tc>
          <w:tcPr>
            <w:tcW w:type="dxa" w:w="1757"/>
            <w:vAlign w:val="center"/>
            <w:shd w:fill="183247"/>
          </w:tcPr>
          <w:p>
            <w:pPr>
              <w:pStyle w:val="TableText"/>
              <w:keepNext/>
            </w:pPr>
            <w:r>
              <w:rPr>
                <w:b/>
                <w:color w:val="FFFFFF"/>
                <w:sz w:val="18"/>
              </w:rPr>
              <w:t>ID / module</w:t>
            </w:r>
          </w:p>
        </w:tc>
        <w:tc>
          <w:tcPr>
            <w:tcW w:type="dxa" w:w="4118"/>
            <w:vAlign w:val="center"/>
            <w:shd w:fill="183247"/>
          </w:tcPr>
          <w:p>
            <w:pPr>
              <w:pStyle w:val="TableText"/>
              <w:keepNext/>
            </w:pPr>
            <w:r>
              <w:rPr>
                <w:b/>
                <w:color w:val="FFFFFF"/>
                <w:sz w:val="18"/>
              </w:rPr>
              <w:t>Required behavior</w:t>
            </w:r>
          </w:p>
        </w:tc>
        <w:tc>
          <w:tcPr>
            <w:tcW w:type="dxa" w:w="3816"/>
            <w:vAlign w:val="center"/>
            <w:shd w:fill="183247"/>
          </w:tcPr>
          <w:p>
            <w:pPr>
              <w:pStyle w:val="TableText"/>
              <w:keepNext/>
            </w:pPr>
            <w:r>
              <w:rPr>
                <w:b/>
                <w:color w:val="FFFFFF"/>
                <w:sz w:val="18"/>
              </w:rPr>
              <w:t>Open details / evidence</w:t>
            </w:r>
          </w:p>
        </w:tc>
      </w:tr>
      <w:tr>
        <w:trPr>
          <w:cantSplit/>
        </w:trPr>
        <w:tc>
          <w:tcPr>
            <w:tcW w:type="dxa" w:w="1757"/>
            <w:vAlign w:val="top"/>
            <w:shd w:fill="F5F8FA"/>
          </w:tcPr>
          <w:p>
            <w:pPr>
              <w:pStyle w:val="TableText"/>
            </w:pPr>
            <w:r>
              <w:rPr>
                <w:sz w:val="18"/>
              </w:rPr>
              <w:t>FR01 • Accounts</w:t>
            </w:r>
          </w:p>
        </w:tc>
        <w:tc>
          <w:tcPr>
            <w:tcW w:type="dxa" w:w="4118"/>
            <w:vAlign w:val="top"/>
            <w:shd w:fill="F5F8FA"/>
          </w:tcPr>
          <w:p>
            <w:pPr>
              <w:pStyle w:val="TableText"/>
            </w:pPr>
            <w:r>
              <w:rPr>
                <w:sz w:val="18"/>
              </w:rPr>
              <w:t>Provide access for existing partner campuses and PF administrators; begin with one account per campus.</w:t>
            </w:r>
          </w:p>
        </w:tc>
        <w:tc>
          <w:tcPr>
            <w:tcW w:type="dxa" w:w="3816"/>
            <w:vAlign w:val="top"/>
            <w:shd w:fill="F5F8FA"/>
          </w:tcPr>
          <w:p>
            <w:pPr>
              <w:pStyle w:val="TableText"/>
            </w:pPr>
            <w:r>
              <w:rPr>
                <w:sz w:val="18"/>
              </w:rPr>
              <w:t>Account provisioning, credentials, reset, deactivation, and the DMM role. [T05, T15]</w:t>
            </w:r>
          </w:p>
        </w:tc>
      </w:tr>
      <w:tr>
        <w:trPr>
          <w:cantSplit/>
        </w:trPr>
        <w:tc>
          <w:tcPr>
            <w:tcW w:type="dxa" w:w="1757"/>
            <w:vAlign w:val="top"/>
          </w:tcPr>
          <w:p>
            <w:pPr>
              <w:pStyle w:val="TableText"/>
            </w:pPr>
            <w:r>
              <w:rPr>
                <w:sz w:val="18"/>
              </w:rPr>
              <w:t>FR02 • Campus view</w:t>
            </w:r>
          </w:p>
        </w:tc>
        <w:tc>
          <w:tcPr>
            <w:tcW w:type="dxa" w:w="4118"/>
            <w:vAlign w:val="top"/>
          </w:tcPr>
          <w:p>
            <w:pPr>
              <w:pStyle w:val="TableText"/>
            </w:pPr>
            <w:r>
              <w:rPr>
                <w:sz w:val="18"/>
              </w:rPr>
              <w:t>Show the campus’s indicator position and relevant target / benchmark so the remaining gap is understandable.</w:t>
            </w:r>
          </w:p>
        </w:tc>
        <w:tc>
          <w:tcPr>
            <w:tcW w:type="dxa" w:w="3816"/>
            <w:vAlign w:val="top"/>
          </w:tcPr>
          <w:p>
            <w:pPr>
              <w:pStyle w:val="TableText"/>
            </w:pPr>
            <w:r>
              <w:rPr>
                <w:sz w:val="18"/>
              </w:rPr>
              <w:t>Exact layout, units, periods, and indicator completeness rules. [T04, T15]</w:t>
            </w:r>
          </w:p>
        </w:tc>
      </w:tr>
      <w:tr>
        <w:trPr>
          <w:cantSplit/>
        </w:trPr>
        <w:tc>
          <w:tcPr>
            <w:tcW w:type="dxa" w:w="1757"/>
            <w:vAlign w:val="top"/>
            <w:shd w:fill="F5F8FA"/>
          </w:tcPr>
          <w:p>
            <w:pPr>
              <w:pStyle w:val="TableText"/>
            </w:pPr>
            <w:r>
              <w:rPr>
                <w:sz w:val="18"/>
              </w:rPr>
              <w:t>FR03 • Data updates</w:t>
            </w:r>
          </w:p>
        </w:tc>
        <w:tc>
          <w:tcPr>
            <w:tcW w:type="dxa" w:w="4118"/>
            <w:vAlign w:val="top"/>
            <w:shd w:fill="F5F8FA"/>
          </w:tcPr>
          <w:p>
            <w:pPr>
              <w:pStyle w:val="TableText"/>
            </w:pPr>
            <w:r>
              <w:rPr>
                <w:sz w:val="18"/>
              </w:rPr>
              <w:t>Let the campus enter and update the indicator data discussed in the master Excel, including when underlying values change.</w:t>
            </w:r>
          </w:p>
        </w:tc>
        <w:tc>
          <w:tcPr>
            <w:tcW w:type="dxa" w:w="3816"/>
            <w:vAlign w:val="top"/>
            <w:shd w:fill="F5F8FA"/>
          </w:tcPr>
          <w:p>
            <w:pPr>
              <w:pStyle w:val="TableText"/>
            </w:pPr>
            <w:r>
              <w:rPr>
                <w:sz w:val="18"/>
              </w:rPr>
              <w:t>Manual entry versus import; field definitions; validation; draft or submission states. [T04]</w:t>
            </w:r>
          </w:p>
        </w:tc>
      </w:tr>
      <w:tr>
        <w:trPr>
          <w:cantSplit/>
        </w:trPr>
        <w:tc>
          <w:tcPr>
            <w:tcW w:type="dxa" w:w="1757"/>
            <w:vAlign w:val="top"/>
          </w:tcPr>
          <w:p>
            <w:pPr>
              <w:pStyle w:val="TableText"/>
            </w:pPr>
            <w:r>
              <w:rPr>
                <w:sz w:val="18"/>
              </w:rPr>
              <w:t>FR04 • Target comparison</w:t>
            </w:r>
          </w:p>
        </w:tc>
        <w:tc>
          <w:tcPr>
            <w:tcW w:type="dxa" w:w="4118"/>
            <w:vAlign w:val="top"/>
          </w:tcPr>
          <w:p>
            <w:pPr>
              <w:pStyle w:val="TableText"/>
            </w:pPr>
            <w:r>
              <w:rPr>
                <w:sz w:val="18"/>
              </w:rPr>
              <w:t>Compare current values with approved targets and communicate shortfalls. A below-target red display was discussed.</w:t>
            </w:r>
          </w:p>
        </w:tc>
        <w:tc>
          <w:tcPr>
            <w:tcW w:type="dxa" w:w="3816"/>
            <w:vAlign w:val="top"/>
          </w:tcPr>
          <w:p>
            <w:pPr>
              <w:pStyle w:val="TableText"/>
            </w:pPr>
            <w:r>
              <w:rPr>
                <w:sz w:val="18"/>
              </w:rPr>
              <w:t>Formulas, direction of improvement, color thresholds, missing-value behavior, and composite score are not defined. [T04]</w:t>
            </w:r>
          </w:p>
        </w:tc>
      </w:tr>
      <w:tr>
        <w:trPr>
          <w:cantSplit/>
        </w:trPr>
        <w:tc>
          <w:tcPr>
            <w:tcW w:type="dxa" w:w="1757"/>
            <w:vAlign w:val="top"/>
            <w:shd w:fill="F5F8FA"/>
          </w:tcPr>
          <w:p>
            <w:pPr>
              <w:pStyle w:val="TableText"/>
            </w:pPr>
            <w:r>
              <w:rPr>
                <w:sz w:val="18"/>
              </w:rPr>
              <w:t>FR05 • PF overview</w:t>
            </w:r>
          </w:p>
        </w:tc>
        <w:tc>
          <w:tcPr>
            <w:tcW w:type="dxa" w:w="4118"/>
            <w:vAlign w:val="top"/>
            <w:shd w:fill="F5F8FA"/>
          </w:tcPr>
          <w:p>
            <w:pPr>
              <w:pStyle w:val="TableText"/>
            </w:pPr>
            <w:r>
              <w:rPr>
                <w:sz w:val="18"/>
              </w:rPr>
              <w:t>Allow administrators to inspect the latest situation across campuses and identify where attention is required.</w:t>
            </w:r>
          </w:p>
        </w:tc>
        <w:tc>
          <w:tcPr>
            <w:tcW w:type="dxa" w:w="3816"/>
            <w:vAlign w:val="top"/>
            <w:shd w:fill="F5F8FA"/>
          </w:tcPr>
          <w:p>
            <w:pPr>
              <w:pStyle w:val="TableText"/>
            </w:pPr>
            <w:r>
              <w:rPr>
                <w:sz w:val="18"/>
              </w:rPr>
              <w:t>Summary metrics, filters, sorting, charts, and accelerated-campus identification. [T01, T05, T06, T12]</w:t>
            </w:r>
          </w:p>
        </w:tc>
      </w:tr>
      <w:tr>
        <w:trPr>
          <w:cantSplit/>
        </w:trPr>
        <w:tc>
          <w:tcPr>
            <w:tcW w:type="dxa" w:w="1757"/>
            <w:vAlign w:val="top"/>
          </w:tcPr>
          <w:p>
            <w:pPr>
              <w:pStyle w:val="TableText"/>
            </w:pPr>
            <w:r>
              <w:rPr>
                <w:sz w:val="18"/>
              </w:rPr>
              <w:t>FR06 • Proposal upload</w:t>
            </w:r>
          </w:p>
        </w:tc>
        <w:tc>
          <w:tcPr>
            <w:tcW w:type="dxa" w:w="4118"/>
            <w:vAlign w:val="top"/>
          </w:tcPr>
          <w:p>
            <w:pPr>
              <w:pStyle w:val="TableText"/>
            </w:pPr>
            <w:r>
              <w:rPr>
                <w:sz w:val="18"/>
              </w:rPr>
              <w:t>Provide a continuing upload area for campus proposals in the required format.</w:t>
            </w:r>
          </w:p>
        </w:tc>
        <w:tc>
          <w:tcPr>
            <w:tcW w:type="dxa" w:w="3816"/>
            <w:vAlign w:val="top"/>
          </w:tcPr>
          <w:p>
            <w:pPr>
              <w:pStyle w:val="TableText"/>
            </w:pPr>
            <w:r>
              <w:rPr>
                <w:sz w:val="18"/>
              </w:rPr>
              <w:t>Template, extensions, size limits, metadata, upload failure behavior, and any closing rules. [T01, T03]</w:t>
            </w:r>
          </w:p>
        </w:tc>
      </w:tr>
      <w:tr>
        <w:trPr>
          <w:cantSplit/>
        </w:trPr>
        <w:tc>
          <w:tcPr>
            <w:tcW w:type="dxa" w:w="1757"/>
            <w:vAlign w:val="top"/>
            <w:shd w:fill="F5F8FA"/>
          </w:tcPr>
          <w:p>
            <w:pPr>
              <w:pStyle w:val="TableText"/>
            </w:pPr>
            <w:r>
              <w:rPr>
                <w:sz w:val="18"/>
              </w:rPr>
              <w:t>FR07 • Proposal history</w:t>
            </w:r>
          </w:p>
        </w:tc>
        <w:tc>
          <w:tcPr>
            <w:tcW w:type="dxa" w:w="4118"/>
            <w:vAlign w:val="top"/>
            <w:shd w:fill="F5F8FA"/>
          </w:tcPr>
          <w:p>
            <w:pPr>
              <w:pStyle w:val="TableText"/>
            </w:pPr>
            <w:r>
              <w:rPr>
                <w:sz w:val="18"/>
              </w:rPr>
              <w:t>Store later uploads as additional versions and keep earlier files available for viewing.</w:t>
            </w:r>
          </w:p>
        </w:tc>
        <w:tc>
          <w:tcPr>
            <w:tcW w:type="dxa" w:w="3816"/>
            <w:vAlign w:val="top"/>
            <w:shd w:fill="F5F8FA"/>
          </w:tcPr>
          <w:p>
            <w:pPr>
              <w:pStyle w:val="TableText"/>
            </w:pPr>
            <w:r>
              <w:rPr>
                <w:sz w:val="18"/>
              </w:rPr>
              <w:t>Version numbering, labels, retention, deletion, rollback, or automated comparison. [T03]</w:t>
            </w:r>
          </w:p>
        </w:tc>
      </w:tr>
    </w:tbl>
    <w:p>
      <w:pPr>
        <w:spacing w:after="20"/>
      </w:pPr>
      <w:r/>
    </w:p>
    <w:p>
      <w:pPr>
        <w:pStyle w:val="Heading2"/>
      </w:pPr>
      <w:r>
        <w:t>8.1 What a campus needs to understand</w:t>
      </w:r>
    </w:p>
    <w:p>
      <w:r>
        <w:t>The campus workspace should make the meeting’s central questions answerable: What is the target? Where are we now? What still needs to change? Which proposal is the latest, and can we revisit an older one? A specific card arrangement, chart type, or navigation pattern was not selected. [T01, T03, T04]</w:t>
      </w:r>
    </w:p>
    <w:p>
      <w:pPr>
        <w:pStyle w:val="Heading2"/>
      </w:pPr>
      <w:r>
        <w:t>8.2 Indicator calculation boundary</w:t>
      </w:r>
    </w:p>
    <w:p>
      <w:r>
        <w:t>The system cannot derive an official readiness percentage from the transcript. Even a simple numeric difference needs a confirmed unit, period, target direction, and treatment of empty or invalid data. The mockup can illustrate a comparison, but any sample values must be identified as demonstration data rather than actual Holding criteria. This is a derived design safeguard based on the incomplete indicator definition. [T04]</w:t>
      </w:r>
    </w:p>
    <w:p>
      <w:pPr>
        <w:spacing w:before="120" w:after="180"/>
        <w:ind w:left="187" w:right="144"/>
        <w:shd w:fill="EDF4F6"/>
        <w:pBdr>
          <w:left w:val="single" w:sz="18" w:space="8" w:color="156C78"/>
        </w:pBdr>
      </w:pPr>
      <w:r/>
      <w:r>
        <w:rPr>
          <w:b/>
        </w:rPr>
        <w:t xml:space="preserve">Not a proposal builder  </w:t>
      </w:r>
      <w:r>
        <w:t>The selected proposal direction is file versioning. Do not replace that agreement with a form generator, an online document editor, or an AI writing feature unless a later decision changes the scope. [T03]</w:t>
      </w:r>
    </w:p>
    <w:p>
      <w:r>
        <w:br w:type="page"/>
      </w:r>
    </w:p>
    <w:p>
      <w:pPr>
        <w:pStyle w:val="Kicker"/>
      </w:pPr>
      <w:r>
        <w:t>PART II • DEDICATED WEB-APP SYSTEM SECTION</w:t>
      </w:r>
    </w:p>
    <w:p>
      <w:bookmarkStart w:id="10" w:name="requirements_interaction"/>
      <w:pPr>
        <w:pStyle w:val="Heading1"/>
      </w:pPr>
      <w:r>
        <w:t>9. Functional requirements: interaction &amp; outputs</w:t>
      </w:r>
      <w:bookmarkEnd w:id="10"/>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800"/>
        <w:gridCol w:w="4104"/>
        <w:gridCol w:w="3787"/>
      </w:tblGrid>
      <w:tr>
        <w:trPr>
          <w:tblHeader/>
        </w:trPr>
        <w:tc>
          <w:tcPr>
            <w:tcW w:type="dxa" w:w="1800"/>
            <w:vAlign w:val="center"/>
            <w:shd w:fill="183247"/>
          </w:tcPr>
          <w:p>
            <w:pPr>
              <w:pStyle w:val="TableText"/>
              <w:keepNext/>
            </w:pPr>
            <w:r>
              <w:rPr>
                <w:b/>
                <w:color w:val="FFFFFF"/>
                <w:sz w:val="18"/>
              </w:rPr>
              <w:t>ID / module</w:t>
            </w:r>
          </w:p>
        </w:tc>
        <w:tc>
          <w:tcPr>
            <w:tcW w:type="dxa" w:w="4104"/>
            <w:vAlign w:val="center"/>
            <w:shd w:fill="183247"/>
          </w:tcPr>
          <w:p>
            <w:pPr>
              <w:pStyle w:val="TableText"/>
              <w:keepNext/>
            </w:pPr>
            <w:r>
              <w:rPr>
                <w:b/>
                <w:color w:val="FFFFFF"/>
                <w:sz w:val="18"/>
              </w:rPr>
              <w:t>Required or suggested behavior</w:t>
            </w:r>
          </w:p>
        </w:tc>
        <w:tc>
          <w:tcPr>
            <w:tcW w:type="dxa" w:w="3787"/>
            <w:vAlign w:val="center"/>
            <w:shd w:fill="183247"/>
          </w:tcPr>
          <w:p>
            <w:pPr>
              <w:pStyle w:val="TableText"/>
              <w:keepNext/>
            </w:pPr>
            <w:r>
              <w:rPr>
                <w:b/>
                <w:color w:val="FFFFFF"/>
                <w:sz w:val="18"/>
              </w:rPr>
              <w:t>Open details / evidence</w:t>
            </w:r>
          </w:p>
        </w:tc>
      </w:tr>
      <w:tr>
        <w:trPr>
          <w:cantSplit/>
        </w:trPr>
        <w:tc>
          <w:tcPr>
            <w:tcW w:type="dxa" w:w="1800"/>
            <w:vAlign w:val="top"/>
            <w:shd w:fill="F5F8FA"/>
          </w:tcPr>
          <w:p>
            <w:pPr>
              <w:pStyle w:val="TableText"/>
            </w:pPr>
            <w:r>
              <w:rPr>
                <w:sz w:val="18"/>
              </w:rPr>
              <w:t>FR08 • Shared Q&amp;A</w:t>
            </w:r>
          </w:p>
        </w:tc>
        <w:tc>
          <w:tcPr>
            <w:tcW w:type="dxa" w:w="4104"/>
            <w:vAlign w:val="top"/>
            <w:shd w:fill="F5F8FA"/>
          </w:tcPr>
          <w:p>
            <w:pPr>
              <w:pStyle w:val="TableText"/>
            </w:pPr>
            <w:r>
              <w:rPr>
                <w:sz w:val="18"/>
              </w:rPr>
              <w:t>Support question threads with replies visible to the intended shared audience. The interaction is asynchronous, not a live support conversation.</w:t>
            </w:r>
          </w:p>
        </w:tc>
        <w:tc>
          <w:tcPr>
            <w:tcW w:type="dxa" w:w="3787"/>
            <w:vAlign w:val="top"/>
            <w:shd w:fill="F5F8FA"/>
          </w:tcPr>
          <w:p>
            <w:pPr>
              <w:pStyle w:val="TableText"/>
            </w:pPr>
            <w:r>
              <w:rPr>
                <w:sz w:val="18"/>
              </w:rPr>
              <w:t>Audience, peer replies, editing, deletion, moderation, attachments, and permissions. [T02]</w:t>
            </w:r>
          </w:p>
        </w:tc>
      </w:tr>
      <w:tr>
        <w:trPr>
          <w:cantSplit/>
        </w:trPr>
        <w:tc>
          <w:tcPr>
            <w:tcW w:type="dxa" w:w="1800"/>
            <w:vAlign w:val="top"/>
          </w:tcPr>
          <w:p>
            <w:pPr>
              <w:pStyle w:val="TableText"/>
            </w:pPr>
            <w:r>
              <w:rPr>
                <w:sz w:val="18"/>
              </w:rPr>
              <w:t>FR09 • Search</w:t>
            </w:r>
          </w:p>
        </w:tc>
        <w:tc>
          <w:tcPr>
            <w:tcW w:type="dxa" w:w="4104"/>
            <w:vAlign w:val="top"/>
          </w:tcPr>
          <w:p>
            <w:pPr>
              <w:pStyle w:val="TableText"/>
            </w:pPr>
            <w:r>
              <w:rPr>
                <w:sz w:val="18"/>
              </w:rPr>
              <w:t>Let users find existing questions and answers rather than repeatedly asking the same question.</w:t>
            </w:r>
          </w:p>
        </w:tc>
        <w:tc>
          <w:tcPr>
            <w:tcW w:type="dxa" w:w="3787"/>
            <w:vAlign w:val="top"/>
          </w:tcPr>
          <w:p>
            <w:pPr>
              <w:pStyle w:val="TableText"/>
            </w:pPr>
            <w:r>
              <w:rPr>
                <w:sz w:val="18"/>
              </w:rPr>
              <w:t>Searchable content, matching rules, filters, and result ordering. [T02]</w:t>
            </w:r>
          </w:p>
        </w:tc>
      </w:tr>
      <w:tr>
        <w:trPr>
          <w:cantSplit/>
        </w:trPr>
        <w:tc>
          <w:tcPr>
            <w:tcW w:type="dxa" w:w="1800"/>
            <w:vAlign w:val="top"/>
            <w:shd w:fill="F5F8FA"/>
          </w:tcPr>
          <w:p>
            <w:pPr>
              <w:pStyle w:val="TableText"/>
            </w:pPr>
            <w:r>
              <w:rPr>
                <w:sz w:val="18"/>
              </w:rPr>
              <w:t>FR10 • FAQ / ordering</w:t>
            </w:r>
          </w:p>
        </w:tc>
        <w:tc>
          <w:tcPr>
            <w:tcW w:type="dxa" w:w="4104"/>
            <w:vAlign w:val="top"/>
            <w:shd w:fill="F5F8FA"/>
          </w:tcPr>
          <w:p>
            <w:pPr>
              <w:pStyle w:val="TableText"/>
            </w:pPr>
            <w:r>
              <w:rPr>
                <w:sz w:val="18"/>
              </w:rPr>
              <w:t>Suggested: curate useful answers into an FAQ and consider popularity-based ordering.</w:t>
            </w:r>
          </w:p>
        </w:tc>
        <w:tc>
          <w:tcPr>
            <w:tcW w:type="dxa" w:w="3787"/>
            <w:vAlign w:val="top"/>
            <w:shd w:fill="F5F8FA"/>
          </w:tcPr>
          <w:p>
            <w:pPr>
              <w:pStyle w:val="TableText"/>
            </w:pPr>
            <w:r>
              <w:rPr>
                <w:sz w:val="18"/>
              </w:rPr>
              <w:t>Optional, not a mandatory release commitment; selection and popularity mechanics are undefined. [T02]</w:t>
            </w:r>
          </w:p>
        </w:tc>
      </w:tr>
      <w:tr>
        <w:trPr>
          <w:cantSplit/>
        </w:trPr>
        <w:tc>
          <w:tcPr>
            <w:tcW w:type="dxa" w:w="1800"/>
            <w:vAlign w:val="top"/>
          </w:tcPr>
          <w:p>
            <w:pPr>
              <w:pStyle w:val="TableText"/>
            </w:pPr>
            <w:r>
              <w:rPr>
                <w:sz w:val="18"/>
              </w:rPr>
              <w:t>FR11 • Data feedback</w:t>
            </w:r>
          </w:p>
        </w:tc>
        <w:tc>
          <w:tcPr>
            <w:tcW w:type="dxa" w:w="4104"/>
            <w:vAlign w:val="top"/>
          </w:tcPr>
          <w:p>
            <w:pPr>
              <w:pStyle w:val="TableText"/>
            </w:pPr>
            <w:r>
              <w:rPr>
                <w:sz w:val="18"/>
              </w:rPr>
              <w:t>Let administrators raise a request about campus monitoring data, for the campus to correct or update and return for review.</w:t>
            </w:r>
          </w:p>
        </w:tc>
        <w:tc>
          <w:tcPr>
            <w:tcW w:type="dxa" w:w="3787"/>
            <w:vAlign w:val="top"/>
          </w:tcPr>
          <w:p>
            <w:pPr>
              <w:pStyle w:val="TableText"/>
            </w:pPr>
            <w:r>
              <w:rPr>
                <w:sz w:val="18"/>
              </w:rPr>
              <w:t>First-release inclusion, record-versus-field linkage, attachments, due dates, and ticket statuses. [T07, T15]</w:t>
            </w:r>
          </w:p>
        </w:tc>
      </w:tr>
      <w:tr>
        <w:trPr>
          <w:cantSplit/>
        </w:trPr>
        <w:tc>
          <w:tcPr>
            <w:tcW w:type="dxa" w:w="1800"/>
            <w:vAlign w:val="top"/>
            <w:shd w:fill="F5F8FA"/>
          </w:tcPr>
          <w:p>
            <w:pPr>
              <w:pStyle w:val="TableText"/>
            </w:pPr>
            <w:r>
              <w:rPr>
                <w:sz w:val="18"/>
              </w:rPr>
              <w:t>FR12 • Review loop</w:t>
            </w:r>
          </w:p>
        </w:tc>
        <w:tc>
          <w:tcPr>
            <w:tcW w:type="dxa" w:w="4104"/>
            <w:vAlign w:val="top"/>
            <w:shd w:fill="F5F8FA"/>
          </w:tcPr>
          <w:p>
            <w:pPr>
              <w:pStyle w:val="TableText"/>
            </w:pPr>
            <w:r>
              <w:rPr>
                <w:sz w:val="18"/>
              </w:rPr>
              <w:t>Let administrators review a returned update and request further revision when needed.</w:t>
            </w:r>
          </w:p>
        </w:tc>
        <w:tc>
          <w:tcPr>
            <w:tcW w:type="dxa" w:w="3787"/>
            <w:vAlign w:val="top"/>
            <w:shd w:fill="F5F8FA"/>
          </w:tcPr>
          <w:p>
            <w:pPr>
              <w:pStyle w:val="TableText"/>
            </w:pPr>
            <w:r>
              <w:rPr>
                <w:sz w:val="18"/>
              </w:rPr>
              <w:t>Closure, acceptance authority, resubmission behavior, and audit detail. This is not proposal scoring. [T06, T07]</w:t>
            </w:r>
          </w:p>
        </w:tc>
      </w:tr>
      <w:tr>
        <w:trPr>
          <w:cantSplit/>
        </w:trPr>
        <w:tc>
          <w:tcPr>
            <w:tcW w:type="dxa" w:w="1800"/>
            <w:vAlign w:val="top"/>
          </w:tcPr>
          <w:p>
            <w:pPr>
              <w:pStyle w:val="TableText"/>
            </w:pPr>
            <w:r>
              <w:rPr>
                <w:sz w:val="18"/>
              </w:rPr>
              <w:t>FR13 • Notifications</w:t>
            </w:r>
          </w:p>
        </w:tc>
        <w:tc>
          <w:tcPr>
            <w:tcW w:type="dxa" w:w="4104"/>
            <w:vAlign w:val="top"/>
          </w:tcPr>
          <w:p>
            <w:pPr>
              <w:pStyle w:val="TableText"/>
            </w:pPr>
            <w:r>
              <w:rPr>
                <w:sz w:val="18"/>
              </w:rPr>
              <w:t>Alert the campus when feedback is issued; notify the administrator when the campus updates the requested data.</w:t>
            </w:r>
          </w:p>
        </w:tc>
        <w:tc>
          <w:tcPr>
            <w:tcW w:type="dxa" w:w="3787"/>
            <w:vAlign w:val="top"/>
          </w:tcPr>
          <w:p>
            <w:pPr>
              <w:pStyle w:val="TableText"/>
            </w:pPr>
            <w:r>
              <w:rPr>
                <w:sz w:val="18"/>
              </w:rPr>
              <w:t>Email and in-app options were discussed; recipients, templates, triggers, retries, and delivery records are open. [T07]</w:t>
            </w:r>
          </w:p>
        </w:tc>
      </w:tr>
      <w:tr>
        <w:trPr>
          <w:cantSplit/>
        </w:trPr>
        <w:tc>
          <w:tcPr>
            <w:tcW w:type="dxa" w:w="1800"/>
            <w:vAlign w:val="top"/>
            <w:shd w:fill="F5F8FA"/>
          </w:tcPr>
          <w:p>
            <w:pPr>
              <w:pStyle w:val="TableText"/>
            </w:pPr>
            <w:r>
              <w:rPr>
                <w:sz w:val="18"/>
              </w:rPr>
              <w:t>FR14 • Recap / export</w:t>
            </w:r>
          </w:p>
        </w:tc>
        <w:tc>
          <w:tcPr>
            <w:tcW w:type="dxa" w:w="4104"/>
            <w:vAlign w:val="top"/>
            <w:shd w:fill="F5F8FA"/>
          </w:tcPr>
          <w:p>
            <w:pPr>
              <w:pStyle w:val="TableText"/>
            </w:pPr>
            <w:r>
              <w:rPr>
                <w:sz w:val="18"/>
              </w:rPr>
              <w:t>Provide a consolidated dashboard recap that can be downloaded.</w:t>
            </w:r>
          </w:p>
        </w:tc>
        <w:tc>
          <w:tcPr>
            <w:tcW w:type="dxa" w:w="3787"/>
            <w:vAlign w:val="top"/>
            <w:shd w:fill="F5F8FA"/>
          </w:tcPr>
          <w:p>
            <w:pPr>
              <w:pStyle w:val="TableText"/>
            </w:pPr>
            <w:r>
              <w:rPr>
                <w:sz w:val="18"/>
              </w:rPr>
              <w:t>Content, file type, reporting period, filters, and export permissions beyond PF. [T05, T06]</w:t>
            </w:r>
          </w:p>
        </w:tc>
      </w:tr>
      <w:tr>
        <w:trPr>
          <w:cantSplit/>
        </w:trPr>
        <w:tc>
          <w:tcPr>
            <w:tcW w:type="dxa" w:w="1800"/>
            <w:vAlign w:val="top"/>
          </w:tcPr>
          <w:p>
            <w:pPr>
              <w:pStyle w:val="TableText"/>
            </w:pPr>
            <w:r>
              <w:rPr>
                <w:sz w:val="18"/>
              </w:rPr>
              <w:t>FR15 • Mobile access</w:t>
            </w:r>
          </w:p>
        </w:tc>
        <w:tc>
          <w:tcPr>
            <w:tcW w:type="dxa" w:w="4104"/>
            <w:vAlign w:val="top"/>
          </w:tcPr>
          <w:p>
            <w:pPr>
              <w:pStyle w:val="TableText"/>
            </w:pPr>
            <w:r>
              <w:rPr>
                <w:sz w:val="18"/>
              </w:rPr>
              <w:t>Requested preference: access the website, particularly Q&amp;A, from a phone and respond when needed.</w:t>
            </w:r>
          </w:p>
        </w:tc>
        <w:tc>
          <w:tcPr>
            <w:tcW w:type="dxa" w:w="3787"/>
            <w:vAlign w:val="top"/>
          </w:tcPr>
          <w:p>
            <w:pPr>
              <w:pStyle w:val="TableText"/>
            </w:pPr>
            <w:r>
              <w:rPr>
                <w:sz w:val="18"/>
              </w:rPr>
              <w:t>Supported devices, browser coverage, responsive layouts, and test criteria. No native mobile app was requested. [T15]</w:t>
            </w:r>
          </w:p>
        </w:tc>
      </w:tr>
    </w:tbl>
    <w:p>
      <w:pPr>
        <w:spacing w:after="20"/>
      </w:pPr>
      <w:r/>
    </w:p>
    <w:p>
      <w:pPr>
        <w:pStyle w:val="Heading2"/>
      </w:pPr>
      <w:r>
        <w:t>9.1 Keep the two discussion channels distinct</w:t>
      </w:r>
    </w:p>
    <w:p>
      <w:r>
        <w:t>Q&amp;A is a reusable knowledge conversation. A data-feedback request belongs to a particular campus’s monitoring issue and has a correction-and-review cycle. They may use similar comment interfaces, but combining them into a single undifferentiated feed would lose the distinction explicitly made in the meeting. [T02, T07]</w:t>
      </w:r>
    </w:p>
    <w:p>
      <w:pPr>
        <w:pStyle w:val="Heading2"/>
      </w:pPr>
      <w:r>
        <w:t>9.2 Reporting does not imply a ranking system</w:t>
      </w:r>
    </w:p>
    <w:p>
      <w:r>
        <w:t>The administrator needs visibility and exports, not a judging module. A below-target indicator, an attention-needed list, a campus leaderboard, and a scored assessment are different concepts. Only target comparison and program oversight are supported; the transcript does not define a scoring model or campus ranking. [T04–T06]</w:t>
      </w:r>
    </w:p>
    <w:p>
      <w:r>
        <w:br w:type="page"/>
      </w:r>
    </w:p>
    <w:p>
      <w:pPr>
        <w:pStyle w:val="Kicker"/>
      </w:pPr>
      <w:r>
        <w:t>PART II • DEDICATED WEB-APP SYSTEM SECTION</w:t>
      </w:r>
    </w:p>
    <w:p>
      <w:bookmarkStart w:id="11" w:name="system_workflows"/>
      <w:pPr>
        <w:pStyle w:val="Heading1"/>
      </w:pPr>
      <w:r>
        <w:t>10. End-to-end workflows &amp; screen coverage</w:t>
      </w:r>
      <w:bookmarkEnd w:id="11"/>
    </w:p>
    <w:p>
      <w:pPr>
        <w:pStyle w:val="Small"/>
      </w:pPr>
      <w:r>
        <w:t>The flows below are derived summaries of the interactions described in the meeting. They do not prescribe API endpoints, database transactions, ticket-status labels, or a final user-interface design.</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699"/>
        <w:gridCol w:w="4666"/>
        <w:gridCol w:w="3326"/>
      </w:tblGrid>
      <w:tr>
        <w:trPr>
          <w:tblHeader/>
        </w:trPr>
        <w:tc>
          <w:tcPr>
            <w:tcW w:type="dxa" w:w="1699"/>
            <w:vAlign w:val="center"/>
            <w:shd w:fill="183247"/>
          </w:tcPr>
          <w:p>
            <w:pPr>
              <w:pStyle w:val="TableText"/>
              <w:keepNext/>
            </w:pPr>
            <w:r>
              <w:rPr>
                <w:b/>
                <w:color w:val="FFFFFF"/>
                <w:sz w:val="18"/>
              </w:rPr>
              <w:t>Flow</w:t>
            </w:r>
          </w:p>
        </w:tc>
        <w:tc>
          <w:tcPr>
            <w:tcW w:type="dxa" w:w="4666"/>
            <w:vAlign w:val="center"/>
            <w:shd w:fill="183247"/>
          </w:tcPr>
          <w:p>
            <w:pPr>
              <w:pStyle w:val="TableText"/>
              <w:keepNext/>
            </w:pPr>
            <w:r>
              <w:rPr>
                <w:b/>
                <w:color w:val="FFFFFF"/>
                <w:sz w:val="18"/>
              </w:rPr>
              <w:t>Sequence</w:t>
            </w:r>
          </w:p>
        </w:tc>
        <w:tc>
          <w:tcPr>
            <w:tcW w:type="dxa" w:w="3326"/>
            <w:vAlign w:val="center"/>
            <w:shd w:fill="183247"/>
          </w:tcPr>
          <w:p>
            <w:pPr>
              <w:pStyle w:val="TableText"/>
              <w:keepNext/>
            </w:pPr>
            <w:r>
              <w:rPr>
                <w:b/>
                <w:color w:val="FFFFFF"/>
                <w:sz w:val="18"/>
              </w:rPr>
              <w:t>Output / unresolved point</w:t>
            </w:r>
          </w:p>
        </w:tc>
      </w:tr>
      <w:tr>
        <w:trPr>
          <w:cantSplit/>
        </w:trPr>
        <w:tc>
          <w:tcPr>
            <w:tcW w:type="dxa" w:w="1699"/>
            <w:vAlign w:val="top"/>
            <w:shd w:fill="F5F8FA"/>
          </w:tcPr>
          <w:p>
            <w:pPr>
              <w:pStyle w:val="TableText"/>
            </w:pPr>
            <w:r>
              <w:rPr>
                <w:sz w:val="18"/>
              </w:rPr>
              <w:t>W01 • Campus progress</w:t>
            </w:r>
          </w:p>
        </w:tc>
        <w:tc>
          <w:tcPr>
            <w:tcW w:type="dxa" w:w="4666"/>
            <w:vAlign w:val="top"/>
            <w:shd w:fill="F5F8FA"/>
          </w:tcPr>
          <w:p>
            <w:pPr>
              <w:pStyle w:val="TableText"/>
            </w:pPr>
            <w:r>
              <w:rPr>
                <w:sz w:val="18"/>
              </w:rPr>
              <w:t>Campus signs in → opens its monitoring data → enters or updates values → sees current position against approved targets → PF reviews the latest situation.</w:t>
            </w:r>
          </w:p>
        </w:tc>
        <w:tc>
          <w:tcPr>
            <w:tcW w:type="dxa" w:w="3326"/>
            <w:vAlign w:val="top"/>
            <w:shd w:fill="F5F8FA"/>
          </w:tcPr>
          <w:p>
            <w:pPr>
              <w:pStyle w:val="TableText"/>
            </w:pPr>
            <w:r>
              <w:rPr>
                <w:sz w:val="18"/>
              </w:rPr>
              <w:t>Updated campus view and PF oversight. Save/submission behavior and historical snapshots are open. [T04, T05]</w:t>
            </w:r>
          </w:p>
        </w:tc>
      </w:tr>
      <w:tr>
        <w:trPr>
          <w:cantSplit/>
        </w:trPr>
        <w:tc>
          <w:tcPr>
            <w:tcW w:type="dxa" w:w="1699"/>
            <w:vAlign w:val="top"/>
          </w:tcPr>
          <w:p>
            <w:pPr>
              <w:pStyle w:val="TableText"/>
            </w:pPr>
            <w:r>
              <w:rPr>
                <w:sz w:val="18"/>
              </w:rPr>
              <w:t>W02 • Proposal revision</w:t>
            </w:r>
          </w:p>
        </w:tc>
        <w:tc>
          <w:tcPr>
            <w:tcW w:type="dxa" w:w="4666"/>
            <w:vAlign w:val="top"/>
          </w:tcPr>
          <w:p>
            <w:pPr>
              <w:pStyle w:val="TableText"/>
            </w:pPr>
            <w:r>
              <w:rPr>
                <w:sz w:val="18"/>
              </w:rPr>
              <w:t>Campus uploads the first proposal → later uploads a revised file → system retains both versions → user opens the selected version.</w:t>
            </w:r>
          </w:p>
        </w:tc>
        <w:tc>
          <w:tcPr>
            <w:tcW w:type="dxa" w:w="3326"/>
            <w:vAlign w:val="top"/>
          </w:tcPr>
          <w:p>
            <w:pPr>
              <w:pStyle w:val="TableText"/>
            </w:pPr>
            <w:r>
              <w:rPr>
                <w:sz w:val="18"/>
              </w:rPr>
              <w:t>Accessible version history. Inline editing and automatic document differences are not part of the agreement. [T03]</w:t>
            </w:r>
          </w:p>
        </w:tc>
      </w:tr>
      <w:tr>
        <w:trPr>
          <w:cantSplit/>
        </w:trPr>
        <w:tc>
          <w:tcPr>
            <w:tcW w:type="dxa" w:w="1699"/>
            <w:vAlign w:val="top"/>
            <w:shd w:fill="F5F8FA"/>
          </w:tcPr>
          <w:p>
            <w:pPr>
              <w:pStyle w:val="TableText"/>
            </w:pPr>
            <w:r>
              <w:rPr>
                <w:sz w:val="18"/>
              </w:rPr>
              <w:t>W03 • Shared question</w:t>
            </w:r>
          </w:p>
        </w:tc>
        <w:tc>
          <w:tcPr>
            <w:tcW w:type="dxa" w:w="4666"/>
            <w:vAlign w:val="top"/>
            <w:shd w:fill="F5F8FA"/>
          </w:tcPr>
          <w:p>
            <w:pPr>
              <w:pStyle w:val="TableText"/>
            </w:pPr>
            <w:r>
              <w:rPr>
                <w:sz w:val="18"/>
              </w:rPr>
              <w:t>User searches prior Q&amp;A → posts a question when needed → administrator replies → the shared audience can find the answer later.</w:t>
            </w:r>
          </w:p>
        </w:tc>
        <w:tc>
          <w:tcPr>
            <w:tcW w:type="dxa" w:w="3326"/>
            <w:vAlign w:val="top"/>
            <w:shd w:fill="F5F8FA"/>
          </w:tcPr>
          <w:p>
            <w:pPr>
              <w:pStyle w:val="TableText"/>
            </w:pPr>
            <w:r>
              <w:rPr>
                <w:sz w:val="18"/>
              </w:rPr>
              <w:t>Reusable answer thread. FAQ promotion is optional; the exact audience is unresolved. [T02]</w:t>
            </w:r>
          </w:p>
        </w:tc>
      </w:tr>
      <w:tr>
        <w:trPr>
          <w:cantSplit/>
        </w:trPr>
        <w:tc>
          <w:tcPr>
            <w:tcW w:type="dxa" w:w="1699"/>
            <w:vAlign w:val="top"/>
          </w:tcPr>
          <w:p>
            <w:pPr>
              <w:pStyle w:val="TableText"/>
            </w:pPr>
            <w:r>
              <w:rPr>
                <w:sz w:val="18"/>
              </w:rPr>
              <w:t>W04 • Data correction</w:t>
            </w:r>
          </w:p>
        </w:tc>
        <w:tc>
          <w:tcPr>
            <w:tcW w:type="dxa" w:w="4666"/>
            <w:vAlign w:val="top"/>
          </w:tcPr>
          <w:p>
            <w:pPr>
              <w:pStyle w:val="TableText"/>
            </w:pPr>
            <w:r>
              <w:rPr>
                <w:sz w:val="18"/>
              </w:rPr>
              <w:t>PF raises a data issue → campus receives notice → campus updates the data / responds → PF receives notice and reviews → further revision is requested when needed.</w:t>
            </w:r>
          </w:p>
        </w:tc>
        <w:tc>
          <w:tcPr>
            <w:tcW w:type="dxa" w:w="3326"/>
            <w:vAlign w:val="top"/>
          </w:tcPr>
          <w:p>
            <w:pPr>
              <w:pStyle w:val="TableText"/>
            </w:pPr>
            <w:r>
              <w:rPr>
                <w:sz w:val="18"/>
              </w:rPr>
              <w:t>Two-way follow-up separate from Q&amp;A. Formal closure rules and first-release scope need confirmation. [T07, T15]</w:t>
            </w:r>
          </w:p>
        </w:tc>
      </w:tr>
      <w:tr>
        <w:trPr>
          <w:cantSplit/>
        </w:trPr>
        <w:tc>
          <w:tcPr>
            <w:tcW w:type="dxa" w:w="1699"/>
            <w:vAlign w:val="top"/>
            <w:shd w:fill="F5F8FA"/>
          </w:tcPr>
          <w:p>
            <w:pPr>
              <w:pStyle w:val="TableText"/>
            </w:pPr>
            <w:r>
              <w:rPr>
                <w:sz w:val="18"/>
              </w:rPr>
              <w:t>W05 • Reporting</w:t>
            </w:r>
          </w:p>
        </w:tc>
        <w:tc>
          <w:tcPr>
            <w:tcW w:type="dxa" w:w="4666"/>
            <w:vAlign w:val="top"/>
            <w:shd w:fill="F5F8FA"/>
          </w:tcPr>
          <w:p>
            <w:pPr>
              <w:pStyle w:val="TableText"/>
            </w:pPr>
            <w:r>
              <w:rPr>
                <w:sz w:val="18"/>
              </w:rPr>
              <w:t>PF opens the cross-campus dashboard → reviews relevant campus positions → downloads the recap.</w:t>
            </w:r>
          </w:p>
        </w:tc>
        <w:tc>
          <w:tcPr>
            <w:tcW w:type="dxa" w:w="3326"/>
            <w:vAlign w:val="top"/>
            <w:shd w:fill="F5F8FA"/>
          </w:tcPr>
          <w:p>
            <w:pPr>
              <w:pStyle w:val="TableText"/>
            </w:pPr>
            <w:r>
              <w:rPr>
                <w:sz w:val="18"/>
              </w:rPr>
              <w:t>Downloadable summary. Filters, report period, and output file type are open. [T05, T06]</w:t>
            </w:r>
          </w:p>
        </w:tc>
      </w:tr>
    </w:tbl>
    <w:p>
      <w:pPr>
        <w:spacing w:after="20"/>
      </w:pPr>
      <w:r/>
    </w:p>
    <w:p>
      <w:pPr>
        <w:pStyle w:val="Heading2"/>
      </w:pPr>
      <w:r>
        <w:t>Proposed screen inventory for review</w:t>
      </w:r>
    </w:p>
    <w:p>
      <w:pPr>
        <w:pStyle w:val="Small"/>
      </w:pPr>
      <w:r>
        <w:t>A compact screen set can represent the requested functions without implying that the meeting chose these exact menu labels. The following grouping is editorial and should be reviewed with stakeholders.</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4846"/>
        <w:gridCol w:w="4846"/>
      </w:tblGrid>
      <w:tr>
        <w:trPr>
          <w:tblHeader/>
        </w:trPr>
        <w:tc>
          <w:tcPr>
            <w:tcW w:type="dxa" w:w="4846"/>
            <w:vAlign w:val="center"/>
            <w:shd w:fill="183247"/>
          </w:tcPr>
          <w:p>
            <w:pPr>
              <w:pStyle w:val="TableText"/>
              <w:keepNext/>
            </w:pPr>
            <w:r>
              <w:rPr>
                <w:b/>
                <w:color w:val="FFFFFF"/>
                <w:sz w:val="18"/>
              </w:rPr>
              <w:t>Campus workspace</w:t>
            </w:r>
          </w:p>
        </w:tc>
        <w:tc>
          <w:tcPr>
            <w:tcW w:type="dxa" w:w="4846"/>
            <w:vAlign w:val="center"/>
            <w:shd w:fill="183247"/>
          </w:tcPr>
          <w:p>
            <w:pPr>
              <w:pStyle w:val="TableText"/>
              <w:keepNext/>
            </w:pPr>
            <w:r>
              <w:rPr>
                <w:b/>
                <w:color w:val="FFFFFF"/>
                <w:sz w:val="18"/>
              </w:rPr>
              <w:t>PF / administrator workspace</w:t>
            </w:r>
          </w:p>
        </w:tc>
      </w:tr>
      <w:tr>
        <w:trPr>
          <w:cantSplit/>
        </w:trPr>
        <w:tc>
          <w:tcPr>
            <w:tcW w:type="dxa" w:w="4846"/>
            <w:vAlign w:val="top"/>
            <w:shd w:fill="F5F8FA"/>
          </w:tcPr>
          <w:p>
            <w:pPr>
              <w:pStyle w:val="TableText"/>
            </w:pPr>
            <w:r>
              <w:rPr>
                <w:sz w:val="18"/>
              </w:rPr>
              <w:t>Sign-in; campus overview; indicator data entry / update; current target comparisons.</w:t>
            </w:r>
          </w:p>
        </w:tc>
        <w:tc>
          <w:tcPr>
            <w:tcW w:type="dxa" w:w="4846"/>
            <w:vAlign w:val="top"/>
            <w:shd w:fill="F5F8FA"/>
          </w:tcPr>
          <w:p>
            <w:pPr>
              <w:pStyle w:val="TableText"/>
            </w:pPr>
            <w:r>
              <w:rPr>
                <w:sz w:val="18"/>
              </w:rPr>
              <w:t>Sign-in; cross-campus overview; campus detail; indicator review.</w:t>
            </w:r>
          </w:p>
        </w:tc>
      </w:tr>
      <w:tr>
        <w:trPr>
          <w:cantSplit/>
        </w:trPr>
        <w:tc>
          <w:tcPr>
            <w:tcW w:type="dxa" w:w="4846"/>
            <w:vAlign w:val="top"/>
          </w:tcPr>
          <w:p>
            <w:pPr>
              <w:pStyle w:val="TableText"/>
            </w:pPr>
            <w:r>
              <w:rPr>
                <w:sz w:val="18"/>
              </w:rPr>
              <w:t>Proposal upload; latest proposal; earlier versions.</w:t>
            </w:r>
          </w:p>
        </w:tc>
        <w:tc>
          <w:tcPr>
            <w:tcW w:type="dxa" w:w="4846"/>
            <w:vAlign w:val="top"/>
          </w:tcPr>
          <w:p>
            <w:pPr>
              <w:pStyle w:val="TableText"/>
            </w:pPr>
            <w:r>
              <w:rPr>
                <w:sz w:val="18"/>
              </w:rPr>
              <w:t>Campus proposal versions and related oversight.</w:t>
            </w:r>
          </w:p>
        </w:tc>
      </w:tr>
      <w:tr>
        <w:trPr>
          <w:cantSplit/>
        </w:trPr>
        <w:tc>
          <w:tcPr>
            <w:tcW w:type="dxa" w:w="4846"/>
            <w:vAlign w:val="top"/>
            <w:shd w:fill="F5F8FA"/>
          </w:tcPr>
          <w:p>
            <w:pPr>
              <w:pStyle w:val="TableText"/>
            </w:pPr>
            <w:r>
              <w:rPr>
                <w:sz w:val="18"/>
              </w:rPr>
              <w:t>Shared Q&amp;A / search; question detail; optional FAQ.</w:t>
            </w:r>
          </w:p>
        </w:tc>
        <w:tc>
          <w:tcPr>
            <w:tcW w:type="dxa" w:w="4846"/>
            <w:vAlign w:val="top"/>
            <w:shd w:fill="F5F8FA"/>
          </w:tcPr>
          <w:p>
            <w:pPr>
              <w:pStyle w:val="TableText"/>
            </w:pPr>
            <w:r>
              <w:rPr>
                <w:sz w:val="18"/>
              </w:rPr>
              <w:t>Shared Q&amp;A / search; reply interface; optional FAQ curation.</w:t>
            </w:r>
          </w:p>
        </w:tc>
      </w:tr>
      <w:tr>
        <w:trPr>
          <w:cantSplit/>
        </w:trPr>
        <w:tc>
          <w:tcPr>
            <w:tcW w:type="dxa" w:w="4846"/>
            <w:vAlign w:val="top"/>
          </w:tcPr>
          <w:p>
            <w:pPr>
              <w:pStyle w:val="TableText"/>
            </w:pPr>
            <w:r>
              <w:rPr>
                <w:sz w:val="18"/>
              </w:rPr>
              <w:t>Data-feedback detail and response; notifications, if selected.</w:t>
            </w:r>
          </w:p>
        </w:tc>
        <w:tc>
          <w:tcPr>
            <w:tcW w:type="dxa" w:w="4846"/>
            <w:vAlign w:val="top"/>
          </w:tcPr>
          <w:p>
            <w:pPr>
              <w:pStyle w:val="TableText"/>
            </w:pPr>
            <w:r>
              <w:rPr>
                <w:sz w:val="18"/>
              </w:rPr>
              <w:t>Data-feedback creation and review; notifications; downloadable recap.</w:t>
            </w:r>
          </w:p>
        </w:tc>
      </w:tr>
    </w:tbl>
    <w:p>
      <w:pPr>
        <w:spacing w:after="20"/>
      </w:pPr>
      <w:r/>
    </w:p>
    <w:p>
      <w:pPr>
        <w:pStyle w:val="Small"/>
      </w:pPr>
      <w:r>
        <w:t>Account administration, target configuration, notification settings, and reporting controls may need screens, but their user-interface scope was not established. Do not treat them as approved pages without a follow-up decision.</w:t>
      </w:r>
    </w:p>
    <w:p>
      <w:r>
        <w:br w:type="page"/>
      </w:r>
    </w:p>
    <w:p>
      <w:pPr>
        <w:pStyle w:val="Kicker"/>
      </w:pPr>
      <w:r>
        <w:t>PART II • DEDICATED WEB-APP SYSTEM SECTION</w:t>
      </w:r>
    </w:p>
    <w:p>
      <w:bookmarkStart w:id="12" w:name="system_data"/>
      <w:pPr>
        <w:pStyle w:val="Heading1"/>
      </w:pPr>
      <w:r>
        <w:t>11. Data inventory &amp; business-rule boundaries</w:t>
      </w:r>
      <w:bookmarkEnd w:id="12"/>
    </w:p>
    <w:p>
      <w:pPr>
        <w:pStyle w:val="Small"/>
      </w:pPr>
      <w:r>
        <w:t>This is a conceptual inventory derived from the requested behavior, not an agreed database schema. The transcript supports the objects and relationships below but does not supply their complete fields, identifiers, or storage design.</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2016"/>
        <w:gridCol w:w="3859"/>
        <w:gridCol w:w="3816"/>
      </w:tblGrid>
      <w:tr>
        <w:trPr>
          <w:tblHeader/>
        </w:trPr>
        <w:tc>
          <w:tcPr>
            <w:tcW w:type="dxa" w:w="2016"/>
            <w:vAlign w:val="center"/>
            <w:shd w:fill="183247"/>
          </w:tcPr>
          <w:p>
            <w:pPr>
              <w:pStyle w:val="TableText"/>
              <w:keepNext/>
            </w:pPr>
            <w:r>
              <w:rPr>
                <w:b/>
                <w:color w:val="FFFFFF"/>
                <w:sz w:val="18"/>
              </w:rPr>
              <w:t>Information object</w:t>
            </w:r>
          </w:p>
        </w:tc>
        <w:tc>
          <w:tcPr>
            <w:tcW w:type="dxa" w:w="3859"/>
            <w:vAlign w:val="center"/>
            <w:shd w:fill="183247"/>
          </w:tcPr>
          <w:p>
            <w:pPr>
              <w:pStyle w:val="TableText"/>
              <w:keepNext/>
            </w:pPr>
            <w:r>
              <w:rPr>
                <w:b/>
                <w:color w:val="FFFFFF"/>
                <w:sz w:val="18"/>
              </w:rPr>
              <w:t>Supported relationship / use</w:t>
            </w:r>
          </w:p>
        </w:tc>
        <w:tc>
          <w:tcPr>
            <w:tcW w:type="dxa" w:w="3816"/>
            <w:vAlign w:val="center"/>
            <w:shd w:fill="183247"/>
          </w:tcPr>
          <w:p>
            <w:pPr>
              <w:pStyle w:val="TableText"/>
              <w:keepNext/>
            </w:pPr>
            <w:r>
              <w:rPr>
                <w:b/>
                <w:color w:val="FFFFFF"/>
                <w:sz w:val="18"/>
              </w:rPr>
              <w:t>Missing definition</w:t>
            </w:r>
          </w:p>
        </w:tc>
      </w:tr>
      <w:tr>
        <w:trPr>
          <w:cantSplit/>
        </w:trPr>
        <w:tc>
          <w:tcPr>
            <w:tcW w:type="dxa" w:w="2016"/>
            <w:vAlign w:val="top"/>
            <w:shd w:fill="F5F8FA"/>
          </w:tcPr>
          <w:p>
            <w:pPr>
              <w:pStyle w:val="TableText"/>
            </w:pPr>
            <w:r>
              <w:rPr>
                <w:sz w:val="18"/>
              </w:rPr>
              <w:t>Campus and account</w:t>
            </w:r>
          </w:p>
        </w:tc>
        <w:tc>
          <w:tcPr>
            <w:tcW w:type="dxa" w:w="3859"/>
            <w:vAlign w:val="top"/>
            <w:shd w:fill="F5F8FA"/>
          </w:tcPr>
          <w:p>
            <w:pPr>
              <w:pStyle w:val="TableText"/>
            </w:pPr>
            <w:r>
              <w:rPr>
                <w:sz w:val="18"/>
              </w:rPr>
              <w:t>A campus has an initial campus account; PF sees across campuses.</w:t>
            </w:r>
          </w:p>
        </w:tc>
        <w:tc>
          <w:tcPr>
            <w:tcW w:type="dxa" w:w="3816"/>
            <w:vAlign w:val="top"/>
            <w:shd w:fill="F5F8FA"/>
          </w:tcPr>
          <w:p>
            <w:pPr>
              <w:pStyle w:val="TableText"/>
            </w:pPr>
            <w:r>
              <w:rPr>
                <w:sz w:val="18"/>
              </w:rPr>
              <w:t>Campus identifiers, contacts, account-holder handover, credentials, and DMM identity. [T05]</w:t>
            </w:r>
          </w:p>
        </w:tc>
      </w:tr>
      <w:tr>
        <w:trPr>
          <w:cantSplit/>
        </w:trPr>
        <w:tc>
          <w:tcPr>
            <w:tcW w:type="dxa" w:w="2016"/>
            <w:vAlign w:val="top"/>
          </w:tcPr>
          <w:p>
            <w:pPr>
              <w:pStyle w:val="TableText"/>
            </w:pPr>
            <w:r>
              <w:rPr>
                <w:sz w:val="18"/>
              </w:rPr>
              <w:t>Indicator definition and target</w:t>
            </w:r>
          </w:p>
        </w:tc>
        <w:tc>
          <w:tcPr>
            <w:tcW w:type="dxa" w:w="3859"/>
            <w:vAlign w:val="top"/>
          </w:tcPr>
          <w:p>
            <w:pPr>
              <w:pStyle w:val="TableText"/>
            </w:pPr>
            <w:r>
              <w:rPr>
                <w:sz w:val="18"/>
              </w:rPr>
              <w:t>Campus values are compared with the Holding criteria / benchmark discussed.</w:t>
            </w:r>
          </w:p>
        </w:tc>
        <w:tc>
          <w:tcPr>
            <w:tcW w:type="dxa" w:w="3816"/>
            <w:vAlign w:val="top"/>
          </w:tcPr>
          <w:p>
            <w:pPr>
              <w:pStyle w:val="TableText"/>
            </w:pPr>
            <w:r>
              <w:rPr>
                <w:sz w:val="18"/>
              </w:rPr>
              <w:t>Full list; unit; reporting period; target; rule; effective date; source of truth. [T01, T04]</w:t>
            </w:r>
          </w:p>
        </w:tc>
      </w:tr>
      <w:tr>
        <w:trPr>
          <w:cantSplit/>
        </w:trPr>
        <w:tc>
          <w:tcPr>
            <w:tcW w:type="dxa" w:w="2016"/>
            <w:vAlign w:val="top"/>
            <w:shd w:fill="F5F8FA"/>
          </w:tcPr>
          <w:p>
            <w:pPr>
              <w:pStyle w:val="TableText"/>
            </w:pPr>
            <w:r>
              <w:rPr>
                <w:sz w:val="18"/>
              </w:rPr>
              <w:t>Campus indicator values</w:t>
            </w:r>
          </w:p>
        </w:tc>
        <w:tc>
          <w:tcPr>
            <w:tcW w:type="dxa" w:w="3859"/>
            <w:vAlign w:val="top"/>
            <w:shd w:fill="F5F8FA"/>
          </w:tcPr>
          <w:p>
            <w:pPr>
              <w:pStyle w:val="TableText"/>
            </w:pPr>
            <w:r>
              <w:rPr>
                <w:sz w:val="18"/>
              </w:rPr>
              <w:t>Campus enters and updates its own monitoring data.</w:t>
            </w:r>
          </w:p>
        </w:tc>
        <w:tc>
          <w:tcPr>
            <w:tcW w:type="dxa" w:w="3816"/>
            <w:vAlign w:val="top"/>
            <w:shd w:fill="F5F8FA"/>
          </w:tcPr>
          <w:p>
            <w:pPr>
              <w:pStyle w:val="TableText"/>
            </w:pPr>
            <w:r>
              <w:rPr>
                <w:sz w:val="18"/>
              </w:rPr>
              <w:t>Required fields, value types, validation, import method, provenance, and history. [T04]</w:t>
            </w:r>
          </w:p>
        </w:tc>
      </w:tr>
      <w:tr>
        <w:trPr>
          <w:cantSplit/>
        </w:trPr>
        <w:tc>
          <w:tcPr>
            <w:tcW w:type="dxa" w:w="2016"/>
            <w:vAlign w:val="top"/>
          </w:tcPr>
          <w:p>
            <w:pPr>
              <w:pStyle w:val="TableText"/>
            </w:pPr>
            <w:r>
              <w:rPr>
                <w:sz w:val="18"/>
              </w:rPr>
              <w:t>Proposal and versions</w:t>
            </w:r>
          </w:p>
        </w:tc>
        <w:tc>
          <w:tcPr>
            <w:tcW w:type="dxa" w:w="3859"/>
            <w:vAlign w:val="top"/>
          </w:tcPr>
          <w:p>
            <w:pPr>
              <w:pStyle w:val="TableText"/>
            </w:pPr>
            <w:r>
              <w:rPr>
                <w:sz w:val="18"/>
              </w:rPr>
              <w:t>Successive files belong to the campus’s proposal history; previous versions remain available.</w:t>
            </w:r>
          </w:p>
        </w:tc>
        <w:tc>
          <w:tcPr>
            <w:tcW w:type="dxa" w:w="3816"/>
            <w:vAlign w:val="top"/>
          </w:tcPr>
          <w:p>
            <w:pPr>
              <w:pStyle w:val="TableText"/>
            </w:pPr>
            <w:r>
              <w:rPr>
                <w:sz w:val="18"/>
              </w:rPr>
              <w:t>Template, metadata, author attribution, file rules, deletion, and retention. [T03]</w:t>
            </w:r>
          </w:p>
        </w:tc>
      </w:tr>
      <w:tr>
        <w:trPr>
          <w:cantSplit/>
        </w:trPr>
        <w:tc>
          <w:tcPr>
            <w:tcW w:type="dxa" w:w="2016"/>
            <w:vAlign w:val="top"/>
            <w:shd w:fill="F5F8FA"/>
          </w:tcPr>
          <w:p>
            <w:pPr>
              <w:pStyle w:val="TableText"/>
            </w:pPr>
            <w:r>
              <w:rPr>
                <w:sz w:val="18"/>
              </w:rPr>
              <w:t>Question and replies</w:t>
            </w:r>
          </w:p>
        </w:tc>
        <w:tc>
          <w:tcPr>
            <w:tcW w:type="dxa" w:w="3859"/>
            <w:vAlign w:val="top"/>
            <w:shd w:fill="F5F8FA"/>
          </w:tcPr>
          <w:p>
            <w:pPr>
              <w:pStyle w:val="TableText"/>
            </w:pPr>
            <w:r>
              <w:rPr>
                <w:sz w:val="18"/>
              </w:rPr>
              <w:t>Shared threads preserve questions and responses for search and reuse.</w:t>
            </w:r>
          </w:p>
        </w:tc>
        <w:tc>
          <w:tcPr>
            <w:tcW w:type="dxa" w:w="3816"/>
            <w:vAlign w:val="top"/>
            <w:shd w:fill="F5F8FA"/>
          </w:tcPr>
          <w:p>
            <w:pPr>
              <w:pStyle w:val="TableText"/>
            </w:pPr>
            <w:r>
              <w:rPr>
                <w:sz w:val="18"/>
              </w:rPr>
              <w:t>Forum audience, categories, search behavior, moderation, and optional FAQ mapping. [T02]</w:t>
            </w:r>
          </w:p>
        </w:tc>
      </w:tr>
      <w:tr>
        <w:trPr>
          <w:cantSplit/>
        </w:trPr>
        <w:tc>
          <w:tcPr>
            <w:tcW w:type="dxa" w:w="2016"/>
            <w:vAlign w:val="top"/>
          </w:tcPr>
          <w:p>
            <w:pPr>
              <w:pStyle w:val="TableText"/>
            </w:pPr>
            <w:r>
              <w:rPr>
                <w:sz w:val="18"/>
              </w:rPr>
              <w:t>Data-feedback request and responses</w:t>
            </w:r>
          </w:p>
        </w:tc>
        <w:tc>
          <w:tcPr>
            <w:tcW w:type="dxa" w:w="3859"/>
            <w:vAlign w:val="top"/>
          </w:tcPr>
          <w:p>
            <w:pPr>
              <w:pStyle w:val="TableText"/>
            </w:pPr>
            <w:r>
              <w:rPr>
                <w:sz w:val="18"/>
              </w:rPr>
              <w:t>A campus’s data issue carries a request, update, and review exchange separate from Q&amp;A.</w:t>
            </w:r>
          </w:p>
        </w:tc>
        <w:tc>
          <w:tcPr>
            <w:tcW w:type="dxa" w:w="3816"/>
            <w:vAlign w:val="top"/>
          </w:tcPr>
          <w:p>
            <w:pPr>
              <w:pStyle w:val="TableText"/>
            </w:pPr>
            <w:r>
              <w:rPr>
                <w:sz w:val="18"/>
              </w:rPr>
              <w:t>Exact data linkage, statuses, deadlines, closure, and response history. [T07]</w:t>
            </w:r>
          </w:p>
        </w:tc>
      </w:tr>
      <w:tr>
        <w:trPr>
          <w:cantSplit/>
        </w:trPr>
        <w:tc>
          <w:tcPr>
            <w:tcW w:type="dxa" w:w="2016"/>
            <w:vAlign w:val="top"/>
            <w:shd w:fill="F5F8FA"/>
          </w:tcPr>
          <w:p>
            <w:pPr>
              <w:pStyle w:val="TableText"/>
            </w:pPr>
            <w:r>
              <w:rPr>
                <w:sz w:val="18"/>
              </w:rPr>
              <w:t>Notification event</w:t>
            </w:r>
          </w:p>
        </w:tc>
        <w:tc>
          <w:tcPr>
            <w:tcW w:type="dxa" w:w="3859"/>
            <w:vAlign w:val="top"/>
            <w:shd w:fill="F5F8FA"/>
          </w:tcPr>
          <w:p>
            <w:pPr>
              <w:pStyle w:val="TableText"/>
            </w:pPr>
            <w:r>
              <w:rPr>
                <w:sz w:val="18"/>
              </w:rPr>
              <w:t>Feedback and campus updates can trigger an alert to the other party.</w:t>
            </w:r>
          </w:p>
        </w:tc>
        <w:tc>
          <w:tcPr>
            <w:tcW w:type="dxa" w:w="3816"/>
            <w:vAlign w:val="top"/>
            <w:shd w:fill="F5F8FA"/>
          </w:tcPr>
          <w:p>
            <w:pPr>
              <w:pStyle w:val="TableText"/>
            </w:pPr>
            <w:r>
              <w:rPr>
                <w:sz w:val="18"/>
              </w:rPr>
              <w:t>Recipient rules, channels, content, read state, delivery record, and retention. [T07]</w:t>
            </w:r>
          </w:p>
        </w:tc>
      </w:tr>
      <w:tr>
        <w:trPr>
          <w:cantSplit/>
        </w:trPr>
        <w:tc>
          <w:tcPr>
            <w:tcW w:type="dxa" w:w="2016"/>
            <w:vAlign w:val="top"/>
          </w:tcPr>
          <w:p>
            <w:pPr>
              <w:pStyle w:val="TableText"/>
            </w:pPr>
            <w:r>
              <w:rPr>
                <w:sz w:val="18"/>
              </w:rPr>
              <w:t>Recap / report output</w:t>
            </w:r>
          </w:p>
        </w:tc>
        <w:tc>
          <w:tcPr>
            <w:tcW w:type="dxa" w:w="3859"/>
            <w:vAlign w:val="top"/>
          </w:tcPr>
          <w:p>
            <w:pPr>
              <w:pStyle w:val="TableText"/>
            </w:pPr>
            <w:r>
              <w:rPr>
                <w:sz w:val="18"/>
              </w:rPr>
              <w:t>Program-level information can be downloaded from the dashboard.</w:t>
            </w:r>
          </w:p>
        </w:tc>
        <w:tc>
          <w:tcPr>
            <w:tcW w:type="dxa" w:w="3816"/>
            <w:vAlign w:val="top"/>
          </w:tcPr>
          <w:p>
            <w:pPr>
              <w:pStyle w:val="TableText"/>
            </w:pPr>
            <w:r>
              <w:rPr>
                <w:sz w:val="18"/>
              </w:rPr>
              <w:t>Export fields, format, reporting cutoff, accelerated-campus selection, and snapshot rules. [T06, T12]</w:t>
            </w:r>
          </w:p>
        </w:tc>
      </w:tr>
    </w:tbl>
    <w:p>
      <w:pPr>
        <w:spacing w:after="20"/>
      </w:pPr>
      <w:r/>
    </w:p>
    <w:p>
      <w:pPr>
        <w:pStyle w:val="Heading2"/>
      </w:pPr>
      <w:r>
        <w:t>Rules that can be carried forward</w:t>
      </w:r>
    </w:p>
    <w:p>
      <w:r>
        <w:t>Preserve old proposal files when a new version is uploaded. Keep campus data feedback separate from shared Q&amp;A. Limit the initial account model to the two clearly named role types—campus and PF administrator—unless the DMM discussion is clarified. Keep the registration product separate. Treat monitoring comparisons as distinct from a scoring or judging process. [T03, T05–T08, T15]</w:t>
      </w:r>
    </w:p>
    <w:p>
      <w:pPr>
        <w:pStyle w:val="Heading2"/>
      </w:pPr>
      <w:r>
        <w:t>Rules that cannot yet be implemented from this transcript</w:t>
      </w:r>
    </w:p>
    <w:p>
      <w:r>
        <w:t>There is no approved formula for percentage readiness, weighting across indicators, qualification into “Putih,” traffic-light thresholds beyond a red example, periodic reporting windows, or whether edits replace or append historical observations. Likewise, the monthly-progress illustration does not establish an automatic monthly reminder or response deadline. [T04, T07]</w:t>
      </w:r>
    </w:p>
    <w:p>
      <w:r>
        <w:br w:type="page"/>
      </w:r>
    </w:p>
    <w:p>
      <w:pPr>
        <w:pStyle w:val="Kicker"/>
      </w:pPr>
      <w:r>
        <w:t>PART II • DEDICATED WEB-APP SYSTEM SECTION</w:t>
      </w:r>
    </w:p>
    <w:p>
      <w:bookmarkStart w:id="13" w:name="acceptance"/>
      <w:pPr>
        <w:pStyle w:val="Heading1"/>
      </w:pPr>
      <w:r>
        <w:t>12. Delivery boundary &amp; proposed acceptance checks</w:t>
      </w:r>
      <w:bookmarkEnd w:id="13"/>
    </w:p>
    <w:p>
      <w:pPr>
        <w:pStyle w:val="Heading2"/>
      </w:pPr>
      <w:r>
        <w:t>12.1 Demonstration versus operational release</w:t>
      </w:r>
    </w:p>
    <w:p>
      <w:r>
        <w:t>For the Friday FGD, the meeting supports a mockup that makes the intended system visible. A sensible demonstration can cover the campus and PF views, proposal history, a target comparison, and shared Q&amp;A, while showing the separate feedback concept as conditional scope. This is a suggested walkthrough of the discussed features, not a new delivery promise. [T09, T15, T16]</w:t>
      </w:r>
    </w:p>
    <w:p>
      <w:r>
        <w:t>Operational release is a separate decision. It depends on finalized indicator data, a defined access model, functioning persistence and file handling, an agreed feedback / notification scope, tested exports, and deployment arrangements. These readiness dependencies are derived from the features; the meeting did not approve a release checklist or production date. [T03–T08, T12]</w:t>
      </w:r>
    </w:p>
    <w:p>
      <w:pPr>
        <w:pStyle w:val="Heading2"/>
      </w:pPr>
      <w:r>
        <w:t>12.2 Acceptance scenarios derived from meeting needs</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1958"/>
        <w:gridCol w:w="4507"/>
        <w:gridCol w:w="3226"/>
      </w:tblGrid>
      <w:tr>
        <w:trPr>
          <w:tblHeader/>
        </w:trPr>
        <w:tc>
          <w:tcPr>
            <w:tcW w:type="dxa" w:w="1958"/>
            <w:vAlign w:val="center"/>
            <w:shd w:fill="183247"/>
          </w:tcPr>
          <w:p>
            <w:pPr>
              <w:pStyle w:val="TableText"/>
              <w:keepNext/>
            </w:pPr>
            <w:r>
              <w:rPr>
                <w:b/>
                <w:color w:val="FFFFFF"/>
                <w:sz w:val="17"/>
              </w:rPr>
              <w:t>Check</w:t>
            </w:r>
          </w:p>
        </w:tc>
        <w:tc>
          <w:tcPr>
            <w:tcW w:type="dxa" w:w="4507"/>
            <w:vAlign w:val="center"/>
            <w:shd w:fill="183247"/>
          </w:tcPr>
          <w:p>
            <w:pPr>
              <w:pStyle w:val="TableText"/>
              <w:keepNext/>
            </w:pPr>
            <w:r>
              <w:rPr>
                <w:b/>
                <w:color w:val="FFFFFF"/>
                <w:sz w:val="17"/>
              </w:rPr>
              <w:t>Expected observable result</w:t>
            </w:r>
          </w:p>
        </w:tc>
        <w:tc>
          <w:tcPr>
            <w:tcW w:type="dxa" w:w="3226"/>
            <w:vAlign w:val="center"/>
            <w:shd w:fill="183247"/>
          </w:tcPr>
          <w:p>
            <w:pPr>
              <w:pStyle w:val="TableText"/>
              <w:keepNext/>
            </w:pPr>
            <w:r>
              <w:rPr>
                <w:b/>
                <w:color w:val="FFFFFF"/>
                <w:sz w:val="17"/>
              </w:rPr>
              <w:t>Qualification</w:t>
            </w:r>
          </w:p>
        </w:tc>
      </w:tr>
      <w:tr>
        <w:trPr>
          <w:cantSplit/>
        </w:trPr>
        <w:tc>
          <w:tcPr>
            <w:tcW w:type="dxa" w:w="1958"/>
            <w:vAlign w:val="top"/>
            <w:shd w:fill="F5F8FA"/>
          </w:tcPr>
          <w:p>
            <w:pPr>
              <w:pStyle w:val="TableText"/>
            </w:pPr>
            <w:r>
              <w:rPr>
                <w:sz w:val="17"/>
              </w:rPr>
              <w:t>AT01 • Role boundary</w:t>
            </w:r>
          </w:p>
        </w:tc>
        <w:tc>
          <w:tcPr>
            <w:tcW w:type="dxa" w:w="4507"/>
            <w:vAlign w:val="top"/>
            <w:shd w:fill="F5F8FA"/>
          </w:tcPr>
          <w:p>
            <w:pPr>
              <w:pStyle w:val="TableText"/>
            </w:pPr>
            <w:r>
              <w:rPr>
                <w:sz w:val="17"/>
              </w:rPr>
              <w:t>A campus works with its own records; PF can inspect all campus records.</w:t>
            </w:r>
          </w:p>
        </w:tc>
        <w:tc>
          <w:tcPr>
            <w:tcW w:type="dxa" w:w="3226"/>
            <w:vAlign w:val="top"/>
            <w:shd w:fill="F5F8FA"/>
          </w:tcPr>
          <w:p>
            <w:pPr>
              <w:pStyle w:val="TableText"/>
            </w:pPr>
            <w:r>
              <w:rPr>
                <w:sz w:val="17"/>
              </w:rPr>
              <w:t>Cross-campus edit isolation is a derived check of the account model. DMM needs separate definition. FR01, FR05.</w:t>
            </w:r>
          </w:p>
        </w:tc>
      </w:tr>
      <w:tr>
        <w:trPr>
          <w:cantSplit/>
        </w:trPr>
        <w:tc>
          <w:tcPr>
            <w:tcW w:type="dxa" w:w="1958"/>
            <w:vAlign w:val="top"/>
          </w:tcPr>
          <w:p>
            <w:pPr>
              <w:pStyle w:val="TableText"/>
            </w:pPr>
            <w:r>
              <w:rPr>
                <w:sz w:val="17"/>
              </w:rPr>
              <w:t>AT02 • Indicator update</w:t>
            </w:r>
          </w:p>
        </w:tc>
        <w:tc>
          <w:tcPr>
            <w:tcW w:type="dxa" w:w="4507"/>
            <w:vAlign w:val="top"/>
          </w:tcPr>
          <w:p>
            <w:pPr>
              <w:pStyle w:val="TableText"/>
            </w:pPr>
            <w:r>
              <w:rPr>
                <w:sz w:val="17"/>
              </w:rPr>
              <w:t>A campus updates a valid value and both relevant views show the new position against an approved target.</w:t>
            </w:r>
          </w:p>
        </w:tc>
        <w:tc>
          <w:tcPr>
            <w:tcW w:type="dxa" w:w="3226"/>
            <w:vAlign w:val="top"/>
          </w:tcPr>
          <w:p>
            <w:pPr>
              <w:pStyle w:val="TableText"/>
            </w:pPr>
            <w:r>
              <w:rPr>
                <w:sz w:val="17"/>
              </w:rPr>
              <w:t>Expected calculation comes from the supplied rules, not the spoken examples. FR02–FR04.</w:t>
            </w:r>
          </w:p>
        </w:tc>
      </w:tr>
      <w:tr>
        <w:trPr>
          <w:cantSplit/>
        </w:trPr>
        <w:tc>
          <w:tcPr>
            <w:tcW w:type="dxa" w:w="1958"/>
            <w:vAlign w:val="top"/>
            <w:shd w:fill="F5F8FA"/>
          </w:tcPr>
          <w:p>
            <w:pPr>
              <w:pStyle w:val="TableText"/>
            </w:pPr>
            <w:r>
              <w:rPr>
                <w:sz w:val="17"/>
              </w:rPr>
              <w:t>AT03 • Version preservation</w:t>
            </w:r>
          </w:p>
        </w:tc>
        <w:tc>
          <w:tcPr>
            <w:tcW w:type="dxa" w:w="4507"/>
            <w:vAlign w:val="top"/>
            <w:shd w:fill="F5F8FA"/>
          </w:tcPr>
          <w:p>
            <w:pPr>
              <w:pStyle w:val="TableText"/>
            </w:pPr>
            <w:r>
              <w:rPr>
                <w:sz w:val="17"/>
              </w:rPr>
              <w:t>After uploading two proposal revisions, both remain accessible and distinguishable.</w:t>
            </w:r>
          </w:p>
        </w:tc>
        <w:tc>
          <w:tcPr>
            <w:tcW w:type="dxa" w:w="3226"/>
            <w:vAlign w:val="top"/>
            <w:shd w:fill="F5F8FA"/>
          </w:tcPr>
          <w:p>
            <w:pPr>
              <w:pStyle w:val="TableText"/>
            </w:pPr>
            <w:r>
              <w:rPr>
                <w:sz w:val="17"/>
              </w:rPr>
              <w:t>Tests the explicit version-history agreement. FR06–FR07.</w:t>
            </w:r>
          </w:p>
        </w:tc>
      </w:tr>
      <w:tr>
        <w:trPr>
          <w:cantSplit/>
        </w:trPr>
        <w:tc>
          <w:tcPr>
            <w:tcW w:type="dxa" w:w="1958"/>
            <w:vAlign w:val="top"/>
          </w:tcPr>
          <w:p>
            <w:pPr>
              <w:pStyle w:val="TableText"/>
            </w:pPr>
            <w:r>
              <w:rPr>
                <w:sz w:val="17"/>
              </w:rPr>
              <w:t>AT04 • Shared Q&amp;A search</w:t>
            </w:r>
          </w:p>
        </w:tc>
        <w:tc>
          <w:tcPr>
            <w:tcW w:type="dxa" w:w="4507"/>
            <w:vAlign w:val="top"/>
          </w:tcPr>
          <w:p>
            <w:pPr>
              <w:pStyle w:val="TableText"/>
            </w:pPr>
            <w:r>
              <w:rPr>
                <w:sz w:val="17"/>
              </w:rPr>
              <w:t>A question receives an administrator reply and can be found again by the authorized forum audience.</w:t>
            </w:r>
          </w:p>
        </w:tc>
        <w:tc>
          <w:tcPr>
            <w:tcW w:type="dxa" w:w="3226"/>
            <w:vAlign w:val="top"/>
          </w:tcPr>
          <w:p>
            <w:pPr>
              <w:pStyle w:val="TableText"/>
            </w:pPr>
            <w:r>
              <w:rPr>
                <w:sz w:val="17"/>
              </w:rPr>
              <w:t>Audience and search-matching rules must first be settled. FR08–FR09.</w:t>
            </w:r>
          </w:p>
        </w:tc>
      </w:tr>
      <w:tr>
        <w:trPr>
          <w:cantSplit/>
        </w:trPr>
        <w:tc>
          <w:tcPr>
            <w:tcW w:type="dxa" w:w="1958"/>
            <w:vAlign w:val="top"/>
            <w:shd w:fill="F5F8FA"/>
          </w:tcPr>
          <w:p>
            <w:pPr>
              <w:pStyle w:val="TableText"/>
            </w:pPr>
            <w:r>
              <w:rPr>
                <w:sz w:val="17"/>
              </w:rPr>
              <w:t>AT05 • Feedback cycle</w:t>
            </w:r>
          </w:p>
        </w:tc>
        <w:tc>
          <w:tcPr>
            <w:tcW w:type="dxa" w:w="4507"/>
            <w:vAlign w:val="top"/>
            <w:shd w:fill="F5F8FA"/>
          </w:tcPr>
          <w:p>
            <w:pPr>
              <w:pStyle w:val="TableText"/>
            </w:pPr>
            <w:r>
              <w:rPr>
                <w:sz w:val="17"/>
              </w:rPr>
              <w:t>A campus receives a data request, updates the relevant data, and PF can review and request further revision.</w:t>
            </w:r>
          </w:p>
        </w:tc>
        <w:tc>
          <w:tcPr>
            <w:tcW w:type="dxa" w:w="3226"/>
            <w:vAlign w:val="top"/>
            <w:shd w:fill="F5F8FA"/>
          </w:tcPr>
          <w:p>
            <w:pPr>
              <w:pStyle w:val="TableText"/>
            </w:pPr>
            <w:r>
              <w:rPr>
                <w:sz w:val="17"/>
              </w:rPr>
              <w:t>Run when this feature is included in the release; formal states remain open. FR11–FR12.</w:t>
            </w:r>
          </w:p>
        </w:tc>
      </w:tr>
      <w:tr>
        <w:trPr>
          <w:cantSplit/>
        </w:trPr>
        <w:tc>
          <w:tcPr>
            <w:tcW w:type="dxa" w:w="1958"/>
            <w:vAlign w:val="top"/>
          </w:tcPr>
          <w:p>
            <w:pPr>
              <w:pStyle w:val="TableText"/>
            </w:pPr>
            <w:r>
              <w:rPr>
                <w:sz w:val="17"/>
              </w:rPr>
              <w:t>AT06 • Notification routing</w:t>
            </w:r>
          </w:p>
        </w:tc>
        <w:tc>
          <w:tcPr>
            <w:tcW w:type="dxa" w:w="4507"/>
            <w:vAlign w:val="top"/>
          </w:tcPr>
          <w:p>
            <w:pPr>
              <w:pStyle w:val="TableText"/>
            </w:pPr>
            <w:r>
              <w:rPr>
                <w:sz w:val="17"/>
              </w:rPr>
              <w:t>The correct campus is alerted to feedback and the correct administrator is alerted to its response / update.</w:t>
            </w:r>
          </w:p>
        </w:tc>
        <w:tc>
          <w:tcPr>
            <w:tcW w:type="dxa" w:w="3226"/>
            <w:vAlign w:val="top"/>
          </w:tcPr>
          <w:p>
            <w:pPr>
              <w:pStyle w:val="TableText"/>
            </w:pPr>
            <w:r>
              <w:rPr>
                <w:sz w:val="17"/>
              </w:rPr>
              <w:t>Channels and exact triggers must first be approved. FR13.</w:t>
            </w:r>
          </w:p>
        </w:tc>
      </w:tr>
      <w:tr>
        <w:trPr>
          <w:cantSplit/>
        </w:trPr>
        <w:tc>
          <w:tcPr>
            <w:tcW w:type="dxa" w:w="1958"/>
            <w:vAlign w:val="top"/>
            <w:shd w:fill="F5F8FA"/>
          </w:tcPr>
          <w:p>
            <w:pPr>
              <w:pStyle w:val="TableText"/>
            </w:pPr>
            <w:r>
              <w:rPr>
                <w:sz w:val="17"/>
              </w:rPr>
              <w:t>AT07 • Downloadable recap</w:t>
            </w:r>
          </w:p>
        </w:tc>
        <w:tc>
          <w:tcPr>
            <w:tcW w:type="dxa" w:w="4507"/>
            <w:vAlign w:val="top"/>
            <w:shd w:fill="F5F8FA"/>
          </w:tcPr>
          <w:p>
            <w:pPr>
              <w:pStyle w:val="TableText"/>
            </w:pPr>
            <w:r>
              <w:rPr>
                <w:sz w:val="17"/>
              </w:rPr>
              <w:t>PF can download a recap consistent with the agreed dashboard data and reporting scope.</w:t>
            </w:r>
          </w:p>
        </w:tc>
        <w:tc>
          <w:tcPr>
            <w:tcW w:type="dxa" w:w="3226"/>
            <w:vAlign w:val="top"/>
            <w:shd w:fill="F5F8FA"/>
          </w:tcPr>
          <w:p>
            <w:pPr>
              <w:pStyle w:val="TableText"/>
            </w:pPr>
            <w:r>
              <w:rPr>
                <w:sz w:val="17"/>
              </w:rPr>
              <w:t>Format, content, and reporting cutoff must first be approved. FR14.</w:t>
            </w:r>
          </w:p>
        </w:tc>
      </w:tr>
      <w:tr>
        <w:trPr>
          <w:cantSplit/>
        </w:trPr>
        <w:tc>
          <w:tcPr>
            <w:tcW w:type="dxa" w:w="1958"/>
            <w:vAlign w:val="top"/>
          </w:tcPr>
          <w:p>
            <w:pPr>
              <w:pStyle w:val="TableText"/>
            </w:pPr>
            <w:r>
              <w:rPr>
                <w:sz w:val="17"/>
              </w:rPr>
              <w:t>AT08 • Phone access</w:t>
            </w:r>
          </w:p>
        </w:tc>
        <w:tc>
          <w:tcPr>
            <w:tcW w:type="dxa" w:w="4507"/>
            <w:vAlign w:val="top"/>
          </w:tcPr>
          <w:p>
            <w:pPr>
              <w:pStyle w:val="TableText"/>
            </w:pPr>
            <w:r>
              <w:rPr>
                <w:sz w:val="17"/>
              </w:rPr>
              <w:t>The intended Q&amp;A task can be completed on an agreed phone browser without losing access to essential controls.</w:t>
            </w:r>
          </w:p>
        </w:tc>
        <w:tc>
          <w:tcPr>
            <w:tcW w:type="dxa" w:w="3226"/>
            <w:vAlign w:val="top"/>
          </w:tcPr>
          <w:p>
            <w:pPr>
              <w:pStyle w:val="TableText"/>
            </w:pPr>
            <w:r>
              <w:rPr>
                <w:sz w:val="17"/>
              </w:rPr>
              <w:t>Derived verification of the stated mobile-access preference. FR15.</w:t>
            </w:r>
          </w:p>
        </w:tc>
      </w:tr>
    </w:tbl>
    <w:p>
      <w:pPr>
        <w:spacing w:after="20"/>
      </w:pPr>
      <w:r/>
    </w:p>
    <w:p>
      <w:pPr>
        <w:pStyle w:val="Small"/>
      </w:pPr>
      <w:r>
        <w:t>These checks are proposed for stakeholder review. They do not claim that any software, mockup, or test run already exists.</w:t>
      </w:r>
    </w:p>
    <w:p>
      <w:r>
        <w:br w:type="page"/>
      </w:r>
    </w:p>
    <w:p>
      <w:pPr>
        <w:pStyle w:val="Kicker"/>
      </w:pPr>
      <w:r>
        <w:t>PART II • DEDICATED WEB-APP SYSTEM SECTION</w:t>
      </w:r>
    </w:p>
    <w:p>
      <w:bookmarkStart w:id="14" w:name="open_decisions"/>
      <w:pPr>
        <w:pStyle w:val="Heading1"/>
      </w:pPr>
      <w:r>
        <w:t>13. Open decisions before implementation</w:t>
      </w:r>
      <w:bookmarkEnd w:id="14"/>
    </w:p>
    <w:p>
      <w:pPr>
        <w:pStyle w:val="Heading2"/>
      </w:pPr>
      <w:r>
        <w:t>13.1 Business and scope decisions</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3787"/>
        <w:gridCol w:w="3787"/>
        <w:gridCol w:w="2117"/>
      </w:tblGrid>
      <w:tr>
        <w:trPr>
          <w:tblHeader/>
        </w:trPr>
        <w:tc>
          <w:tcPr>
            <w:tcW w:type="dxa" w:w="3787"/>
            <w:vAlign w:val="center"/>
            <w:shd w:fill="183247"/>
          </w:tcPr>
          <w:p>
            <w:pPr>
              <w:pStyle w:val="TableText"/>
              <w:keepNext/>
            </w:pPr>
            <w:r>
              <w:rPr>
                <w:b/>
                <w:color w:val="FFFFFF"/>
                <w:sz w:val="18"/>
              </w:rPr>
              <w:t>Decision to confirm</w:t>
            </w:r>
          </w:p>
        </w:tc>
        <w:tc>
          <w:tcPr>
            <w:tcW w:type="dxa" w:w="3787"/>
            <w:vAlign w:val="center"/>
            <w:shd w:fill="183247"/>
          </w:tcPr>
          <w:p>
            <w:pPr>
              <w:pStyle w:val="TableText"/>
              <w:keepNext/>
            </w:pPr>
            <w:r>
              <w:rPr>
                <w:b/>
                <w:color w:val="FFFFFF"/>
                <w:sz w:val="18"/>
              </w:rPr>
              <w:t>Why it matters</w:t>
            </w:r>
          </w:p>
        </w:tc>
        <w:tc>
          <w:tcPr>
            <w:tcW w:type="dxa" w:w="2117"/>
            <w:vAlign w:val="center"/>
            <w:shd w:fill="183247"/>
          </w:tcPr>
          <w:p>
            <w:pPr>
              <w:pStyle w:val="TableText"/>
              <w:keepNext/>
            </w:pPr>
            <w:r>
              <w:rPr>
                <w:b/>
                <w:color w:val="FFFFFF"/>
                <w:sz w:val="18"/>
              </w:rPr>
              <w:t>Suggested confirmer</w:t>
            </w:r>
          </w:p>
        </w:tc>
      </w:tr>
      <w:tr>
        <w:trPr>
          <w:cantSplit/>
        </w:trPr>
        <w:tc>
          <w:tcPr>
            <w:tcW w:type="dxa" w:w="3787"/>
            <w:vAlign w:val="top"/>
            <w:shd w:fill="F5F8FA"/>
          </w:tcPr>
          <w:p>
            <w:pPr>
              <w:pStyle w:val="TableText"/>
            </w:pPr>
            <w:r>
              <w:rPr>
                <w:sz w:val="18"/>
              </w:rPr>
              <w:t>Official program name and “Putih” terminology; the DMM identity.</w:t>
            </w:r>
          </w:p>
        </w:tc>
        <w:tc>
          <w:tcPr>
            <w:tcW w:type="dxa" w:w="3787"/>
            <w:vAlign w:val="top"/>
            <w:shd w:fill="F5F8FA"/>
          </w:tcPr>
          <w:p>
            <w:pPr>
              <w:pStyle w:val="TableText"/>
            </w:pPr>
            <w:r>
              <w:rPr>
                <w:sz w:val="18"/>
              </w:rPr>
              <w:t>Prevents incorrect labels, criteria, and role definitions.</w:t>
            </w:r>
          </w:p>
        </w:tc>
        <w:tc>
          <w:tcPr>
            <w:tcW w:type="dxa" w:w="2117"/>
            <w:vAlign w:val="top"/>
            <w:shd w:fill="F5F8FA"/>
          </w:tcPr>
          <w:p>
            <w:pPr>
              <w:pStyle w:val="TableText"/>
            </w:pPr>
            <w:r>
              <w:rPr>
                <w:sz w:val="18"/>
              </w:rPr>
              <w:t>Program owner.</w:t>
            </w:r>
          </w:p>
        </w:tc>
      </w:tr>
      <w:tr>
        <w:trPr>
          <w:cantSplit/>
        </w:trPr>
        <w:tc>
          <w:tcPr>
            <w:tcW w:type="dxa" w:w="3787"/>
            <w:vAlign w:val="top"/>
          </w:tcPr>
          <w:p>
            <w:pPr>
              <w:pStyle w:val="TableText"/>
            </w:pPr>
            <w:r>
              <w:rPr>
                <w:sz w:val="18"/>
              </w:rPr>
              <w:t>Final Excel, targets, units, formulas, periods, and missing-data rules.</w:t>
            </w:r>
          </w:p>
        </w:tc>
        <w:tc>
          <w:tcPr>
            <w:tcW w:type="dxa" w:w="3787"/>
            <w:vAlign w:val="top"/>
          </w:tcPr>
          <w:p>
            <w:pPr>
              <w:pStyle w:val="TableText"/>
            </w:pPr>
            <w:r>
              <w:rPr>
                <w:sz w:val="18"/>
              </w:rPr>
              <w:t>Defines the actual data form and valid comparisons.</w:t>
            </w:r>
          </w:p>
        </w:tc>
        <w:tc>
          <w:tcPr>
            <w:tcW w:type="dxa" w:w="2117"/>
            <w:vAlign w:val="top"/>
          </w:tcPr>
          <w:p>
            <w:pPr>
              <w:pStyle w:val="TableText"/>
            </w:pPr>
            <w:r>
              <w:rPr>
                <w:sz w:val="18"/>
              </w:rPr>
              <w:t>Program / criteria owner.</w:t>
            </w:r>
          </w:p>
        </w:tc>
      </w:tr>
      <w:tr>
        <w:trPr>
          <w:cantSplit/>
        </w:trPr>
        <w:tc>
          <w:tcPr>
            <w:tcW w:type="dxa" w:w="3787"/>
            <w:vAlign w:val="top"/>
            <w:shd w:fill="F5F8FA"/>
          </w:tcPr>
          <w:p>
            <w:pPr>
              <w:pStyle w:val="TableText"/>
            </w:pPr>
            <w:r>
              <w:rPr>
                <w:sz w:val="18"/>
              </w:rPr>
              <w:t>Manual data entry, spreadsheet import, or a combination.</w:t>
            </w:r>
          </w:p>
        </w:tc>
        <w:tc>
          <w:tcPr>
            <w:tcW w:type="dxa" w:w="3787"/>
            <w:vAlign w:val="top"/>
            <w:shd w:fill="F5F8FA"/>
          </w:tcPr>
          <w:p>
            <w:pPr>
              <w:pStyle w:val="TableText"/>
            </w:pPr>
            <w:r>
              <w:rPr>
                <w:sz w:val="18"/>
              </w:rPr>
              <w:t>The spreadsheet is a source reference; an import feature was not explicitly selected.</w:t>
            </w:r>
          </w:p>
        </w:tc>
        <w:tc>
          <w:tcPr>
            <w:tcW w:type="dxa" w:w="2117"/>
            <w:vAlign w:val="top"/>
            <w:shd w:fill="F5F8FA"/>
          </w:tcPr>
          <w:p>
            <w:pPr>
              <w:pStyle w:val="TableText"/>
            </w:pPr>
            <w:r>
              <w:rPr>
                <w:sz w:val="18"/>
              </w:rPr>
              <w:t>Program + IT.</w:t>
            </w:r>
          </w:p>
        </w:tc>
      </w:tr>
      <w:tr>
        <w:trPr>
          <w:cantSplit/>
        </w:trPr>
        <w:tc>
          <w:tcPr>
            <w:tcW w:type="dxa" w:w="3787"/>
            <w:vAlign w:val="top"/>
          </w:tcPr>
          <w:p>
            <w:pPr>
              <w:pStyle w:val="TableText"/>
            </w:pPr>
            <w:r>
              <w:rPr>
                <w:sz w:val="18"/>
              </w:rPr>
              <w:t>Forum visibility, peer replies, and moderation.</w:t>
            </w:r>
          </w:p>
        </w:tc>
        <w:tc>
          <w:tcPr>
            <w:tcW w:type="dxa" w:w="3787"/>
            <w:vAlign w:val="top"/>
          </w:tcPr>
          <w:p>
            <w:pPr>
              <w:pStyle w:val="TableText"/>
            </w:pPr>
            <w:r>
              <w:rPr>
                <w:sz w:val="18"/>
              </w:rPr>
              <w:t>“Open forum” must not automatically mean anonymous internet access.</w:t>
            </w:r>
          </w:p>
        </w:tc>
        <w:tc>
          <w:tcPr>
            <w:tcW w:type="dxa" w:w="2117"/>
            <w:vAlign w:val="top"/>
          </w:tcPr>
          <w:p>
            <w:pPr>
              <w:pStyle w:val="TableText"/>
            </w:pPr>
            <w:r>
              <w:rPr>
                <w:sz w:val="18"/>
              </w:rPr>
              <w:t>Program + IT.</w:t>
            </w:r>
          </w:p>
        </w:tc>
      </w:tr>
      <w:tr>
        <w:trPr>
          <w:cantSplit/>
        </w:trPr>
        <w:tc>
          <w:tcPr>
            <w:tcW w:type="dxa" w:w="3787"/>
            <w:vAlign w:val="top"/>
            <w:shd w:fill="F5F8FA"/>
          </w:tcPr>
          <w:p>
            <w:pPr>
              <w:pStyle w:val="TableText"/>
            </w:pPr>
            <w:r>
              <w:rPr>
                <w:sz w:val="18"/>
              </w:rPr>
              <w:t>Initial-release inclusion of tickets, notification channels, FAQ, and popularity ordering.</w:t>
            </w:r>
          </w:p>
        </w:tc>
        <w:tc>
          <w:tcPr>
            <w:tcW w:type="dxa" w:w="3787"/>
            <w:vAlign w:val="top"/>
            <w:shd w:fill="F5F8FA"/>
          </w:tcPr>
          <w:p>
            <w:pPr>
              <w:pStyle w:val="TableText"/>
            </w:pPr>
            <w:r>
              <w:rPr>
                <w:sz w:val="18"/>
              </w:rPr>
              <w:t>Separates core needs from conditional or optional effort.</w:t>
            </w:r>
          </w:p>
        </w:tc>
        <w:tc>
          <w:tcPr>
            <w:tcW w:type="dxa" w:w="2117"/>
            <w:vAlign w:val="top"/>
            <w:shd w:fill="F5F8FA"/>
          </w:tcPr>
          <w:p>
            <w:pPr>
              <w:pStyle w:val="TableText"/>
            </w:pPr>
            <w:r>
              <w:rPr>
                <w:sz w:val="18"/>
              </w:rPr>
              <w:t>Program + IT leads.</w:t>
            </w:r>
          </w:p>
        </w:tc>
      </w:tr>
      <w:tr>
        <w:trPr>
          <w:cantSplit/>
        </w:trPr>
        <w:tc>
          <w:tcPr>
            <w:tcW w:type="dxa" w:w="3787"/>
            <w:vAlign w:val="top"/>
          </w:tcPr>
          <w:p>
            <w:pPr>
              <w:pStyle w:val="TableText"/>
            </w:pPr>
            <w:r>
              <w:rPr>
                <w:sz w:val="18"/>
              </w:rPr>
              <w:t>Proposal file rules, recap fields, export format, and reporting cutoff.</w:t>
            </w:r>
          </w:p>
        </w:tc>
        <w:tc>
          <w:tcPr>
            <w:tcW w:type="dxa" w:w="3787"/>
            <w:vAlign w:val="top"/>
          </w:tcPr>
          <w:p>
            <w:pPr>
              <w:pStyle w:val="TableText"/>
            </w:pPr>
            <w:r>
              <w:rPr>
                <w:sz w:val="18"/>
              </w:rPr>
              <w:t>Turns the repository and reporting requests into testable outputs.</w:t>
            </w:r>
          </w:p>
        </w:tc>
        <w:tc>
          <w:tcPr>
            <w:tcW w:type="dxa" w:w="2117"/>
            <w:vAlign w:val="top"/>
          </w:tcPr>
          <w:p>
            <w:pPr>
              <w:pStyle w:val="TableText"/>
            </w:pPr>
            <w:r>
              <w:rPr>
                <w:sz w:val="18"/>
              </w:rPr>
              <w:t>Program + IT.</w:t>
            </w:r>
          </w:p>
        </w:tc>
      </w:tr>
      <w:tr>
        <w:trPr>
          <w:cantSplit/>
        </w:trPr>
        <w:tc>
          <w:tcPr>
            <w:tcW w:type="dxa" w:w="3787"/>
            <w:vAlign w:val="top"/>
            <w:shd w:fill="F5F8FA"/>
          </w:tcPr>
          <w:p>
            <w:pPr>
              <w:pStyle w:val="TableText"/>
            </w:pPr>
            <w:r>
              <w:rPr>
                <w:sz w:val="18"/>
              </w:rPr>
              <w:t>Exact event dates, review time, operational release scope, and approved budget.</w:t>
            </w:r>
          </w:p>
        </w:tc>
        <w:tc>
          <w:tcPr>
            <w:tcW w:type="dxa" w:w="3787"/>
            <w:vAlign w:val="top"/>
            <w:shd w:fill="F5F8FA"/>
          </w:tcPr>
          <w:p>
            <w:pPr>
              <w:pStyle w:val="TableText"/>
            </w:pPr>
            <w:r>
              <w:rPr>
                <w:sz w:val="18"/>
              </w:rPr>
              <w:t>Separates the requested timeline and indicative amount from actual commitments.</w:t>
            </w:r>
          </w:p>
        </w:tc>
        <w:tc>
          <w:tcPr>
            <w:tcW w:type="dxa" w:w="2117"/>
            <w:vAlign w:val="top"/>
            <w:shd w:fill="F5F8FA"/>
          </w:tcPr>
          <w:p>
            <w:pPr>
              <w:pStyle w:val="TableText"/>
            </w:pPr>
            <w:r>
              <w:rPr>
                <w:sz w:val="18"/>
              </w:rPr>
              <w:t>Program / budget owner + IT.</w:t>
            </w:r>
          </w:p>
        </w:tc>
      </w:tr>
    </w:tbl>
    <w:p>
      <w:pPr>
        <w:spacing w:after="20"/>
      </w:pPr>
      <w:r/>
    </w:p>
    <w:p>
      <w:pPr>
        <w:pStyle w:val="Heading2"/>
      </w:pPr>
      <w:r>
        <w:t>13.2 Technical and operational choices not made in the meeting</w:t>
      </w:r>
    </w:p>
    <w:p>
      <w:r>
        <w:t>No frontend framework, backend product, database, API contract, authentication integration, hosting provider, storage service, or email provider was named as the selected implementation. Shared infrastructure was discussed as a funding / reuse concept, not as a specific topology. There is no basis here to prescribe WebSockets, SSE, a queue, or microservices. [T08, T10]</w:t>
      </w:r>
    </w:p>
    <w:p>
      <w:r>
        <w:t>The transcript also does not define availability targets, concurrent usage, response-time targets, file-storage capacity, backup and recovery, audit logging, security controls, accessibility requirements, data retention, deployment procedures, maintenance ownership, or ongoing support terms. Forty campus accounts describes organizational coverage, not a concurrency or capacity test. These items require a separate technical and operational decision, not assumed defaults. [T05, T10–T12]</w:t>
      </w:r>
    </w:p>
    <w:p>
      <w:pPr>
        <w:spacing w:before="120" w:after="180"/>
        <w:ind w:left="187" w:right="144"/>
        <w:shd w:fill="EDF4F6"/>
        <w:pBdr>
          <w:left w:val="single" w:sz="18" w:space="8" w:color="156C78"/>
        </w:pBdr>
      </w:pPr>
      <w:r/>
      <w:r>
        <w:rPr>
          <w:b/>
        </w:rPr>
        <w:t xml:space="preserve">Ready for the next review  </w:t>
      </w:r>
      <w:r>
        <w:t>Confirm the source data and first-release boundary, then align the mockup, implementation scope, and costs. Until those decisions are recorded, this document is a traceable working brief rather than a signed-off business, functional, or technical specification.</w:t>
      </w:r>
    </w:p>
    <w:p>
      <w:r>
        <w:br w:type="page"/>
      </w:r>
    </w:p>
    <w:p>
      <w:pPr>
        <w:pStyle w:val="Kicker"/>
      </w:pPr>
      <w:r>
        <w:t>SOURCE REGISTER</w:t>
      </w:r>
    </w:p>
    <w:p>
      <w:bookmarkStart w:id="15" w:name="sources"/>
      <w:pPr>
        <w:pStyle w:val="Heading1"/>
      </w:pPr>
      <w:r>
        <w:t>Transcript references &amp; terminology notes</w:t>
      </w:r>
      <w:bookmarkEnd w:id="15"/>
    </w:p>
    <w:p>
      <w:pPr>
        <w:pStyle w:val="Small"/>
      </w:pPr>
      <w:r>
        <w:t>Single source: transcript(2).json, containing the recording name “Rapat mas Seto DEB 08 September.mp4,” 744 time-stamped segments, and a duration of 1,518.335 seconds. Offsets below are rounded to the nearest second and locate the evidence within the recording. No external sources were used.</w:t>
      </w:r>
    </w:p>
    <w:tbl>
      <w:tblPr>
        <w:tblW w:type="dxa" w:w="9691"/>
        <w:jc w:val="center"/>
        <w:tblLayout w:type="fixed"/>
        <w:tblLook w:firstColumn="1" w:firstRow="1" w:lastColumn="0" w:lastRow="0" w:noHBand="0" w:noVBand="1" w:val="04A0"/>
        <w:tblBorders>
          <w:top w:val="single" w:sz="4" w:color="D5E0E5"/>
          <w:left w:val="single" w:sz="4" w:color="D5E0E5"/>
          <w:bottom w:val="single" w:sz="4" w:color="D5E0E5"/>
          <w:right w:val="single" w:sz="4" w:color="D5E0E5"/>
          <w:insideH w:val="single" w:sz="4" w:color="D5E0E5"/>
          <w:insideV w:val="single" w:sz="4" w:color="D5E0E5"/>
        </w:tblBorders>
        <w:tblCellMar>
          <w:top w:w="65" w:type="dxa"/>
          <w:bottom w:w="65" w:type="dxa"/>
          <w:left w:w="90" w:type="dxa"/>
          <w:right w:w="90" w:type="dxa"/>
        </w:tblCellMar>
      </w:tblPr>
      <w:tblGrid>
        <w:gridCol w:w="662"/>
        <w:gridCol w:w="1728"/>
        <w:gridCol w:w="7301"/>
      </w:tblGrid>
      <w:tr>
        <w:trPr>
          <w:tblHeader/>
        </w:trPr>
        <w:tc>
          <w:tcPr>
            <w:tcW w:type="dxa" w:w="662"/>
            <w:vAlign w:val="center"/>
            <w:shd w:fill="183247"/>
          </w:tcPr>
          <w:p>
            <w:pPr>
              <w:pStyle w:val="TableText"/>
              <w:keepNext/>
            </w:pPr>
            <w:r>
              <w:rPr>
                <w:b/>
                <w:color w:val="FFFFFF"/>
                <w:sz w:val="17"/>
              </w:rPr>
              <w:t>Ref.</w:t>
            </w:r>
          </w:p>
        </w:tc>
        <w:tc>
          <w:tcPr>
            <w:tcW w:type="dxa" w:w="1728"/>
            <w:vAlign w:val="center"/>
            <w:shd w:fill="183247"/>
          </w:tcPr>
          <w:p>
            <w:pPr>
              <w:pStyle w:val="TableText"/>
              <w:keepNext/>
            </w:pPr>
            <w:r>
              <w:rPr>
                <w:b/>
                <w:color w:val="FFFFFF"/>
                <w:sz w:val="17"/>
              </w:rPr>
              <w:t>Recording offset</w:t>
            </w:r>
          </w:p>
        </w:tc>
        <w:tc>
          <w:tcPr>
            <w:tcW w:type="dxa" w:w="7301"/>
            <w:vAlign w:val="center"/>
            <w:shd w:fill="183247"/>
          </w:tcPr>
          <w:p>
            <w:pPr>
              <w:pStyle w:val="TableText"/>
              <w:keepNext/>
            </w:pPr>
            <w:r>
              <w:rPr>
                <w:b/>
                <w:color w:val="FFFFFF"/>
                <w:sz w:val="17"/>
              </w:rPr>
              <w:t>Evidence covered</w:t>
            </w:r>
          </w:p>
        </w:tc>
      </w:tr>
      <w:tr>
        <w:trPr>
          <w:cantSplit/>
        </w:trPr>
        <w:tc>
          <w:tcPr>
            <w:tcW w:type="dxa" w:w="662"/>
            <w:vAlign w:val="top"/>
            <w:shd w:fill="F5F8FA"/>
          </w:tcPr>
          <w:p>
            <w:pPr>
              <w:pStyle w:val="TableText"/>
            </w:pPr>
            <w:r>
              <w:rPr>
                <w:sz w:val="17"/>
              </w:rPr>
              <w:t>T01</w:t>
            </w:r>
          </w:p>
        </w:tc>
        <w:tc>
          <w:tcPr>
            <w:tcW w:type="dxa" w:w="1728"/>
            <w:vAlign w:val="top"/>
            <w:shd w:fill="F5F8FA"/>
          </w:tcPr>
          <w:p>
            <w:pPr>
              <w:pStyle w:val="TableText"/>
            </w:pPr>
            <w:r>
              <w:rPr>
                <w:sz w:val="17"/>
              </w:rPr>
              <w:t>00:00–00:55</w:t>
            </w:r>
          </w:p>
        </w:tc>
        <w:tc>
          <w:tcPr>
            <w:tcW w:type="dxa" w:w="7301"/>
            <w:vAlign w:val="top"/>
            <w:shd w:fill="F5F8FA"/>
          </w:tcPr>
          <w:p>
            <w:pPr>
              <w:pStyle w:val="TableText"/>
            </w:pPr>
            <w:r>
              <w:rPr>
                <w:sz w:val="17"/>
              </w:rPr>
              <w:t>40-campus purpose; Holding criteria; bottlenecks; proposal preparation; continuing upload access.</w:t>
            </w:r>
          </w:p>
        </w:tc>
      </w:tr>
      <w:tr>
        <w:trPr>
          <w:cantSplit/>
        </w:trPr>
        <w:tc>
          <w:tcPr>
            <w:tcW w:type="dxa" w:w="662"/>
            <w:vAlign w:val="top"/>
          </w:tcPr>
          <w:p>
            <w:pPr>
              <w:pStyle w:val="TableText"/>
            </w:pPr>
            <w:r>
              <w:rPr>
                <w:sz w:val="17"/>
              </w:rPr>
              <w:t>T02</w:t>
            </w:r>
          </w:p>
        </w:tc>
        <w:tc>
          <w:tcPr>
            <w:tcW w:type="dxa" w:w="1728"/>
            <w:vAlign w:val="top"/>
          </w:tcPr>
          <w:p>
            <w:pPr>
              <w:pStyle w:val="TableText"/>
            </w:pPr>
            <w:r>
              <w:rPr>
                <w:sz w:val="17"/>
              </w:rPr>
              <w:t>00:57–02:56</w:t>
            </w:r>
          </w:p>
        </w:tc>
        <w:tc>
          <w:tcPr>
            <w:tcW w:type="dxa" w:w="7301"/>
            <w:vAlign w:val="top"/>
          </w:tcPr>
          <w:p>
            <w:pPr>
              <w:pStyle w:val="TableText"/>
            </w:pPr>
            <w:r>
              <w:rPr>
                <w:sz w:val="17"/>
              </w:rPr>
              <w:t>Q&amp;A concept; private-versus-shared discussion; forum; search; optional FAQ and popularity ordering.</w:t>
            </w:r>
          </w:p>
        </w:tc>
      </w:tr>
      <w:tr>
        <w:trPr>
          <w:cantSplit/>
        </w:trPr>
        <w:tc>
          <w:tcPr>
            <w:tcW w:type="dxa" w:w="662"/>
            <w:vAlign w:val="top"/>
            <w:shd w:fill="F5F8FA"/>
          </w:tcPr>
          <w:p>
            <w:pPr>
              <w:pStyle w:val="TableText"/>
            </w:pPr>
            <w:r>
              <w:rPr>
                <w:sz w:val="17"/>
              </w:rPr>
              <w:t>T03</w:t>
            </w:r>
          </w:p>
        </w:tc>
        <w:tc>
          <w:tcPr>
            <w:tcW w:type="dxa" w:w="1728"/>
            <w:vAlign w:val="top"/>
            <w:shd w:fill="F5F8FA"/>
          </w:tcPr>
          <w:p>
            <w:pPr>
              <w:pStyle w:val="TableText"/>
            </w:pPr>
            <w:r>
              <w:rPr>
                <w:sz w:val="17"/>
              </w:rPr>
              <w:t>03:06–05:53</w:t>
            </w:r>
          </w:p>
        </w:tc>
        <w:tc>
          <w:tcPr>
            <w:tcW w:type="dxa" w:w="7301"/>
            <w:vAlign w:val="top"/>
            <w:shd w:fill="F5F8FA"/>
          </w:tcPr>
          <w:p>
            <w:pPr>
              <w:pStyle w:val="TableText"/>
            </w:pPr>
            <w:r>
              <w:rPr>
                <w:sz w:val="17"/>
              </w:rPr>
              <w:t>Proposal format; form versus file options; successive uploads; retention of earlier versions; chosen direction.</w:t>
            </w:r>
          </w:p>
        </w:tc>
      </w:tr>
      <w:tr>
        <w:trPr>
          <w:cantSplit/>
        </w:trPr>
        <w:tc>
          <w:tcPr>
            <w:tcW w:type="dxa" w:w="662"/>
            <w:vAlign w:val="top"/>
          </w:tcPr>
          <w:p>
            <w:pPr>
              <w:pStyle w:val="TableText"/>
            </w:pPr>
            <w:r>
              <w:rPr>
                <w:sz w:val="17"/>
              </w:rPr>
              <w:t>T04</w:t>
            </w:r>
          </w:p>
        </w:tc>
        <w:tc>
          <w:tcPr>
            <w:tcW w:type="dxa" w:w="1728"/>
            <w:vAlign w:val="top"/>
          </w:tcPr>
          <w:p>
            <w:pPr>
              <w:pStyle w:val="TableText"/>
            </w:pPr>
            <w:r>
              <w:rPr>
                <w:sz w:val="17"/>
              </w:rPr>
              <w:t>07:52–09:26</w:t>
            </w:r>
          </w:p>
        </w:tc>
        <w:tc>
          <w:tcPr>
            <w:tcW w:type="dxa" w:w="7301"/>
            <w:vAlign w:val="top"/>
          </w:tcPr>
          <w:p>
            <w:pPr>
              <w:pStyle w:val="TableText"/>
            </w:pPr>
            <w:r>
              <w:rPr>
                <w:sz w:val="17"/>
              </w:rPr>
              <w:t>Master Excel; campus updates; targets and gaps; red status illustration; incomplete definitions and formulas.</w:t>
            </w:r>
          </w:p>
        </w:tc>
      </w:tr>
      <w:tr>
        <w:trPr>
          <w:cantSplit/>
        </w:trPr>
        <w:tc>
          <w:tcPr>
            <w:tcW w:type="dxa" w:w="662"/>
            <w:vAlign w:val="top"/>
            <w:shd w:fill="F5F8FA"/>
          </w:tcPr>
          <w:p>
            <w:pPr>
              <w:pStyle w:val="TableText"/>
            </w:pPr>
            <w:r>
              <w:rPr>
                <w:sz w:val="17"/>
              </w:rPr>
              <w:t>T05</w:t>
            </w:r>
          </w:p>
        </w:tc>
        <w:tc>
          <w:tcPr>
            <w:tcW w:type="dxa" w:w="1728"/>
            <w:vAlign w:val="top"/>
            <w:shd w:fill="F5F8FA"/>
          </w:tcPr>
          <w:p>
            <w:pPr>
              <w:pStyle w:val="TableText"/>
            </w:pPr>
            <w:r>
              <w:rPr>
                <w:sz w:val="17"/>
              </w:rPr>
              <w:t>09:29–10:29</w:t>
            </w:r>
          </w:p>
        </w:tc>
        <w:tc>
          <w:tcPr>
            <w:tcW w:type="dxa" w:w="7301"/>
            <w:vAlign w:val="top"/>
            <w:shd w:fill="F5F8FA"/>
          </w:tcPr>
          <w:p>
            <w:pPr>
              <w:pStyle w:val="TableText"/>
            </w:pPr>
            <w:r>
              <w:rPr>
                <w:sz w:val="17"/>
              </w:rPr>
              <w:t>Existing partners; one account per campus; PF visibility; DMM master account; deferred lecturer access.</w:t>
            </w:r>
          </w:p>
        </w:tc>
      </w:tr>
      <w:tr>
        <w:trPr>
          <w:cantSplit/>
        </w:trPr>
        <w:tc>
          <w:tcPr>
            <w:tcW w:type="dxa" w:w="662"/>
            <w:vAlign w:val="top"/>
          </w:tcPr>
          <w:p>
            <w:pPr>
              <w:pStyle w:val="TableText"/>
            </w:pPr>
            <w:r>
              <w:rPr>
                <w:sz w:val="17"/>
              </w:rPr>
              <w:t>T06</w:t>
            </w:r>
          </w:p>
        </w:tc>
        <w:tc>
          <w:tcPr>
            <w:tcW w:type="dxa" w:w="1728"/>
            <w:vAlign w:val="top"/>
          </w:tcPr>
          <w:p>
            <w:pPr>
              <w:pStyle w:val="TableText"/>
            </w:pPr>
            <w:r>
              <w:rPr>
                <w:sz w:val="17"/>
              </w:rPr>
              <w:t>10:29–10:53</w:t>
            </w:r>
          </w:p>
        </w:tc>
        <w:tc>
          <w:tcPr>
            <w:tcW w:type="dxa" w:w="7301"/>
            <w:vAlign w:val="top"/>
          </w:tcPr>
          <w:p>
            <w:pPr>
              <w:pStyle w:val="TableText"/>
            </w:pPr>
            <w:r>
              <w:rPr>
                <w:sz w:val="17"/>
              </w:rPr>
              <w:t>Cross-campus recap and download; administrator monitoring and Q&amp;A; no separate assessment.</w:t>
            </w:r>
          </w:p>
        </w:tc>
      </w:tr>
      <w:tr>
        <w:trPr>
          <w:cantSplit/>
        </w:trPr>
        <w:tc>
          <w:tcPr>
            <w:tcW w:type="dxa" w:w="662"/>
            <w:vAlign w:val="top"/>
            <w:shd w:fill="F5F8FA"/>
          </w:tcPr>
          <w:p>
            <w:pPr>
              <w:pStyle w:val="TableText"/>
            </w:pPr>
            <w:r>
              <w:rPr>
                <w:sz w:val="17"/>
              </w:rPr>
              <w:t>T07</w:t>
            </w:r>
          </w:p>
        </w:tc>
        <w:tc>
          <w:tcPr>
            <w:tcW w:type="dxa" w:w="1728"/>
            <w:vAlign w:val="top"/>
            <w:shd w:fill="F5F8FA"/>
          </w:tcPr>
          <w:p>
            <w:pPr>
              <w:pStyle w:val="TableText"/>
            </w:pPr>
            <w:r>
              <w:rPr>
                <w:sz w:val="17"/>
              </w:rPr>
              <w:t>10:56–12:21</w:t>
            </w:r>
          </w:p>
        </w:tc>
        <w:tc>
          <w:tcPr>
            <w:tcW w:type="dxa" w:w="7301"/>
            <w:vAlign w:val="top"/>
            <w:shd w:fill="F5F8FA"/>
          </w:tcPr>
          <w:p>
            <w:pPr>
              <w:pStyle w:val="TableText"/>
            </w:pPr>
            <w:r>
              <w:rPr>
                <w:sz w:val="17"/>
              </w:rPr>
              <w:t>Monitoring-data comments; correction and review; notifications; separate ticket-like workflow.</w:t>
            </w:r>
          </w:p>
        </w:tc>
      </w:tr>
      <w:tr>
        <w:trPr>
          <w:cantSplit/>
        </w:trPr>
        <w:tc>
          <w:tcPr>
            <w:tcW w:type="dxa" w:w="662"/>
            <w:vAlign w:val="top"/>
          </w:tcPr>
          <w:p>
            <w:pPr>
              <w:pStyle w:val="TableText"/>
            </w:pPr>
            <w:r>
              <w:rPr>
                <w:sz w:val="17"/>
              </w:rPr>
              <w:t>T08</w:t>
            </w:r>
          </w:p>
        </w:tc>
        <w:tc>
          <w:tcPr>
            <w:tcW w:type="dxa" w:w="1728"/>
            <w:vAlign w:val="top"/>
          </w:tcPr>
          <w:p>
            <w:pPr>
              <w:pStyle w:val="TableText"/>
            </w:pPr>
            <w:r>
              <w:rPr>
                <w:sz w:val="17"/>
              </w:rPr>
              <w:t>12:21–12:49</w:t>
            </w:r>
          </w:p>
        </w:tc>
        <w:tc>
          <w:tcPr>
            <w:tcW w:type="dxa" w:w="7301"/>
            <w:vAlign w:val="top"/>
          </w:tcPr>
          <w:p>
            <w:pPr>
              <w:pStyle w:val="TableText"/>
            </w:pPr>
            <w:r>
              <w:rPr>
                <w:sz w:val="17"/>
              </w:rPr>
              <w:t>Separate monitoring application; registration boundary; per-program applications; architecture terms.</w:t>
            </w:r>
          </w:p>
        </w:tc>
      </w:tr>
      <w:tr>
        <w:trPr>
          <w:cantSplit/>
        </w:trPr>
        <w:tc>
          <w:tcPr>
            <w:tcW w:type="dxa" w:w="662"/>
            <w:vAlign w:val="top"/>
            <w:shd w:fill="F5F8FA"/>
          </w:tcPr>
          <w:p>
            <w:pPr>
              <w:pStyle w:val="TableText"/>
            </w:pPr>
            <w:r>
              <w:rPr>
                <w:sz w:val="17"/>
              </w:rPr>
              <w:t>T09</w:t>
            </w:r>
          </w:p>
        </w:tc>
        <w:tc>
          <w:tcPr>
            <w:tcW w:type="dxa" w:w="1728"/>
            <w:vAlign w:val="top"/>
            <w:shd w:fill="F5F8FA"/>
          </w:tcPr>
          <w:p>
            <w:pPr>
              <w:pStyle w:val="TableText"/>
            </w:pPr>
            <w:r>
              <w:rPr>
                <w:sz w:val="17"/>
              </w:rPr>
              <w:t>13:13–14:24</w:t>
            </w:r>
          </w:p>
        </w:tc>
        <w:tc>
          <w:tcPr>
            <w:tcW w:type="dxa" w:w="7301"/>
            <w:vAlign w:val="top"/>
            <w:shd w:fill="F5F8FA"/>
          </w:tcPr>
          <w:p>
            <w:pPr>
              <w:pStyle w:val="TableText"/>
            </w:pPr>
            <w:r>
              <w:rPr>
                <w:sz w:val="17"/>
              </w:rPr>
              <w:t>Thursday kick-off; Friday FGD; mockup demonstration; session-time discussion; mockup feasibility.</w:t>
            </w:r>
          </w:p>
        </w:tc>
      </w:tr>
      <w:tr>
        <w:trPr>
          <w:cantSplit/>
        </w:trPr>
        <w:tc>
          <w:tcPr>
            <w:tcW w:type="dxa" w:w="662"/>
            <w:vAlign w:val="top"/>
          </w:tcPr>
          <w:p>
            <w:pPr>
              <w:pStyle w:val="TableText"/>
            </w:pPr>
            <w:r>
              <w:rPr>
                <w:sz w:val="17"/>
              </w:rPr>
              <w:t>T10</w:t>
            </w:r>
          </w:p>
        </w:tc>
        <w:tc>
          <w:tcPr>
            <w:tcW w:type="dxa" w:w="1728"/>
            <w:vAlign w:val="top"/>
          </w:tcPr>
          <w:p>
            <w:pPr>
              <w:pStyle w:val="TableText"/>
            </w:pPr>
            <w:r>
              <w:rPr>
                <w:sz w:val="17"/>
              </w:rPr>
              <w:t>14:25–16:33</w:t>
            </w:r>
          </w:p>
        </w:tc>
        <w:tc>
          <w:tcPr>
            <w:tcW w:type="dxa" w:w="7301"/>
            <w:vAlign w:val="top"/>
          </w:tcPr>
          <w:p>
            <w:pPr>
              <w:pStyle w:val="TableText"/>
            </w:pPr>
            <w:r>
              <w:rPr>
                <w:sz w:val="17"/>
              </w:rPr>
              <w:t>Shared infrastructure contributions; development and change costs; indicative 50-million figure; historic figures.</w:t>
            </w:r>
          </w:p>
        </w:tc>
      </w:tr>
      <w:tr>
        <w:trPr>
          <w:cantSplit/>
        </w:trPr>
        <w:tc>
          <w:tcPr>
            <w:tcW w:type="dxa" w:w="662"/>
            <w:vAlign w:val="top"/>
            <w:shd w:fill="F5F8FA"/>
          </w:tcPr>
          <w:p>
            <w:pPr>
              <w:pStyle w:val="TableText"/>
            </w:pPr>
            <w:r>
              <w:rPr>
                <w:sz w:val="17"/>
              </w:rPr>
              <w:t>T11</w:t>
            </w:r>
          </w:p>
        </w:tc>
        <w:tc>
          <w:tcPr>
            <w:tcW w:type="dxa" w:w="1728"/>
            <w:vAlign w:val="top"/>
            <w:shd w:fill="F5F8FA"/>
          </w:tcPr>
          <w:p>
            <w:pPr>
              <w:pStyle w:val="TableText"/>
            </w:pPr>
            <w:r>
              <w:rPr>
                <w:sz w:val="17"/>
              </w:rPr>
              <w:t>16:33–17:20</w:t>
            </w:r>
          </w:p>
        </w:tc>
        <w:tc>
          <w:tcPr>
            <w:tcW w:type="dxa" w:w="7301"/>
            <w:vAlign w:val="top"/>
            <w:shd w:fill="F5F8FA"/>
          </w:tcPr>
          <w:p>
            <w:pPr>
              <w:pStyle w:val="TableText"/>
            </w:pPr>
            <w:r>
              <w:rPr>
                <w:sz w:val="17"/>
              </w:rPr>
              <w:t>Competing development work and prioritization / capacity discussion.</w:t>
            </w:r>
          </w:p>
        </w:tc>
      </w:tr>
      <w:tr>
        <w:trPr>
          <w:cantSplit/>
        </w:trPr>
        <w:tc>
          <w:tcPr>
            <w:tcW w:type="dxa" w:w="662"/>
            <w:vAlign w:val="top"/>
          </w:tcPr>
          <w:p>
            <w:pPr>
              <w:pStyle w:val="TableText"/>
            </w:pPr>
            <w:r>
              <w:rPr>
                <w:sz w:val="17"/>
              </w:rPr>
              <w:t>T12</w:t>
            </w:r>
          </w:p>
        </w:tc>
        <w:tc>
          <w:tcPr>
            <w:tcW w:type="dxa" w:w="1728"/>
            <w:vAlign w:val="top"/>
          </w:tcPr>
          <w:p>
            <w:pPr>
              <w:pStyle w:val="TableText"/>
            </w:pPr>
            <w:r>
              <w:rPr>
                <w:sz w:val="17"/>
              </w:rPr>
              <w:t>17:21–18:24</w:t>
            </w:r>
          </w:p>
        </w:tc>
        <w:tc>
          <w:tcPr>
            <w:tcW w:type="dxa" w:w="7301"/>
            <w:vAlign w:val="top"/>
          </w:tcPr>
          <w:p>
            <w:pPr>
              <w:pStyle w:val="TableText"/>
            </w:pPr>
            <w:r>
              <w:rPr>
                <w:sz w:val="17"/>
              </w:rPr>
              <w:t>12 accelerated campuses; September monitoring request; October report target; December horizon.</w:t>
            </w:r>
          </w:p>
        </w:tc>
      </w:tr>
      <w:tr>
        <w:trPr>
          <w:cantSplit/>
        </w:trPr>
        <w:tc>
          <w:tcPr>
            <w:tcW w:type="dxa" w:w="662"/>
            <w:vAlign w:val="top"/>
            <w:shd w:fill="F5F8FA"/>
          </w:tcPr>
          <w:p>
            <w:pPr>
              <w:pStyle w:val="TableText"/>
            </w:pPr>
            <w:r>
              <w:rPr>
                <w:sz w:val="17"/>
              </w:rPr>
              <w:t>T13</w:t>
            </w:r>
          </w:p>
        </w:tc>
        <w:tc>
          <w:tcPr>
            <w:tcW w:type="dxa" w:w="1728"/>
            <w:vAlign w:val="top"/>
            <w:shd w:fill="F5F8FA"/>
          </w:tcPr>
          <w:p>
            <w:pPr>
              <w:pStyle w:val="TableText"/>
            </w:pPr>
            <w:r>
              <w:rPr>
                <w:sz w:val="17"/>
              </w:rPr>
              <w:t>18:26–19:42</w:t>
            </w:r>
          </w:p>
        </w:tc>
        <w:tc>
          <w:tcPr>
            <w:tcW w:type="dxa" w:w="7301"/>
            <w:vAlign w:val="top"/>
            <w:shd w:fill="F5F8FA"/>
          </w:tcPr>
          <w:p>
            <w:pPr>
              <w:pStyle w:val="TableText"/>
            </w:pPr>
            <w:r>
              <w:rPr>
                <w:sz w:val="17"/>
              </w:rPr>
              <w:t>Need for materials; contrast between mockup and implementation timing; urgency and informal support.</w:t>
            </w:r>
          </w:p>
        </w:tc>
      </w:tr>
      <w:tr>
        <w:trPr>
          <w:cantSplit/>
        </w:trPr>
        <w:tc>
          <w:tcPr>
            <w:tcW w:type="dxa" w:w="662"/>
            <w:vAlign w:val="top"/>
          </w:tcPr>
          <w:p>
            <w:pPr>
              <w:pStyle w:val="TableText"/>
            </w:pPr>
            <w:r>
              <w:rPr>
                <w:sz w:val="17"/>
              </w:rPr>
              <w:t>T14</w:t>
            </w:r>
          </w:p>
        </w:tc>
        <w:tc>
          <w:tcPr>
            <w:tcW w:type="dxa" w:w="1728"/>
            <w:vAlign w:val="top"/>
          </w:tcPr>
          <w:p>
            <w:pPr>
              <w:pStyle w:val="TableText"/>
            </w:pPr>
            <w:r>
              <w:rPr>
                <w:sz w:val="17"/>
              </w:rPr>
              <w:t>20:18–21:30</w:t>
            </w:r>
          </w:p>
        </w:tc>
        <w:tc>
          <w:tcPr>
            <w:tcW w:type="dxa" w:w="7301"/>
            <w:vAlign w:val="top"/>
          </w:tcPr>
          <w:p>
            <w:pPr>
              <w:pStyle w:val="TableText"/>
            </w:pPr>
            <w:r>
              <w:rPr>
                <w:sz w:val="17"/>
              </w:rPr>
              <w:t>Program representative’s promise of requirements slides and Excel/data guidance; mockup assignment discussion.</w:t>
            </w:r>
          </w:p>
        </w:tc>
      </w:tr>
      <w:tr>
        <w:trPr>
          <w:cantSplit/>
        </w:trPr>
        <w:tc>
          <w:tcPr>
            <w:tcW w:type="dxa" w:w="662"/>
            <w:vAlign w:val="top"/>
            <w:shd w:fill="F5F8FA"/>
          </w:tcPr>
          <w:p>
            <w:pPr>
              <w:pStyle w:val="TableText"/>
            </w:pPr>
            <w:r>
              <w:rPr>
                <w:sz w:val="17"/>
              </w:rPr>
              <w:t>T15</w:t>
            </w:r>
          </w:p>
        </w:tc>
        <w:tc>
          <w:tcPr>
            <w:tcW w:type="dxa" w:w="1728"/>
            <w:vAlign w:val="top"/>
            <w:shd w:fill="F5F8FA"/>
          </w:tcPr>
          <w:p>
            <w:pPr>
              <w:pStyle w:val="TableText"/>
            </w:pPr>
            <w:r>
              <w:rPr>
                <w:sz w:val="17"/>
              </w:rPr>
              <w:t>21:36–23:18</w:t>
            </w:r>
          </w:p>
        </w:tc>
        <w:tc>
          <w:tcPr>
            <w:tcW w:type="dxa" w:w="7301"/>
            <w:vAlign w:val="top"/>
            <w:shd w:fill="F5F8FA"/>
          </w:tcPr>
          <w:p>
            <w:pPr>
              <w:pStyle w:val="TableText"/>
            </w:pPr>
            <w:r>
              <w:rPr>
                <w:sz w:val="17"/>
              </w:rPr>
              <w:t>Closing scope recap: roles, proposal versions, indicator baseline, Q&amp;A, phone access, and conditional ticket addition.</w:t>
            </w:r>
          </w:p>
        </w:tc>
      </w:tr>
      <w:tr>
        <w:trPr>
          <w:cantSplit/>
        </w:trPr>
        <w:tc>
          <w:tcPr>
            <w:tcW w:type="dxa" w:w="662"/>
            <w:vAlign w:val="top"/>
          </w:tcPr>
          <w:p>
            <w:pPr>
              <w:pStyle w:val="TableText"/>
            </w:pPr>
            <w:r>
              <w:rPr>
                <w:sz w:val="17"/>
              </w:rPr>
              <w:t>T16</w:t>
            </w:r>
          </w:p>
        </w:tc>
        <w:tc>
          <w:tcPr>
            <w:tcW w:type="dxa" w:w="1728"/>
            <w:vAlign w:val="top"/>
          </w:tcPr>
          <w:p>
            <w:pPr>
              <w:pStyle w:val="TableText"/>
            </w:pPr>
            <w:r>
              <w:rPr>
                <w:sz w:val="17"/>
              </w:rPr>
              <w:t>23:22–24:18</w:t>
            </w:r>
          </w:p>
        </w:tc>
        <w:tc>
          <w:tcPr>
            <w:tcW w:type="dxa" w:w="7301"/>
            <w:vAlign w:val="top"/>
          </w:tcPr>
          <w:p>
            <w:pPr>
              <w:pStyle w:val="TableText"/>
            </w:pPr>
            <w:r>
              <w:rPr>
                <w:sz w:val="17"/>
              </w:rPr>
              <w:t>Friday demonstration; earlier Wednesday/Thursday review preference; competing-program workload.</w:t>
            </w:r>
          </w:p>
        </w:tc>
      </w:tr>
    </w:tbl>
    <w:p>
      <w:pPr>
        <w:spacing w:after="20"/>
      </w:pPr>
      <w:r/>
    </w:p>
    <w:p>
      <w:pPr>
        <w:pStyle w:val="Heading2"/>
      </w:pPr>
      <w:r>
        <w:t>Terminology and provenance cautions</w:t>
      </w:r>
    </w:p>
    <w:p>
      <w:pPr>
        <w:pStyle w:val="Small"/>
      </w:pPr>
      <w:r>
        <w:t>DEB appears in the recording filename and is a working context label, not a verified expansion. The benchmark is transcribed inconsistently as “DAB putih,” “DIB Putih,” and “db putih”; this brief uses “Putih” benchmark without claiming to correct the acronym. PF, Holding, and DMM are retained from the discussion. The identity and permissions of DMM remain unresolved.</w:t>
      </w:r>
    </w:p>
    <w:p>
      <w:pPr>
        <w:pStyle w:val="Small"/>
      </w:pPr>
      <w:r>
        <w:t>The record contains no speaker diarization. “Mas Seto” appears in the filename, “Mas Kendra” in the discussion, and several inconsistent variants of other names occur; none is used as a verified attendee list or individually assigned action owner. Unclear field labels are not reconstructed. The examples expressed in KWP and “juta” are not validated targets or a confirmed budget.</w:t>
      </w:r>
    </w:p>
    <w:p>
      <w:pPr>
        <w:pStyle w:val="Small"/>
      </w:pPr>
      <w:r>
        <w:t>Casual jokes, refreshments, and unrelated program anecdotes are omitted except where they explain resource or funding context. No evidence is available here that promised files were delivered, a mockup was approved, or the application was implemented.</w:t>
      </w:r>
    </w:p>
    <w:sectPr w:rsidR="00FC693F" w:rsidRPr="0006063C" w:rsidSect="00034616">
      <w:headerReference w:type="default" r:id="rId9"/>
      <w:footerReference w:type="default" r:id="rId10"/>
      <w:footerReference w:type="first" r:id="rId11"/>
      <w:pgSz w:w="11909" w:h="16834"/>
      <w:pgMar w:top="1037" w:right="1109" w:bottom="936" w:left="110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91" w:val="right"/>
      </w:tabs>
    </w:pPr>
    <w:r>
      <w:t>Working record • Prepared 8 September 2026</w:t>
    </w:r>
    <w:r>
      <w:tab/>
    </w:r>
    <w:r>
      <w:t xml:space="preserve">Page </w:t>
    </w: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SOURCE-BASED WORKING DOCUMENT  |  Not an approved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5" w:space="6" w:color="D5E0E5"/>
      </w:pBdr>
    </w:pPr>
    <w:r>
      <w:rPr>
        <w:b/>
      </w:rPr>
      <w:t>PARTNER-CAMPUS MONITORING  /  MEETING &amp; SYSTEM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s="Calibri"/>
      <w:color w:val="263747"/>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cs="Calibri"/>
      <w:b/>
      <w:bCs/>
      <w:color w:val="183247"/>
      <w:sz w:val="40"/>
      <w:szCs w:val="28"/>
      <w:lang w:val="en-US"/>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cs="Calibri"/>
      <w:b/>
      <w:bCs/>
      <w:color w:val="156C78"/>
      <w:sz w:val="25"/>
      <w:szCs w:val="26"/>
      <w:lang w:val="en-US"/>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cs="Calibri"/>
      <w:b/>
      <w:bCs/>
      <w:color w:val="183247"/>
      <w:sz w:val="22"/>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s="Calibri"/>
      <w:b w:val="0"/>
      <w:color w:val="183247"/>
      <w:spacing w:val="5"/>
      <w:kern w:val="28"/>
      <w:sz w:val="68"/>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20"/>
    </w:pPr>
    <w:rPr>
      <w:rFonts w:asciiTheme="majorHAnsi" w:eastAsiaTheme="majorEastAsia" w:hAnsiTheme="majorHAnsi" w:cstheme="majorBidi" w:ascii="Calibri" w:hAnsi="Calibri" w:cs="Calibri"/>
      <w:b w:val="0"/>
      <w:i/>
      <w:iCs/>
      <w:color w:val="156C78"/>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s="Calibri"/>
      <w:color w:val="263747"/>
      <w:sz w:val="21"/>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0" w:lineRule="auto" w:before="40"/>
    </w:pPr>
    <w:rPr>
      <w:rFonts w:ascii="Calibri" w:hAnsi="Calibri" w:cs="Calibri"/>
      <w:color w:val="263747"/>
      <w:sz w:val="18"/>
      <w:lang w:val="en-US"/>
    </w:rPr>
  </w:style>
  <w:style w:type="paragraph" w:customStyle="1" w:styleId="Small">
    <w:name w:val="Small"/>
    <w:pPr>
      <w:spacing w:after="80" w:line="250" w:lineRule="auto"/>
    </w:pPr>
    <w:rPr>
      <w:rFonts w:ascii="Calibri" w:hAnsi="Calibri" w:cs="Calibri"/>
      <w:color w:val="61717D"/>
      <w:sz w:val="17"/>
      <w:lang w:val="en-US"/>
    </w:rPr>
  </w:style>
  <w:style w:type="paragraph" w:customStyle="1" w:styleId="Evidence">
    <w:name w:val="Evidence"/>
    <w:pPr>
      <w:spacing w:after="140" w:line="250" w:lineRule="auto" w:before="20"/>
    </w:pPr>
    <w:rPr>
      <w:rFonts w:ascii="Calibri" w:hAnsi="Calibri" w:cs="Calibri"/>
      <w:i/>
      <w:color w:val="61717D"/>
      <w:sz w:val="16"/>
      <w:lang w:val="en-US"/>
    </w:rPr>
  </w:style>
  <w:style w:type="paragraph" w:customStyle="1" w:styleId="Kicker">
    <w:name w:val="Kicker"/>
    <w:pPr>
      <w:spacing w:after="100" w:line="250" w:lineRule="auto"/>
    </w:pPr>
    <w:rPr>
      <w:rFonts w:ascii="Calibri" w:hAnsi="Calibri" w:cs="Calibri"/>
      <w:b/>
      <w:color w:val="156C78"/>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Partner-Campus Monitoring Dashboard — Meeting Recap and Web App System Brief</dc:title>
  <dc:subject>Source-based meeting recap and dedicated whole-system requirements brief</dc:subject>
  <dc:creator/>
  <cp:keywords>meeting recap, monitoring dashboard, proposal versioning, Q&amp;A, system requirements</cp:keywords>
  <dc:description>Prepared from the user-supplied transcript. Unresolved choices remain explicitly identified.</dc:description>
  <cp:lastModifiedBy/>
  <cp:revision>1</cp:revision>
  <dcterms:created xsi:type="dcterms:W3CDTF">2013-12-23T23:15:00Z</dcterms:created>
  <dcterms:modified xsi:type="dcterms:W3CDTF">2013-12-23T23:15:00Z</dcterms:modified>
  <cp:category/>
  <dc:language>en-US</dc:language>
</cp:coreProperties>
</file>