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apaFolhaderosto"/>
        <w:bidi w:val="0"/>
        <w:ind w:left="0" w:right="0" w:hanging="0"/>
        <w:jc w:val="center"/>
        <w:rPr>
          <w:color w:val="000000"/>
        </w:rPr>
      </w:pPr>
      <w:r>
        <w:rPr>
          <w:b/>
          <w:bCs/>
          <w:caps/>
          <w:color w:val="000000"/>
        </w:rPr>
        <w:t>ECONOMIA DO CRIMe: uma análise de dados em painel para relacionar criminalidade e economia NO ESTADO DO PARANÁ (2018-2021)</w:t>
      </w:r>
    </w:p>
    <w:p>
      <w:pPr>
        <w:pStyle w:val="Texto"/>
        <w:bidi w:val="0"/>
        <w:ind w:left="0" w:right="0" w:hanging="0"/>
        <w:rPr>
          <w:color w:val="000000"/>
        </w:rPr>
      </w:pPr>
      <w:r>
        <w:rPr>
          <w:color w:val="000000"/>
        </w:rPr>
        <w:t>Rafael Buttini Salviato</w:t>
      </w:r>
    </w:p>
    <w:p>
      <w:pPr>
        <w:pStyle w:val="Texto"/>
        <w:bidi w:val="0"/>
        <w:rPr>
          <w:color w:val="000000"/>
        </w:rPr>
      </w:pPr>
      <w:r>
        <w:rPr>
          <w:color w:val="000000"/>
        </w:rPr>
      </w:r>
    </w:p>
    <w:p>
      <w:pPr>
        <w:pStyle w:val="Ttuloprtextual"/>
        <w:bidi w:val="0"/>
        <w:jc w:val="left"/>
        <w:rPr>
          <w:color w:val="000000"/>
        </w:rPr>
      </w:pPr>
      <w:r>
        <w:rPr>
          <w:color w:val="000000"/>
        </w:rPr>
        <w:t>RESUMO</w:t>
      </w:r>
    </w:p>
    <w:p>
      <w:pPr>
        <w:pStyle w:val="Normal"/>
        <w:bidi w:val="0"/>
        <w:rPr>
          <w:color w:val="000000"/>
        </w:rPr>
      </w:pPr>
      <w:r>
        <w:rPr>
          <w:color w:val="000000"/>
        </w:rPr>
      </w:r>
    </w:p>
    <w:p>
      <w:pPr>
        <w:pStyle w:val="Resumo"/>
        <w:bidi w:val="0"/>
        <w:rPr>
          <w:color w:val="000000"/>
        </w:rPr>
      </w:pPr>
      <w:r>
        <w:rPr>
          <w:color w:val="000000"/>
        </w:rPr>
        <w:t xml:space="preserve">Ao longo dos anos, </w:t>
      </w:r>
      <w:r>
        <w:rPr>
          <w:color w:val="000000"/>
        </w:rPr>
        <w:t xml:space="preserve">pesquisadores </w:t>
      </w:r>
      <w:r>
        <w:rPr>
          <w:color w:val="000000"/>
        </w:rPr>
        <w:t xml:space="preserve">da economia do crime </w:t>
      </w:r>
      <w:r>
        <w:rPr>
          <w:color w:val="000000"/>
        </w:rPr>
        <w:t xml:space="preserve">buscam validar a tese do criminoso racional com base em </w:t>
      </w:r>
      <w:r>
        <w:rPr>
          <w:color w:val="000000"/>
        </w:rPr>
        <w:t>dados empíricos. Por isso,</w:t>
      </w:r>
      <w:r>
        <w:rPr>
          <w:color w:val="000000"/>
        </w:rPr>
        <w:t xml:space="preserve"> o </w:t>
      </w:r>
      <w:r>
        <w:rPr>
          <w:color w:val="000000"/>
        </w:rPr>
        <w:t>presente</w:t>
      </w:r>
      <w:r>
        <w:rPr>
          <w:color w:val="000000"/>
        </w:rPr>
        <w:t xml:space="preserve"> trabalho busc</w:t>
      </w:r>
      <w:r>
        <w:rPr>
          <w:color w:val="000000"/>
        </w:rPr>
        <w:t>o</w:t>
      </w:r>
      <w:r>
        <w:rPr>
          <w:color w:val="000000"/>
        </w:rPr>
        <w:t xml:space="preserve"> evidências </w:t>
      </w:r>
      <w:r>
        <w:rPr>
          <w:color w:val="000000"/>
        </w:rPr>
        <w:t>que apoiem ou refutem tal tese</w:t>
      </w:r>
      <w:r>
        <w:rPr>
          <w:color w:val="000000"/>
        </w:rPr>
        <w:t>. Analisando os gastos do</w:t>
      </w:r>
      <w:r>
        <w:rPr>
          <w:color w:val="000000"/>
        </w:rPr>
        <w:t>s munic</w:t>
      </w:r>
      <w:r>
        <w:rPr>
          <w:color w:val="000000"/>
        </w:rPr>
        <w:t>ípios do estado do Paraná</w:t>
      </w:r>
      <w:r>
        <w:rPr>
          <w:color w:val="000000"/>
        </w:rPr>
        <w:t xml:space="preserve"> com segurança pública e a densidade demográfica em municípios do Paraná entre 2018 e 2021, </w:t>
      </w:r>
      <w:r>
        <w:rPr>
          <w:color w:val="000000"/>
        </w:rPr>
        <w:t>foram</w:t>
      </w:r>
      <w:r>
        <w:rPr>
          <w:color w:val="000000"/>
        </w:rPr>
        <w:t xml:space="preserve"> utilizados modelos de regressão </w:t>
      </w:r>
      <w:r>
        <w:rPr>
          <w:color w:val="000000"/>
        </w:rPr>
        <w:t>para an</w:t>
      </w:r>
      <w:r>
        <w:rPr>
          <w:color w:val="000000"/>
        </w:rPr>
        <w:t xml:space="preserve">álise de dados </w:t>
      </w:r>
      <w:r>
        <w:rPr>
          <w:color w:val="000000"/>
        </w:rPr>
        <w:t xml:space="preserve">em painel. O </w:t>
      </w:r>
      <w:r>
        <w:rPr>
          <w:color w:val="000000"/>
        </w:rPr>
        <w:t>modelo de regress</w:t>
      </w:r>
      <w:r>
        <w:rPr>
          <w:color w:val="000000"/>
        </w:rPr>
        <w:t>ão com efietos aleatórios apresentou o melhor ajuste, e os resultados corroboram com a tese do criminoso racional</w:t>
      </w:r>
      <w:r>
        <w:rPr>
          <w:color w:val="000000"/>
        </w:rPr>
        <w:t xml:space="preserve">. No entanto, </w:t>
      </w:r>
      <w:r>
        <w:rPr>
          <w:color w:val="000000"/>
        </w:rPr>
        <w:t>foram destacadas</w:t>
      </w:r>
      <w:r>
        <w:rPr>
          <w:color w:val="000000"/>
        </w:rPr>
        <w:t xml:space="preserve"> algumas limitações </w:t>
      </w:r>
      <w:r>
        <w:rPr>
          <w:color w:val="000000"/>
        </w:rPr>
        <w:t>do estudo, tais</w:t>
      </w:r>
      <w:r>
        <w:rPr>
          <w:color w:val="000000"/>
        </w:rPr>
        <w:t xml:space="preserve"> como a ausência de dados para alguns municípios. </w:t>
      </w:r>
      <w:r>
        <w:rPr>
          <w:color w:val="000000"/>
        </w:rPr>
        <w:t>Para pr</w:t>
      </w:r>
      <w:r>
        <w:rPr>
          <w:color w:val="000000"/>
        </w:rPr>
        <w:t>óximos estudos, é sugerida a ampliação do horizonte de tempo, considerar outras distribuições para a modelagem e aplicar a defasagem de um a quatro anos para os dados referentes as despesas municipais com segurança pública.</w:t>
      </w:r>
    </w:p>
    <w:p>
      <w:pPr>
        <w:pStyle w:val="Resumo"/>
        <w:bidi w:val="0"/>
        <w:rPr>
          <w:color w:val="000000"/>
        </w:rPr>
      </w:pPr>
      <w:r>
        <w:rPr>
          <w:color w:val="000000"/>
        </w:rPr>
      </w:r>
    </w:p>
    <w:p>
      <w:pPr>
        <w:pStyle w:val="Resumo"/>
        <w:bidi w:val="0"/>
        <w:spacing w:lineRule="auto" w:line="240"/>
        <w:ind w:left="1814" w:right="0" w:hanging="1814"/>
        <w:jc w:val="both"/>
        <w:rPr>
          <w:color w:val="000000"/>
        </w:rPr>
      </w:pPr>
      <w:r>
        <w:rPr>
          <w:color w:val="000000"/>
        </w:rPr>
        <w:t xml:space="preserve">Palavras-chave: </w:t>
      </w:r>
      <w:r>
        <w:rPr>
          <w:color w:val="000000"/>
        </w:rPr>
        <w:t>economia do crime</w:t>
      </w:r>
      <w:r>
        <w:rPr>
          <w:color w:val="000000"/>
        </w:rPr>
        <w:t xml:space="preserve">. </w:t>
      </w:r>
      <w:r>
        <w:rPr>
          <w:color w:val="000000"/>
        </w:rPr>
        <w:t>Dados em painel</w:t>
      </w:r>
      <w:r>
        <w:rPr>
          <w:color w:val="000000"/>
        </w:rPr>
        <w:t xml:space="preserve">. </w:t>
      </w:r>
      <w:r>
        <w:rPr>
          <w:color w:val="000000"/>
        </w:rPr>
        <w:t>Estado do Paran</w:t>
      </w:r>
      <w:r>
        <w:rPr>
          <w:color w:val="000000"/>
        </w:rPr>
        <w:t>á</w:t>
      </w:r>
    </w:p>
    <w:p>
      <w:pPr>
        <w:pStyle w:val="Normal"/>
        <w:bidi w:val="0"/>
        <w:rPr>
          <w:color w:val="000000"/>
        </w:rPr>
      </w:pPr>
      <w:r>
        <w:rPr>
          <w:color w:val="000000"/>
        </w:rPr>
      </w:r>
    </w:p>
    <w:p>
      <w:pPr>
        <w:pStyle w:val="Ttuloprtextual"/>
        <w:bidi w:val="0"/>
        <w:jc w:val="left"/>
        <w:rPr>
          <w:color w:val="000000"/>
        </w:rPr>
      </w:pPr>
      <w:r>
        <w:rPr>
          <w:color w:val="000000"/>
        </w:rPr>
        <w:t>ABSTRACT</w:t>
      </w:r>
    </w:p>
    <w:p>
      <w:pPr>
        <w:pStyle w:val="Texto"/>
        <w:bidi w:val="0"/>
        <w:rPr>
          <w:color w:val="000000"/>
        </w:rPr>
      </w:pPr>
      <w:r>
        <w:rPr>
          <w:color w:val="000000"/>
        </w:rPr>
      </w:r>
    </w:p>
    <w:p>
      <w:pPr>
        <w:pStyle w:val="Resumo"/>
        <w:bidi w:val="0"/>
        <w:rPr>
          <w:color w:val="000000"/>
        </w:rPr>
      </w:pPr>
      <w:r>
        <w:rPr>
          <w:color w:val="000000"/>
        </w:rPr>
        <w:t>Over the years, researchers in the economics of crime have sought to validate the rational criminal thesis based on empirical data. Therefore, the present work seeks evidence that supports or refutes this thesis. Analyzing the expenditures of the municipalities of the state of Paraná with public security and the demographic density in municipalities of Paraná between 2018 and 2021, regression models were used for panel data analysis. The regression model with random effiets presented the best fit, and the results corroborate the thesis of the rational criminal. However, some limitations of the study were highlighted, such as the absence of data for some municipalities. For future studies, it is suggested to broaden the time horizon, consider other distributions for modeling and apply the lag of one to four years for data on municipal spending on public safety.</w:t>
      </w:r>
    </w:p>
    <w:p>
      <w:pPr>
        <w:pStyle w:val="Resumo"/>
        <w:bidi w:val="0"/>
        <w:rPr>
          <w:color w:val="000000"/>
        </w:rPr>
      </w:pPr>
      <w:r>
        <w:rPr>
          <w:color w:val="000000"/>
        </w:rPr>
      </w:r>
    </w:p>
    <w:p>
      <w:pPr>
        <w:pStyle w:val="Texto"/>
        <w:bidi w:val="0"/>
        <w:spacing w:lineRule="auto" w:line="360"/>
        <w:ind w:left="1247" w:right="0" w:hanging="1247"/>
        <w:jc w:val="both"/>
        <w:rPr>
          <w:color w:val="000000"/>
        </w:rPr>
      </w:pPr>
      <w:r>
        <w:rPr>
          <w:color w:val="000000"/>
        </w:rPr>
        <w:t xml:space="preserve">Keywords: </w:t>
      </w:r>
      <w:r>
        <w:rPr>
          <w:color w:val="000000"/>
        </w:rPr>
        <w:t>E</w:t>
      </w:r>
      <w:r>
        <w:rPr>
          <w:color w:val="000000"/>
        </w:rPr>
        <w:t xml:space="preserve">conomics of crime. </w:t>
      </w:r>
      <w:r>
        <w:rPr>
          <w:color w:val="000000"/>
        </w:rPr>
        <w:t>Panel</w:t>
      </w:r>
      <w:r>
        <w:rPr>
          <w:color w:val="000000"/>
        </w:rPr>
        <w:t xml:space="preserve"> data. State of Paraná, </w:t>
      </w:r>
      <w:r>
        <w:rPr>
          <w:color w:val="000000"/>
        </w:rPr>
        <w:t>BR</w:t>
      </w:r>
    </w:p>
    <w:p>
      <w:pPr>
        <w:pStyle w:val="Texto"/>
        <w:bidi w:val="0"/>
        <w:rPr>
          <w:color w:val="000000"/>
        </w:rPr>
      </w:pPr>
      <w:r>
        <w:rPr>
          <w:color w:val="000000"/>
        </w:rPr>
      </w:r>
    </w:p>
    <w:p>
      <w:pPr>
        <w:pStyle w:val="Texto"/>
        <w:bidi w:val="0"/>
        <w:rPr>
          <w:color w:val="000000"/>
        </w:rPr>
      </w:pPr>
      <w:r>
        <w:rPr>
          <w:color w:val="000000"/>
        </w:rPr>
      </w:r>
    </w:p>
    <w:p>
      <w:pPr>
        <w:pStyle w:val="Ttulo1"/>
        <w:bidi w:val="0"/>
        <w:jc w:val="left"/>
        <w:rPr>
          <w:color w:val="000000"/>
        </w:rPr>
      </w:pPr>
      <w:bookmarkStart w:id="0" w:name="__RefHeading___Toc2434_3934745904"/>
      <w:bookmarkEnd w:id="0"/>
      <w:r>
        <w:rPr>
          <w:color w:val="000000"/>
        </w:rPr>
        <w:t xml:space="preserve">INTRODUÇÃO </w:t>
      </w:r>
    </w:p>
    <w:p>
      <w:pPr>
        <w:pStyle w:val="Normal"/>
        <w:bidi w:val="0"/>
        <w:rPr>
          <w:color w:val="000000"/>
        </w:rPr>
      </w:pPr>
      <w:r>
        <w:rPr>
          <w:color w:val="000000"/>
        </w:rPr>
        <w:t xml:space="preserve">O campo de estudo da economia do crime </w:t>
      </w:r>
      <w:r>
        <w:rPr>
          <w:color w:val="000000"/>
        </w:rPr>
        <w:t xml:space="preserve">é </w:t>
      </w:r>
      <w:r>
        <w:rPr>
          <w:color w:val="000000"/>
        </w:rPr>
        <w:t>definido como sendo um ramo da economia aplicada à criminologia, que</w:t>
      </w:r>
      <w:r>
        <w:rPr>
          <w:color w:val="000000"/>
        </w:rPr>
        <w:t xml:space="preserve"> </w:t>
      </w:r>
      <w:r>
        <w:rPr>
          <w:color w:val="000000"/>
        </w:rPr>
        <w:t>surgiu</w:t>
      </w:r>
      <w:r>
        <w:rPr>
          <w:color w:val="000000"/>
        </w:rPr>
        <w:t xml:space="preserve"> </w:t>
      </w:r>
      <w:r>
        <w:rPr>
          <w:color w:val="000000"/>
        </w:rPr>
        <w:t>na metade do s</w:t>
      </w:r>
      <w:r>
        <w:rPr>
          <w:color w:val="000000"/>
        </w:rPr>
        <w:t>éculo vinte com o economista Gary Becker</w:t>
      </w:r>
      <w:r>
        <w:rPr>
          <w:color w:val="000000"/>
        </w:rPr>
        <w:t xml:space="preserve">. Com base no postulado do </w:t>
      </w:r>
      <w:r>
        <w:rPr>
          <w:i/>
          <w:iCs/>
          <w:color w:val="000000"/>
        </w:rPr>
        <w:t>homo economicus</w:t>
      </w:r>
      <w:r>
        <w:rPr>
          <w:i w:val="false"/>
          <w:iCs w:val="false"/>
          <w:color w:val="000000"/>
        </w:rPr>
        <w:t>, onde as aç</w:t>
      </w:r>
      <w:r>
        <w:rPr>
          <w:i w:val="false"/>
          <w:iCs w:val="false"/>
          <w:color w:val="000000"/>
        </w:rPr>
        <w:t>ões econômicas do</w:t>
      </w:r>
      <w:r>
        <w:rPr>
          <w:i w:val="false"/>
          <w:iCs w:val="false"/>
          <w:color w:val="000000"/>
        </w:rPr>
        <w:t xml:space="preserve"> ser humano s</w:t>
      </w:r>
      <w:r>
        <w:rPr>
          <w:i w:val="false"/>
          <w:iCs w:val="false"/>
          <w:color w:val="000000"/>
        </w:rPr>
        <w:t xml:space="preserve">ão guiadas pela racionalidade, </w:t>
      </w:r>
      <w:r>
        <w:rPr>
          <w:i w:val="false"/>
          <w:iCs w:val="false"/>
          <w:color w:val="000000"/>
        </w:rPr>
        <w:t>Becker (1968)</w:t>
      </w:r>
      <w:r>
        <w:rPr>
          <w:i w:val="false"/>
          <w:iCs w:val="false"/>
          <w:color w:val="000000"/>
        </w:rPr>
        <w:t xml:space="preserve"> </w:t>
      </w:r>
      <w:r>
        <w:rPr>
          <w:i w:val="false"/>
          <w:iCs w:val="false"/>
          <w:color w:val="000000"/>
        </w:rPr>
        <w:t xml:space="preserve">afirma </w:t>
      </w:r>
      <w:r>
        <w:rPr>
          <w:i w:val="false"/>
          <w:iCs w:val="false"/>
          <w:color w:val="000000"/>
        </w:rPr>
        <w:t xml:space="preserve">que o agente criminoso é um ser </w:t>
      </w:r>
      <w:r>
        <w:rPr>
          <w:i w:val="false"/>
          <w:iCs w:val="false"/>
          <w:color w:val="000000"/>
        </w:rPr>
        <w:t xml:space="preserve">racional que avalia custos e benefícios antes de optar em praticar algum crime. </w:t>
      </w:r>
      <w:r>
        <w:rPr>
          <w:i w:val="false"/>
          <w:iCs w:val="false"/>
          <w:color w:val="000000"/>
        </w:rPr>
        <w:t xml:space="preserve">De acordo com Viapiana (2006), o modelo de Becker, </w:t>
      </w:r>
      <w:r>
        <w:rPr>
          <w:i w:val="false"/>
          <w:iCs w:val="false"/>
          <w:color w:val="000000"/>
        </w:rPr>
        <w:t>do criminoso racional,</w:t>
      </w:r>
      <w:r>
        <w:rPr>
          <w:i w:val="false"/>
          <w:iCs w:val="false"/>
          <w:color w:val="000000"/>
        </w:rPr>
        <w:t xml:space="preserve"> pode ser sintetizado na seguinte função: </w:t>
      </w:r>
      <w:r>
        <w:rPr>
          <w:i w:val="false"/>
          <w:iCs w:val="false"/>
          <w:color w:val="000000"/>
        </w:rPr>
      </w:r>
      <m:oMath xmlns:m="http://schemas.openxmlformats.org/officeDocument/2006/math">
        <m:r>
          <w:rPr>
            <w:rFonts w:ascii="Cambria Math" w:hAnsi="Cambria Math"/>
          </w:rPr>
          <m:t xml:space="preserve">DC</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c</m:t>
        </m:r>
      </m:oMath>
      <w:r>
        <w:rPr>
          <w:i w:val="false"/>
          <w:iCs w:val="false"/>
          <w:color w:val="000000"/>
        </w:rPr>
        <w:t xml:space="preserve">onde </w:t>
      </w:r>
      <w:r>
        <w:rPr>
          <w:i/>
          <w:iCs/>
          <w:color w:val="000000"/>
        </w:rPr>
        <w:t>DC</w:t>
      </w:r>
      <w:r>
        <w:rPr>
          <w:i w:val="false"/>
          <w:iCs w:val="false"/>
          <w:color w:val="000000"/>
        </w:rPr>
        <w:t xml:space="preserve"> é a demanda pelo crime, </w:t>
      </w:r>
      <w:r>
        <w:rPr>
          <w:i/>
          <w:iCs/>
          <w:color w:val="000000"/>
        </w:rPr>
        <w:t>b</w:t>
      </w:r>
      <w:r>
        <w:rPr>
          <w:i w:val="false"/>
          <w:iCs w:val="false"/>
          <w:color w:val="000000"/>
        </w:rPr>
        <w:t xml:space="preserve"> é o benefício que o crime traz para o indivíduo, </w:t>
      </w:r>
      <w:r>
        <w:rPr>
          <w:i/>
          <w:iCs/>
          <w:color w:val="000000"/>
        </w:rPr>
        <w:t>p</w:t>
      </w:r>
      <w:r>
        <w:rPr>
          <w:i w:val="false"/>
          <w:iCs w:val="false"/>
          <w:color w:val="000000"/>
        </w:rPr>
        <w:t xml:space="preserve"> é a probabilidade do criminoso ser pego pelo crime cometido e </w:t>
      </w:r>
      <w:r>
        <w:rPr>
          <w:i/>
          <w:iCs/>
          <w:color w:val="000000"/>
        </w:rPr>
        <w:t>c</w:t>
      </w:r>
      <w:r>
        <w:rPr>
          <w:i w:val="false"/>
          <w:iCs w:val="false"/>
          <w:color w:val="000000"/>
        </w:rPr>
        <w:t xml:space="preserve"> é o custo que o indivíduo tem ao cometer um crime.</w:t>
      </w:r>
    </w:p>
    <w:p>
      <w:pPr>
        <w:pStyle w:val="Normal"/>
        <w:bidi w:val="0"/>
        <w:rPr>
          <w:color w:val="000000"/>
        </w:rPr>
      </w:pPr>
      <w:r>
        <w:rPr>
          <w:i w:val="false"/>
          <w:iCs w:val="false"/>
          <w:color w:val="000000"/>
        </w:rPr>
        <w:t>No decorrer dos anos, vários trabalhos nacionais e internacionais buscaram verificar evidências que corroborem ou refutem a tese do criminoso racional</w:t>
      </w:r>
      <w:r>
        <w:rPr>
          <w:i w:val="false"/>
          <w:iCs w:val="false"/>
          <w:color w:val="000000"/>
        </w:rPr>
        <w:t>,</w:t>
      </w:r>
      <w:r>
        <w:rPr>
          <w:i w:val="false"/>
          <w:iCs w:val="false"/>
          <w:color w:val="000000"/>
        </w:rPr>
        <w:t xml:space="preserve"> relacionando criminalidade com </w:t>
      </w:r>
      <w:r>
        <w:rPr>
          <w:i w:val="false"/>
          <w:iCs w:val="false"/>
          <w:color w:val="000000"/>
        </w:rPr>
        <w:t>fenômenos</w:t>
      </w:r>
      <w:r>
        <w:rPr>
          <w:i w:val="false"/>
          <w:iCs w:val="false"/>
          <w:color w:val="000000"/>
        </w:rPr>
        <w:t xml:space="preserve"> </w:t>
      </w:r>
      <w:r>
        <w:rPr>
          <w:i w:val="false"/>
          <w:iCs w:val="false"/>
          <w:color w:val="000000"/>
        </w:rPr>
        <w:t>socioeconômicos</w:t>
      </w:r>
      <w:r>
        <w:rPr>
          <w:i w:val="false"/>
          <w:iCs w:val="false"/>
          <w:color w:val="000000"/>
        </w:rPr>
        <w:t xml:space="preserve"> </w:t>
      </w:r>
      <w:r>
        <w:rPr>
          <w:i w:val="false"/>
          <w:iCs w:val="false"/>
          <w:color w:val="000000"/>
        </w:rPr>
        <w:t>tais como</w:t>
      </w:r>
      <w:r>
        <w:rPr>
          <w:i w:val="false"/>
          <w:iCs w:val="false"/>
          <w:color w:val="000000"/>
        </w:rPr>
        <w:t xml:space="preserve"> desemprego (</w:t>
      </w:r>
      <w:r>
        <w:rPr>
          <w:i w:val="false"/>
          <w:iCs w:val="false"/>
          <w:color w:val="000000"/>
        </w:rPr>
        <w:t>WINKLEMANN; PAPPS, 1998; REIS; BEATO, 2000; SHIKIDA, 2005)</w:t>
      </w:r>
      <w:r>
        <w:rPr>
          <w:i w:val="false"/>
          <w:iCs w:val="false"/>
          <w:color w:val="000000"/>
        </w:rPr>
        <w:t xml:space="preserve">, </w:t>
      </w:r>
      <w:r>
        <w:rPr>
          <w:i w:val="false"/>
          <w:iCs w:val="false"/>
          <w:color w:val="000000"/>
        </w:rPr>
        <w:t xml:space="preserve">renda </w:t>
      </w:r>
      <w:r>
        <w:rPr>
          <w:i w:val="false"/>
          <w:iCs w:val="false"/>
          <w:color w:val="000000"/>
        </w:rPr>
        <w:t>e desigualdade de renda</w:t>
      </w:r>
      <w:r>
        <w:rPr>
          <w:i w:val="false"/>
          <w:iCs w:val="false"/>
          <w:color w:val="000000"/>
        </w:rPr>
        <w:t xml:space="preserve"> (EHRLICH, 1973;  BENOIT; OSBOURNE, 1995; REIS; BEATO, 2000; </w:t>
      </w:r>
      <w:r>
        <w:rPr>
          <w:i w:val="false"/>
          <w:iCs w:val="false"/>
          <w:color w:val="000000"/>
        </w:rPr>
        <w:t xml:space="preserve">ANDRADE; LISBOA, 2000; </w:t>
      </w:r>
      <w:r>
        <w:rPr>
          <w:i w:val="false"/>
          <w:iCs w:val="false"/>
          <w:color w:val="000000"/>
        </w:rPr>
        <w:t>MARIANO, 2010</w:t>
      </w:r>
      <w:r>
        <w:rPr>
          <w:i w:val="false"/>
          <w:iCs w:val="false"/>
          <w:color w:val="000000"/>
        </w:rPr>
        <w:t xml:space="preserve">), </w:t>
      </w:r>
      <w:r>
        <w:rPr>
          <w:i w:val="false"/>
          <w:iCs w:val="false"/>
          <w:color w:val="000000"/>
        </w:rPr>
        <w:t>densidade demográfica (</w:t>
      </w:r>
      <w:r>
        <w:rPr>
          <w:i w:val="false"/>
          <w:iCs w:val="false"/>
          <w:color w:val="000000"/>
        </w:rPr>
        <w:t>MARIANO, 2010</w:t>
      </w:r>
      <w:r>
        <w:rPr>
          <w:i w:val="false"/>
          <w:iCs w:val="false"/>
          <w:color w:val="000000"/>
        </w:rPr>
        <w:t xml:space="preserve">; </w:t>
      </w:r>
      <w:r>
        <w:rPr>
          <w:i w:val="false"/>
          <w:iCs w:val="false"/>
          <w:color w:val="000000"/>
        </w:rPr>
        <w:t>REIS; BEATO, 2000</w:t>
      </w:r>
      <w:r>
        <w:rPr>
          <w:i w:val="false"/>
          <w:iCs w:val="false"/>
          <w:color w:val="000000"/>
        </w:rPr>
        <w:t xml:space="preserve">) </w:t>
      </w:r>
      <w:r>
        <w:rPr>
          <w:i w:val="false"/>
          <w:iCs w:val="false"/>
          <w:color w:val="000000"/>
        </w:rPr>
        <w:t xml:space="preserve">e o mercado de drogas ilícitas (FERNANDEZ; MALDONADO, 1999; </w:t>
      </w:r>
      <w:r>
        <w:rPr>
          <w:i w:val="false"/>
          <w:iCs w:val="false"/>
          <w:color w:val="000000"/>
        </w:rPr>
        <w:t>REIS; BEATO, 2000</w:t>
      </w:r>
      <w:r>
        <w:rPr>
          <w:i w:val="false"/>
          <w:iCs w:val="false"/>
          <w:color w:val="000000"/>
        </w:rPr>
        <w:t>)</w:t>
      </w:r>
      <w:r>
        <w:rPr>
          <w:i w:val="false"/>
          <w:iCs w:val="false"/>
          <w:color w:val="000000"/>
        </w:rPr>
        <w:t xml:space="preserve">. </w:t>
      </w:r>
      <w:r>
        <w:rPr>
          <w:i w:val="false"/>
          <w:iCs w:val="false"/>
          <w:color w:val="000000"/>
        </w:rPr>
        <w:t>E como ainda não há uma convergência, no que diz respeito as conclusões obtidas pelos estudos nesta área (</w:t>
      </w:r>
      <w:r>
        <w:rPr>
          <w:i/>
          <w:iCs/>
          <w:color w:val="000000"/>
        </w:rPr>
        <w:t xml:space="preserve">i.e.: </w:t>
      </w:r>
      <w:r>
        <w:rPr>
          <w:i w:val="false"/>
          <w:iCs w:val="false"/>
          <w:color w:val="000000"/>
        </w:rPr>
        <w:t>nem todos os estudos comprovam a tese do criminoso racional), reproduzir mais uma análise econométrica para uma diferente janela de tempo e espaço geográfico pode contribuir sim,  de forma relevante para as discussões sobre a teoria econômica do crime.</w:t>
      </w:r>
    </w:p>
    <w:p>
      <w:pPr>
        <w:pStyle w:val="Texto"/>
        <w:bidi w:val="0"/>
        <w:rPr>
          <w:rFonts w:ascii="Arial" w:hAnsi="Arial"/>
          <w:color w:val="000000"/>
          <w:sz w:val="21"/>
        </w:rPr>
      </w:pPr>
      <w:r>
        <w:rPr>
          <w:color w:val="000000"/>
        </w:rPr>
        <w:t xml:space="preserve">Isso posto, o presente trabalho buscou evidências que corroborem com a tese do criminoso racional, </w:t>
      </w:r>
      <w:r>
        <w:rPr>
          <w:color w:val="000000"/>
        </w:rPr>
        <w:t xml:space="preserve">a partir dos gastos </w:t>
      </w:r>
      <w:r>
        <w:rPr>
          <w:color w:val="000000"/>
        </w:rPr>
        <w:t>municipais</w:t>
      </w:r>
      <w:r>
        <w:rPr>
          <w:color w:val="000000"/>
        </w:rPr>
        <w:t xml:space="preserve"> com segurança pública e </w:t>
      </w:r>
      <w:r>
        <w:rPr>
          <w:color w:val="000000"/>
        </w:rPr>
        <w:t>a</w:t>
      </w:r>
      <w:r>
        <w:rPr>
          <w:color w:val="000000"/>
        </w:rPr>
        <w:t xml:space="preserve"> densidade demográfica. </w:t>
      </w:r>
      <w:r>
        <w:rPr>
          <w:color w:val="000000"/>
        </w:rPr>
        <w:t>O escopo da análise está restrita ao</w:t>
      </w:r>
      <w:r>
        <w:rPr>
          <w:color w:val="000000"/>
        </w:rPr>
        <w:t xml:space="preserve"> Estado do Paraná, a nível municipal, e no período de 2018 a 2021. E para </w:t>
      </w:r>
      <w:r>
        <w:rPr>
          <w:color w:val="000000"/>
        </w:rPr>
        <w:t>realizar a análise</w:t>
      </w:r>
      <w:r>
        <w:rPr>
          <w:color w:val="000000"/>
        </w:rPr>
        <w:t>, foi feito o uso de modelos de regressão para dados em painel.</w:t>
      </w:r>
    </w:p>
    <w:p>
      <w:pPr>
        <w:pStyle w:val="Texto"/>
        <w:bidi w:val="0"/>
        <w:rPr>
          <w:color w:val="000000"/>
        </w:rPr>
      </w:pPr>
      <w:r>
        <w:rPr>
          <w:color w:val="000000"/>
        </w:rPr>
      </w:r>
    </w:p>
    <w:p>
      <w:pPr>
        <w:pStyle w:val="Ttulo1"/>
        <w:bidi w:val="0"/>
        <w:jc w:val="left"/>
        <w:rPr>
          <w:color w:val="000000"/>
        </w:rPr>
      </w:pPr>
      <w:r>
        <w:rPr>
          <w:color w:val="000000"/>
        </w:rPr>
        <w:t>Metodologia</w:t>
      </w:r>
    </w:p>
    <w:p>
      <w:pPr>
        <w:pStyle w:val="Texto"/>
        <w:bidi w:val="0"/>
        <w:rPr>
          <w:color w:val="000000"/>
        </w:rPr>
      </w:pPr>
      <w:r>
        <w:rPr>
          <w:color w:val="000000"/>
        </w:rPr>
      </w:r>
    </w:p>
    <w:p>
      <w:pPr>
        <w:pStyle w:val="Texto"/>
        <w:bidi w:val="0"/>
        <w:rPr>
          <w:color w:val="000000"/>
        </w:rPr>
      </w:pPr>
      <w:r>
        <w:rPr>
          <w:color w:val="000000"/>
        </w:rPr>
        <w:t xml:space="preserve">O </w:t>
      </w:r>
      <w:r>
        <w:rPr>
          <w:i/>
          <w:iCs/>
          <w:color w:val="000000"/>
        </w:rPr>
        <w:t xml:space="preserve">software </w:t>
      </w:r>
      <w:r>
        <w:rPr>
          <w:i w:val="false"/>
          <w:iCs w:val="false"/>
          <w:color w:val="000000"/>
        </w:rPr>
        <w:t>estatístico utilizado foi o R, e a</w:t>
      </w:r>
      <w:r>
        <w:rPr>
          <w:color w:val="000000"/>
        </w:rPr>
        <w:t xml:space="preserve">s informações foram coletadas </w:t>
      </w:r>
      <w:r>
        <w:rPr>
          <w:color w:val="000000"/>
        </w:rPr>
        <w:t>no site do</w:t>
      </w:r>
      <w:r>
        <w:rPr>
          <w:color w:val="000000"/>
        </w:rPr>
        <w:t xml:space="preserve"> Instituto Paranaense de Desenvolvimento Econômico e Social (IPARDES</w:t>
      </w:r>
      <w:r>
        <w:rPr>
          <w:color w:val="000000"/>
        </w:rPr>
        <w:t xml:space="preserve">). Para atender o objetivo do trabalho, foram coletadas informações disponíveis sobre os crimes econômicos </w:t>
      </w:r>
      <w:r>
        <w:rPr>
          <w:color w:val="000000"/>
        </w:rPr>
        <w:t>(</w:t>
      </w:r>
      <w:r>
        <w:rPr>
          <w:i/>
          <w:iCs/>
          <w:color w:val="000000"/>
        </w:rPr>
        <w:t>CE</w:t>
      </w:r>
      <w:r>
        <w:rPr>
          <w:color w:val="000000"/>
        </w:rPr>
        <w:t>)</w:t>
      </w:r>
      <w:r>
        <w:rPr>
          <w:color w:val="000000"/>
        </w:rPr>
        <w:t xml:space="preserve">. Segundo Shikida (2005), estes são crimes cujo objetivo é gerar pecúnia para os seus praticantes. </w:t>
      </w:r>
      <w:r>
        <w:rPr>
          <w:color w:val="000000"/>
        </w:rPr>
        <w:t xml:space="preserve">Também foram coletadas duas covariáveis, uma delas é a despesa do município com a segurança pública </w:t>
      </w:r>
      <w:r>
        <w:rPr>
          <w:color w:val="000000"/>
        </w:rPr>
        <w:t xml:space="preserve">em R$ </w:t>
      </w:r>
      <w:r>
        <w:rPr>
          <w:color w:val="000000"/>
        </w:rPr>
        <w:t>(</w:t>
      </w:r>
      <w:r>
        <w:rPr>
          <w:i/>
          <w:iCs/>
          <w:color w:val="000000"/>
        </w:rPr>
        <w:t>DMSP</w:t>
      </w:r>
      <w:r>
        <w:rPr>
          <w:color w:val="000000"/>
        </w:rPr>
        <w:t>) e a densidade demográfica em hab/km</w:t>
      </w:r>
      <w:r>
        <w:rPr>
          <w:color w:val="000000"/>
          <w:vertAlign w:val="superscript"/>
        </w:rPr>
        <w:t>2</w:t>
      </w:r>
      <w:r>
        <w:rPr>
          <w:color w:val="000000"/>
          <w:position w:val="0"/>
          <w:sz w:val="24"/>
          <w:vertAlign w:val="baseline"/>
        </w:rPr>
        <w:t xml:space="preserve"> (</w:t>
      </w:r>
      <w:r>
        <w:rPr>
          <w:i/>
          <w:iCs/>
          <w:color w:val="000000"/>
          <w:position w:val="0"/>
          <w:sz w:val="24"/>
          <w:vertAlign w:val="baseline"/>
        </w:rPr>
        <w:t>DD</w:t>
      </w:r>
      <w:r>
        <w:rPr>
          <w:color w:val="000000"/>
          <w:position w:val="0"/>
          <w:sz w:val="24"/>
          <w:vertAlign w:val="baseline"/>
        </w:rPr>
        <w:t>). Com isso, temos a seguinte fórmula:</w:t>
      </w:r>
    </w:p>
    <w:p>
      <w:pPr>
        <w:pStyle w:val="Texto"/>
        <w:bidi w:val="0"/>
        <w:jc w:val="center"/>
        <w:rPr>
          <w:color w:val="000000"/>
        </w:rPr>
      </w:pPr>
      <w:r>
        <w:rPr>
          <w:color w:val="000000"/>
        </w:rPr>
      </w:r>
      <m:oMath xmlns:m="http://schemas.openxmlformats.org/officeDocument/2006/math">
        <m:sSub>
          <m:e>
            <m:r>
              <w:rPr>
                <w:rFonts w:ascii="Cambria Math" w:hAnsi="Cambria Math"/>
              </w:rPr>
              <m:t xml:space="preserve">CE</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DMSP</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w:rPr>
                <w:rFonts w:ascii="Cambria Math" w:hAnsi="Cambria Math"/>
              </w:rPr>
              <m:t xml:space="preserve">DD</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r>
          <w:rPr>
            <w:rFonts w:ascii="Cambria Math" w:hAnsi="Cambria Math"/>
          </w:rPr>
          <m:t xml:space="preserve">+</m:t>
        </m:r>
        <m:r>
          <w:rPr>
            <w:rFonts w:ascii="Cambria Math" w:hAnsi="Cambria Math"/>
          </w:rPr>
          <m:t xml:space="preserve">ε</m:t>
        </m:r>
      </m:oMath>
      <w:r>
        <w:rPr>
          <w:color w:val="000000"/>
        </w:rPr>
        <w:t>,</w:t>
      </w:r>
    </w:p>
    <w:p>
      <w:pPr>
        <w:pStyle w:val="Texto"/>
        <w:bidi w:val="0"/>
        <w:ind w:left="0" w:right="0" w:hanging="0"/>
        <w:jc w:val="both"/>
        <w:rPr>
          <w:color w:val="000000"/>
        </w:rPr>
      </w:pPr>
      <w:r>
        <w:rPr>
          <w:color w:val="000000"/>
        </w:rPr>
        <w:t xml:space="preserve">onde </w:t>
      </w:r>
      <w:r>
        <w:rPr>
          <w:i/>
          <w:iCs/>
          <w:color w:val="000000"/>
        </w:rPr>
        <w:t>i</w:t>
      </w:r>
      <w:r>
        <w:rPr>
          <w:color w:val="000000"/>
        </w:rPr>
        <w:t xml:space="preserve"> vai de 1 at</w:t>
      </w:r>
      <w:r>
        <w:rPr>
          <w:color w:val="000000"/>
        </w:rPr>
        <w:t xml:space="preserve">é </w:t>
      </w:r>
      <w:r>
        <w:rPr>
          <w:i/>
          <w:iCs/>
          <w:color w:val="000000"/>
        </w:rPr>
        <w:t>m</w:t>
      </w:r>
      <w:r>
        <w:rPr>
          <w:color w:val="000000"/>
        </w:rPr>
        <w:t xml:space="preserve"> municípios, </w:t>
      </w:r>
      <w:r>
        <w:rPr>
          <w:i/>
          <w:iCs/>
          <w:color w:val="000000"/>
        </w:rPr>
        <w:t xml:space="preserve">t </w:t>
      </w:r>
      <w:r>
        <w:rPr>
          <w:i w:val="false"/>
          <w:iCs w:val="false"/>
          <w:color w:val="000000"/>
        </w:rPr>
        <w:t xml:space="preserve">vai de 1 até </w:t>
      </w:r>
      <w:r>
        <w:rPr>
          <w:i/>
          <w:iCs/>
          <w:color w:val="000000"/>
        </w:rPr>
        <w:t>n</w:t>
      </w:r>
      <w:r>
        <w:rPr>
          <w:i w:val="false"/>
          <w:iCs w:val="false"/>
          <w:color w:val="000000"/>
        </w:rPr>
        <w:t xml:space="preserve"> anos observados e </w:t>
      </w:r>
      <w:r>
        <w:rPr>
          <w:rFonts w:eastAsia="Liberation Serif" w:cs="Liberation Serif" w:ascii="Liberation Serif" w:hAnsi="Liberation Serif"/>
          <w:i w:val="false"/>
          <w:iCs w:val="false"/>
          <w:color w:val="000000"/>
        </w:rPr>
        <w:t>ε</w:t>
      </w:r>
      <w:r>
        <w:rPr>
          <w:rFonts w:eastAsia="Liberation Serif" w:cs="Liberation Serif"/>
          <w:i w:val="false"/>
          <w:iCs w:val="false"/>
          <w:color w:val="000000"/>
        </w:rPr>
        <w:t xml:space="preserve"> é um</w:t>
      </w:r>
      <w:r>
        <w:rPr>
          <w:rFonts w:eastAsia="Liberation Serif" w:cs="Liberation Serif"/>
          <w:i w:val="false"/>
          <w:iCs w:val="false"/>
          <w:color w:val="000000"/>
        </w:rPr>
        <w:t xml:space="preserve"> termo que representa o</w:t>
      </w:r>
      <w:r>
        <w:rPr>
          <w:rFonts w:eastAsia="Liberation Serif" w:cs="Liberation Serif"/>
          <w:i w:val="false"/>
          <w:iCs w:val="false"/>
          <w:color w:val="000000"/>
        </w:rPr>
        <w:t>(s)</w:t>
      </w:r>
      <w:r>
        <w:rPr>
          <w:rFonts w:eastAsia="Liberation Serif" w:cs="Liberation Serif"/>
          <w:i w:val="false"/>
          <w:iCs w:val="false"/>
          <w:color w:val="000000"/>
        </w:rPr>
        <w:t xml:space="preserve"> </w:t>
      </w:r>
      <w:r>
        <w:rPr>
          <w:rFonts w:eastAsia="Liberation Serif" w:cs="Liberation Serif"/>
          <w:i w:val="false"/>
          <w:iCs w:val="false"/>
          <w:color w:val="000000"/>
        </w:rPr>
        <w:t xml:space="preserve">componente(s) de </w:t>
      </w:r>
      <w:r>
        <w:rPr>
          <w:rFonts w:eastAsia="Liberation Serif" w:cs="Liberation Serif"/>
          <w:i w:val="false"/>
          <w:iCs w:val="false"/>
          <w:color w:val="000000"/>
        </w:rPr>
        <w:t xml:space="preserve">erro ou resíduo do modelo. </w:t>
      </w:r>
      <w:r>
        <w:rPr>
          <w:rFonts w:eastAsia="Liberation Serif" w:cs="Liberation Serif"/>
          <w:i w:val="false"/>
          <w:iCs w:val="false"/>
          <w:color w:val="000000"/>
        </w:rPr>
        <w:t xml:space="preserve">Esta fórmula é uma representação genérica a </w:t>
      </w:r>
      <w:r>
        <w:rPr>
          <w:rFonts w:eastAsia="Liberation Serif" w:cs="Liberation Serif"/>
          <w:i/>
          <w:iCs/>
          <w:color w:val="000000"/>
        </w:rPr>
        <w:t>grosso modo</w:t>
      </w:r>
      <w:r>
        <w:rPr>
          <w:rFonts w:eastAsia="Liberation Serif" w:cs="Liberation Serif"/>
          <w:i w:val="false"/>
          <w:iCs w:val="false"/>
          <w:color w:val="000000"/>
        </w:rPr>
        <w:t>, pois dependendo do modelo utilizado, esta fórmula é modificada de modo a acomodar outros termos tais como os efeitos fixos e os efeitos aleatórios.</w:t>
      </w:r>
    </w:p>
    <w:p>
      <w:pPr>
        <w:pStyle w:val="Texto"/>
        <w:bidi w:val="0"/>
        <w:rPr>
          <w:color w:val="000000"/>
        </w:rPr>
      </w:pPr>
      <w:r>
        <w:rPr>
          <w:color w:val="000000"/>
        </w:rPr>
        <w:t xml:space="preserve">Os modelos de regressão para dados em painel que o presente trabalho utilizou foram extraídos de Wooldridge (2015): </w:t>
      </w:r>
      <w:r>
        <w:rPr>
          <w:i/>
          <w:iCs/>
          <w:color w:val="000000"/>
        </w:rPr>
        <w:t xml:space="preserve">Pooled OLS, </w:t>
      </w:r>
      <w:r>
        <w:rPr>
          <w:i w:val="false"/>
          <w:iCs w:val="false"/>
          <w:color w:val="000000"/>
        </w:rPr>
        <w:t>efeitos fixos (FE) e efeitos aleatórios (RE), tanto para resposta gaussiana quanto para resposta poisson, uma vez que nossa variável resposta é um dado de contagem (</w:t>
      </w:r>
      <w:r>
        <w:rPr>
          <w:i/>
          <w:iCs/>
          <w:color w:val="000000"/>
        </w:rPr>
        <w:t xml:space="preserve">i.e.: </w:t>
      </w:r>
      <w:r>
        <w:rPr>
          <w:i w:val="false"/>
          <w:iCs w:val="false"/>
          <w:color w:val="000000"/>
        </w:rPr>
        <w:t>quantidade de crimes).</w:t>
      </w:r>
    </w:p>
    <w:p>
      <w:pPr>
        <w:pStyle w:val="Texto"/>
        <w:bidi w:val="0"/>
        <w:rPr>
          <w:color w:val="000000"/>
        </w:rPr>
      </w:pPr>
      <w:r>
        <w:rPr>
          <w:i w:val="false"/>
          <w:iCs w:val="false"/>
          <w:color w:val="000000"/>
        </w:rPr>
        <w:t xml:space="preserve">É preciso mencionar que, o conjunto de dados utilizado apresentou ausência de dados para alguns municípios. E portanto foi feito o uso de métodos estatísticos para a imputação de dados. No presente estudo, o método utilizado foi o </w:t>
      </w:r>
      <w:r>
        <w:rPr>
          <w:i/>
          <w:iCs/>
          <w:color w:val="000000"/>
        </w:rPr>
        <w:t>Predictive Mean Matching</w:t>
      </w:r>
      <w:r>
        <w:rPr>
          <w:i w:val="false"/>
          <w:iCs w:val="false"/>
          <w:color w:val="000000"/>
        </w:rPr>
        <w:t xml:space="preserve"> ou PMM (BUUREN, 2018).</w:t>
      </w:r>
    </w:p>
    <w:p>
      <w:pPr>
        <w:pStyle w:val="Texto"/>
        <w:bidi w:val="0"/>
        <w:rPr>
          <w:color w:val="000000"/>
        </w:rPr>
      </w:pPr>
      <w:r>
        <w:rPr>
          <w:color w:val="000000"/>
        </w:rPr>
      </w:r>
    </w:p>
    <w:p>
      <w:pPr>
        <w:pStyle w:val="Ttulo1"/>
        <w:bidi w:val="0"/>
        <w:jc w:val="left"/>
        <w:rPr>
          <w:color w:val="000000"/>
        </w:rPr>
      </w:pPr>
      <w:r>
        <w:rPr>
          <w:color w:val="000000"/>
        </w:rPr>
        <w:t>Apresentação dos resultados</w:t>
      </w:r>
    </w:p>
    <w:p>
      <w:pPr>
        <w:pStyle w:val="Texto"/>
        <w:bidi w:val="0"/>
        <w:rPr>
          <w:color w:val="000000"/>
        </w:rPr>
      </w:pPr>
      <w:r>
        <w:rPr>
          <w:color w:val="000000"/>
        </w:rPr>
      </w:r>
    </w:p>
    <w:p>
      <w:pPr>
        <w:pStyle w:val="Texto"/>
        <w:bidi w:val="0"/>
        <w:rPr>
          <w:color w:val="000000"/>
        </w:rPr>
      </w:pPr>
      <w:r>
        <w:rPr>
          <w:color w:val="000000"/>
        </w:rPr>
        <w:t>Foram observados 399 munic</w:t>
      </w:r>
      <w:r>
        <w:rPr>
          <w:color w:val="000000"/>
        </w:rPr>
        <w:t>ípios em 4 anos, totalizando 1596 observações. O QUADRO 1 apresenta as principais medidas descritivas do conjunto de dados.</w:t>
      </w:r>
    </w:p>
    <w:p>
      <w:pPr>
        <w:pStyle w:val="Ttulodafiguraetabela"/>
        <w:bidi w:val="0"/>
        <w:rPr>
          <w:color w:val="000000"/>
        </w:rPr>
      </w:pPr>
      <w:r>
        <w:rPr>
          <w:color w:val="000000"/>
        </w:rPr>
        <w:t xml:space="preserve">QUADRO </w:t>
      </w:r>
      <w:r>
        <w:rPr>
          <w:color w:val="000000"/>
        </w:rPr>
        <w:fldChar w:fldCharType="begin"/>
      </w:r>
      <w:r>
        <w:rPr>
          <w:color w:val="000000"/>
        </w:rPr>
        <w:instrText xml:space="preserve"> SEQ QUADRO \* ARABIC </w:instrText>
      </w:r>
      <w:r>
        <w:rPr>
          <w:color w:val="000000"/>
        </w:rPr>
        <w:fldChar w:fldCharType="separate"/>
      </w:r>
      <w:r>
        <w:rPr>
          <w:color w:val="000000"/>
        </w:rPr>
        <w:t>1</w:t>
      </w:r>
      <w:r>
        <w:rPr>
          <w:color w:val="000000"/>
        </w:rPr>
        <w:fldChar w:fldCharType="end"/>
      </w:r>
      <w:r>
        <w:rPr>
          <w:color w:val="000000"/>
        </w:rPr>
        <w:t xml:space="preserve"> - </w:t>
      </w:r>
      <w:r>
        <w:rPr>
          <w:b/>
          <w:bCs/>
          <w:color w:val="000000"/>
        </w:rPr>
        <w:t>RESUMO DAS VARI</w:t>
      </w:r>
      <w:r>
        <w:rPr>
          <w:rFonts w:cs="Mangal"/>
          <w:b/>
          <w:bCs/>
          <w:i w:val="false"/>
          <w:iCs/>
          <w:color w:val="000000"/>
          <w:sz w:val="20"/>
          <w:szCs w:val="24"/>
        </w:rPr>
        <w:t xml:space="preserve">ÁVEIS </w:t>
      </w:r>
    </w:p>
    <w:tbl>
      <w:tblPr>
        <w:tblW w:w="5000" w:type="pct"/>
        <w:jc w:val="left"/>
        <w:tblInd w:w="57" w:type="dxa"/>
        <w:tblLayout w:type="fixed"/>
        <w:tblCellMar>
          <w:top w:w="0" w:type="dxa"/>
          <w:left w:w="57" w:type="dxa"/>
          <w:bottom w:w="0" w:type="dxa"/>
          <w:right w:w="57" w:type="dxa"/>
        </w:tblCellMar>
      </w:tblPr>
      <w:tblGrid>
        <w:gridCol w:w="2267"/>
        <w:gridCol w:w="2268"/>
        <w:gridCol w:w="2267"/>
        <w:gridCol w:w="2269"/>
      </w:tblGrid>
      <w:tr>
        <w:trPr>
          <w:tblHeader w:val="true"/>
        </w:trPr>
        <w:tc>
          <w:tcPr>
            <w:tcW w:w="2267" w:type="dxa"/>
            <w:tcBorders>
              <w:top w:val="single" w:sz="4" w:space="0" w:color="000000"/>
              <w:left w:val="single" w:sz="4" w:space="0" w:color="000000"/>
              <w:bottom w:val="single" w:sz="4" w:space="0" w:color="000000"/>
            </w:tcBorders>
          </w:tcPr>
          <w:p>
            <w:pPr>
              <w:pStyle w:val="Contedodatabela"/>
              <w:widowControl/>
              <w:suppressLineNumbers/>
              <w:bidi w:val="0"/>
              <w:spacing w:lineRule="auto" w:line="240"/>
              <w:ind w:left="0" w:right="0" w:hanging="0"/>
              <w:jc w:val="center"/>
              <w:rPr>
                <w:rFonts w:ascii="Arial" w:hAnsi="Arial"/>
                <w:b/>
                <w:b/>
                <w:bCs/>
                <w:i w:val="false"/>
                <w:i w:val="false"/>
                <w:iCs w:val="false"/>
                <w:strike w:val="false"/>
                <w:dstrike w:val="false"/>
                <w:outline w:val="false"/>
                <w:shadow w:val="false"/>
                <w:color w:val="000000"/>
                <w:sz w:val="20"/>
                <w:szCs w:val="20"/>
                <w:u w:val="none"/>
              </w:rPr>
            </w:pPr>
            <w:r>
              <w:rPr>
                <w:rFonts w:ascii="Arial" w:hAnsi="Arial"/>
                <w:b/>
                <w:bCs/>
                <w:i w:val="false"/>
                <w:iCs w:val="false"/>
                <w:strike w:val="false"/>
                <w:dstrike w:val="false"/>
                <w:outline w:val="false"/>
                <w:shadow w:val="false"/>
                <w:color w:val="000000"/>
                <w:sz w:val="20"/>
                <w:szCs w:val="20"/>
                <w:u w:val="none"/>
              </w:rPr>
              <w:t>Medida</w:t>
            </w:r>
          </w:p>
        </w:tc>
        <w:tc>
          <w:tcPr>
            <w:tcW w:w="2268" w:type="dxa"/>
            <w:tcBorders>
              <w:top w:val="single" w:sz="4" w:space="0" w:color="000000"/>
              <w:left w:val="single" w:sz="4" w:space="0" w:color="000000"/>
              <w:bottom w:val="single" w:sz="4" w:space="0" w:color="000000"/>
            </w:tcBorders>
          </w:tcPr>
          <w:p>
            <w:pPr>
              <w:pStyle w:val="Contedodatabela"/>
              <w:widowControl/>
              <w:suppressLineNumbers/>
              <w:bidi w:val="0"/>
              <w:spacing w:lineRule="auto" w:line="240"/>
              <w:ind w:left="0" w:right="0" w:hanging="0"/>
              <w:jc w:val="center"/>
              <w:rPr>
                <w:rFonts w:ascii="Arial" w:hAnsi="Arial"/>
                <w:b/>
                <w:b/>
                <w:bCs/>
                <w:i w:val="false"/>
                <w:i w:val="false"/>
                <w:iCs w:val="false"/>
                <w:strike w:val="false"/>
                <w:dstrike w:val="false"/>
                <w:outline w:val="false"/>
                <w:shadow w:val="false"/>
                <w:color w:val="000000"/>
                <w:sz w:val="20"/>
                <w:szCs w:val="20"/>
                <w:u w:val="none"/>
              </w:rPr>
            </w:pPr>
            <w:r>
              <w:rPr>
                <w:rFonts w:ascii="Arial" w:hAnsi="Arial"/>
                <w:b/>
                <w:bCs/>
                <w:i w:val="false"/>
                <w:iCs w:val="false"/>
                <w:strike w:val="false"/>
                <w:dstrike w:val="false"/>
                <w:outline w:val="false"/>
                <w:shadow w:val="false"/>
                <w:color w:val="000000"/>
                <w:sz w:val="20"/>
                <w:szCs w:val="20"/>
                <w:u w:val="none"/>
              </w:rPr>
              <w:t>CE</w:t>
            </w:r>
          </w:p>
        </w:tc>
        <w:tc>
          <w:tcPr>
            <w:tcW w:w="2267" w:type="dxa"/>
            <w:tcBorders>
              <w:top w:val="single" w:sz="4" w:space="0" w:color="000000"/>
              <w:left w:val="single" w:sz="4" w:space="0" w:color="000000"/>
              <w:bottom w:val="single" w:sz="4" w:space="0" w:color="000000"/>
            </w:tcBorders>
          </w:tcPr>
          <w:p>
            <w:pPr>
              <w:pStyle w:val="Contedodatabela"/>
              <w:widowControl/>
              <w:suppressLineNumbers/>
              <w:bidi w:val="0"/>
              <w:spacing w:lineRule="auto" w:line="240"/>
              <w:ind w:left="0" w:right="0" w:hanging="0"/>
              <w:jc w:val="center"/>
              <w:rPr>
                <w:rFonts w:ascii="Arial" w:hAnsi="Arial"/>
                <w:b/>
                <w:b/>
                <w:bCs/>
                <w:i w:val="false"/>
                <w:i w:val="false"/>
                <w:iCs w:val="false"/>
                <w:strike w:val="false"/>
                <w:dstrike w:val="false"/>
                <w:outline w:val="false"/>
                <w:shadow w:val="false"/>
                <w:color w:val="000000"/>
                <w:sz w:val="20"/>
                <w:szCs w:val="20"/>
                <w:u w:val="none"/>
              </w:rPr>
            </w:pPr>
            <w:r>
              <w:rPr>
                <w:rFonts w:ascii="Arial" w:hAnsi="Arial"/>
                <w:b/>
                <w:bCs/>
                <w:i w:val="false"/>
                <w:iCs w:val="false"/>
                <w:strike w:val="false"/>
                <w:dstrike w:val="false"/>
                <w:outline w:val="false"/>
                <w:shadow w:val="false"/>
                <w:color w:val="000000"/>
                <w:sz w:val="20"/>
                <w:szCs w:val="20"/>
                <w:u w:val="none"/>
              </w:rPr>
              <w:t>DMSP</w:t>
            </w:r>
          </w:p>
        </w:tc>
        <w:tc>
          <w:tcPr>
            <w:tcW w:w="2269" w:type="dxa"/>
            <w:tcBorders>
              <w:top w:val="single" w:sz="4" w:space="0" w:color="000000"/>
              <w:left w:val="single" w:sz="4" w:space="0" w:color="000000"/>
              <w:bottom w:val="single" w:sz="4" w:space="0" w:color="000000"/>
              <w:right w:val="single" w:sz="4" w:space="0" w:color="000000"/>
            </w:tcBorders>
          </w:tcPr>
          <w:p>
            <w:pPr>
              <w:pStyle w:val="Contedodatabela"/>
              <w:widowControl/>
              <w:suppressLineNumbers/>
              <w:bidi w:val="0"/>
              <w:spacing w:lineRule="auto" w:line="240"/>
              <w:ind w:left="0" w:right="0" w:hanging="0"/>
              <w:jc w:val="center"/>
              <w:rPr>
                <w:rFonts w:ascii="Arial" w:hAnsi="Arial"/>
                <w:b/>
                <w:b/>
                <w:bCs/>
                <w:i w:val="false"/>
                <w:i w:val="false"/>
                <w:iCs w:val="false"/>
                <w:strike w:val="false"/>
                <w:dstrike w:val="false"/>
                <w:outline w:val="false"/>
                <w:shadow w:val="false"/>
                <w:color w:val="000000"/>
                <w:sz w:val="20"/>
                <w:szCs w:val="20"/>
                <w:u w:val="none"/>
              </w:rPr>
            </w:pPr>
            <w:r>
              <w:rPr>
                <w:rFonts w:ascii="Arial" w:hAnsi="Arial"/>
                <w:b/>
                <w:bCs/>
                <w:i w:val="false"/>
                <w:iCs w:val="false"/>
                <w:strike w:val="false"/>
                <w:dstrike w:val="false"/>
                <w:outline w:val="false"/>
                <w:shadow w:val="false"/>
                <w:color w:val="000000"/>
                <w:sz w:val="20"/>
                <w:szCs w:val="20"/>
                <w:u w:val="none"/>
              </w:rPr>
              <w:t>DD</w:t>
            </w:r>
          </w:p>
        </w:tc>
      </w:tr>
      <w:tr>
        <w:trPr>
          <w:trHeight w:val="265" w:hRule="atLeast"/>
        </w:trPr>
        <w:tc>
          <w:tcPr>
            <w:tcW w:w="2267"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Mínimo</w:t>
            </w:r>
          </w:p>
        </w:tc>
        <w:tc>
          <w:tcPr>
            <w:tcW w:w="2268"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6</w:t>
            </w:r>
          </w:p>
        </w:tc>
        <w:tc>
          <w:tcPr>
            <w:tcW w:w="2267"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2,52</w:t>
            </w:r>
          </w:p>
        </w:tc>
        <w:tc>
          <w:tcPr>
            <w:tcW w:w="2269" w:type="dxa"/>
            <w:tcBorders>
              <w:left w:val="single" w:sz="4" w:space="0" w:color="000000"/>
              <w:bottom w:val="single" w:sz="4" w:space="0" w:color="000000"/>
              <w:right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R$                 71,00</w:t>
            </w:r>
          </w:p>
        </w:tc>
      </w:tr>
      <w:tr>
        <w:trPr>
          <w:trHeight w:val="150" w:hRule="atLeast"/>
        </w:trPr>
        <w:tc>
          <w:tcPr>
            <w:tcW w:w="2267"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Primeiro quartil</w:t>
            </w:r>
          </w:p>
        </w:tc>
        <w:tc>
          <w:tcPr>
            <w:tcW w:w="2268"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62</w:t>
            </w:r>
          </w:p>
        </w:tc>
        <w:tc>
          <w:tcPr>
            <w:tcW w:w="2267"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16,51</w:t>
            </w:r>
          </w:p>
        </w:tc>
        <w:tc>
          <w:tcPr>
            <w:tcW w:w="2269" w:type="dxa"/>
            <w:tcBorders>
              <w:left w:val="single" w:sz="4" w:space="0" w:color="000000"/>
              <w:bottom w:val="single" w:sz="4" w:space="0" w:color="000000"/>
              <w:right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R$          22.950,00</w:t>
            </w:r>
          </w:p>
        </w:tc>
      </w:tr>
      <w:tr>
        <w:trPr>
          <w:trHeight w:val="150" w:hRule="atLeast"/>
        </w:trPr>
        <w:tc>
          <w:tcPr>
            <w:tcW w:w="2267"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Mediana</w:t>
            </w:r>
          </w:p>
        </w:tc>
        <w:tc>
          <w:tcPr>
            <w:tcW w:w="2268"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131,5</w:t>
            </w:r>
          </w:p>
        </w:tc>
        <w:tc>
          <w:tcPr>
            <w:tcW w:w="2267"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25,95</w:t>
            </w:r>
          </w:p>
        </w:tc>
        <w:tc>
          <w:tcPr>
            <w:tcW w:w="2269" w:type="dxa"/>
            <w:tcBorders>
              <w:left w:val="single" w:sz="4" w:space="0" w:color="000000"/>
              <w:bottom w:val="single" w:sz="4" w:space="0" w:color="000000"/>
              <w:right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R$        212.984,00</w:t>
            </w:r>
          </w:p>
        </w:tc>
      </w:tr>
      <w:tr>
        <w:trPr>
          <w:trHeight w:val="150" w:hRule="atLeast"/>
        </w:trPr>
        <w:tc>
          <w:tcPr>
            <w:tcW w:w="2267"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Média</w:t>
            </w:r>
          </w:p>
        </w:tc>
        <w:tc>
          <w:tcPr>
            <w:tcW w:w="2268"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737,9</w:t>
            </w:r>
          </w:p>
        </w:tc>
        <w:tc>
          <w:tcPr>
            <w:tcW w:w="2267"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68,33</w:t>
            </w:r>
          </w:p>
        </w:tc>
        <w:tc>
          <w:tcPr>
            <w:tcW w:w="2269" w:type="dxa"/>
            <w:tcBorders>
              <w:left w:val="single" w:sz="4" w:space="0" w:color="000000"/>
              <w:bottom w:val="single" w:sz="4" w:space="0" w:color="000000"/>
              <w:right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R$     1.595.804,00</w:t>
            </w:r>
          </w:p>
        </w:tc>
      </w:tr>
      <w:tr>
        <w:trPr>
          <w:trHeight w:val="268" w:hRule="atLeast"/>
        </w:trPr>
        <w:tc>
          <w:tcPr>
            <w:tcW w:w="2267"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Terceiro quartil</w:t>
            </w:r>
          </w:p>
        </w:tc>
        <w:tc>
          <w:tcPr>
            <w:tcW w:w="2268"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329,5</w:t>
            </w:r>
          </w:p>
        </w:tc>
        <w:tc>
          <w:tcPr>
            <w:tcW w:w="2267"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42,32</w:t>
            </w:r>
          </w:p>
        </w:tc>
        <w:tc>
          <w:tcPr>
            <w:tcW w:w="2269" w:type="dxa"/>
            <w:tcBorders>
              <w:left w:val="single" w:sz="4" w:space="0" w:color="000000"/>
              <w:bottom w:val="single" w:sz="4" w:space="0" w:color="000000"/>
              <w:right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R$        537.166,00</w:t>
            </w:r>
          </w:p>
        </w:tc>
      </w:tr>
      <w:tr>
        <w:trPr/>
        <w:tc>
          <w:tcPr>
            <w:tcW w:w="2267"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Máximo</w:t>
            </w:r>
          </w:p>
        </w:tc>
        <w:tc>
          <w:tcPr>
            <w:tcW w:w="2268"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91913</w:t>
            </w:r>
          </w:p>
        </w:tc>
        <w:tc>
          <w:tcPr>
            <w:tcW w:w="2267"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4515,65</w:t>
            </w:r>
          </w:p>
        </w:tc>
        <w:tc>
          <w:tcPr>
            <w:tcW w:w="2269" w:type="dxa"/>
            <w:tcBorders>
              <w:left w:val="single" w:sz="4" w:space="0" w:color="000000"/>
              <w:bottom w:val="single" w:sz="4" w:space="0" w:color="000000"/>
              <w:right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R$ 148.924.831,00</w:t>
            </w:r>
          </w:p>
        </w:tc>
      </w:tr>
      <w:tr>
        <w:trPr/>
        <w:tc>
          <w:tcPr>
            <w:tcW w:w="2267"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Desvio padrão</w:t>
            </w:r>
          </w:p>
        </w:tc>
        <w:tc>
          <w:tcPr>
            <w:tcW w:w="2268"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4417,616</w:t>
            </w:r>
          </w:p>
        </w:tc>
        <w:tc>
          <w:tcPr>
            <w:tcW w:w="2267"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269,7933</w:t>
            </w:r>
          </w:p>
        </w:tc>
        <w:tc>
          <w:tcPr>
            <w:tcW w:w="2269" w:type="dxa"/>
            <w:tcBorders>
              <w:left w:val="single" w:sz="4" w:space="0" w:color="000000"/>
              <w:bottom w:val="single" w:sz="4" w:space="0" w:color="000000"/>
              <w:right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R$     8.183.692,00</w:t>
            </w:r>
          </w:p>
        </w:tc>
      </w:tr>
    </w:tbl>
    <w:p>
      <w:pPr>
        <w:pStyle w:val="Ttulodafiguraetabela"/>
        <w:bidi w:val="0"/>
        <w:spacing w:before="57" w:after="57"/>
        <w:rPr>
          <w:color w:val="000000"/>
        </w:rPr>
      </w:pPr>
      <w:r>
        <w:rPr>
          <w:color w:val="000000"/>
        </w:rPr>
        <w:t>FONTE: O autor (2023).</w:t>
      </w:r>
    </w:p>
    <w:p>
      <w:pPr>
        <w:pStyle w:val="Texto"/>
        <w:bidi w:val="0"/>
        <w:rPr>
          <w:color w:val="000000"/>
        </w:rPr>
      </w:pPr>
      <w:r>
        <w:rPr>
          <w:color w:val="000000"/>
        </w:rPr>
        <w:t>Em todas as vari</w:t>
      </w:r>
      <w:r>
        <w:rPr>
          <w:color w:val="000000"/>
        </w:rPr>
        <w:t xml:space="preserve">áveis, existe uma forte presença de assimetria dos dados, e percebe-se isso ao verificar que a média excede o terceiro quartil em todos os casos. Esse comportamento é atribuído a presença da capital Curitiba e de outras grandes cidades do estado no conjunto de dados observados. </w:t>
      </w:r>
      <w:r>
        <w:rPr>
          <w:color w:val="000000"/>
        </w:rPr>
        <w:t xml:space="preserve">Além disso, foi verificado a presença de multicolinearidade moderada (VIF=2,096), porém prosseguimos com a análise haja vista que não houveram problemas de singularidade na </w:t>
      </w:r>
      <w:r>
        <w:rPr>
          <w:color w:val="000000"/>
        </w:rPr>
        <w:t>estimação da</w:t>
      </w:r>
      <w:r>
        <w:rPr>
          <w:color w:val="000000"/>
        </w:rPr>
        <w:t xml:space="preserve">s matrizes de covariância. </w:t>
      </w:r>
      <w:r>
        <w:rPr>
          <w:color w:val="000000"/>
        </w:rPr>
        <w:t>S</w:t>
      </w:r>
      <w:r>
        <w:rPr>
          <w:color w:val="000000"/>
        </w:rPr>
        <w:t xml:space="preserve">uperestimação dos erros </w:t>
      </w:r>
      <w:r>
        <w:rPr>
          <w:color w:val="000000"/>
        </w:rPr>
        <w:t xml:space="preserve">dos coeficientes </w:t>
      </w:r>
      <w:r>
        <w:rPr>
          <w:color w:val="000000"/>
        </w:rPr>
        <w:t>foi observado para o modelo FE Poisson</w:t>
      </w:r>
      <w:r>
        <w:rPr>
          <w:color w:val="000000"/>
        </w:rPr>
        <w:t xml:space="preserve">. Na sequência, o </w:t>
      </w:r>
      <w:r>
        <w:rPr>
          <w:color w:val="000000"/>
        </w:rPr>
        <w:t xml:space="preserve">QUADRO </w:t>
      </w:r>
      <w:r>
        <w:rPr>
          <w:color w:val="000000"/>
        </w:rPr>
        <w:t>2 apresenta os resultados dos modelos ajustados.</w:t>
      </w:r>
    </w:p>
    <w:p>
      <w:pPr>
        <w:pStyle w:val="Texto"/>
        <w:bidi w:val="0"/>
        <w:rPr>
          <w:rFonts w:ascii="Arial" w:hAnsi="Arial"/>
          <w:sz w:val="21"/>
        </w:rPr>
      </w:pPr>
      <w:r>
        <w:rPr>
          <w:color w:val="000000"/>
        </w:rPr>
      </w:r>
    </w:p>
    <w:p>
      <w:pPr>
        <w:pStyle w:val="Ttulodafiguraetabela"/>
        <w:bidi w:val="0"/>
        <w:rPr>
          <w:color w:val="000000"/>
        </w:rPr>
      </w:pPr>
      <w:r>
        <w:rPr>
          <w:color w:val="000000"/>
        </w:rPr>
        <w:t xml:space="preserve">QUADRO </w:t>
      </w:r>
      <w:r>
        <w:rPr>
          <w:color w:val="000000"/>
        </w:rPr>
        <w:fldChar w:fldCharType="begin"/>
      </w:r>
      <w:r>
        <w:rPr>
          <w:color w:val="000000"/>
        </w:rPr>
        <w:instrText xml:space="preserve"> SEQ QUADRO \* ARABIC </w:instrText>
      </w:r>
      <w:r>
        <w:rPr>
          <w:color w:val="000000"/>
        </w:rPr>
        <w:fldChar w:fldCharType="separate"/>
      </w:r>
      <w:r>
        <w:rPr>
          <w:color w:val="000000"/>
        </w:rPr>
        <w:t>2</w:t>
      </w:r>
      <w:r>
        <w:rPr>
          <w:color w:val="000000"/>
        </w:rPr>
        <w:fldChar w:fldCharType="end"/>
      </w:r>
      <w:r>
        <w:rPr>
          <w:color w:val="000000"/>
        </w:rPr>
        <w:t xml:space="preserve"> - </w:t>
      </w:r>
      <w:r>
        <w:rPr>
          <w:rFonts w:cs="Mangal"/>
          <w:b/>
          <w:bCs/>
          <w:i w:val="false"/>
          <w:iCs/>
          <w:color w:val="000000"/>
          <w:sz w:val="20"/>
          <w:szCs w:val="24"/>
        </w:rPr>
        <w:t>MODELOS AJUSTADOS</w:t>
      </w:r>
    </w:p>
    <w:tbl>
      <w:tblPr>
        <w:tblW w:w="9411" w:type="dxa"/>
        <w:jc w:val="left"/>
        <w:tblInd w:w="57" w:type="dxa"/>
        <w:tblLayout w:type="fixed"/>
        <w:tblCellMar>
          <w:top w:w="0" w:type="dxa"/>
          <w:left w:w="57" w:type="dxa"/>
          <w:bottom w:w="0" w:type="dxa"/>
          <w:right w:w="57" w:type="dxa"/>
        </w:tblCellMar>
      </w:tblPr>
      <w:tblGrid>
        <w:gridCol w:w="1642"/>
        <w:gridCol w:w="1532"/>
        <w:gridCol w:w="1531"/>
        <w:gridCol w:w="1342"/>
        <w:gridCol w:w="1511"/>
        <w:gridCol w:w="1853"/>
      </w:tblGrid>
      <w:tr>
        <w:trPr>
          <w:tblHeader w:val="true"/>
          <w:trHeight w:val="284" w:hRule="atLeast"/>
        </w:trPr>
        <w:tc>
          <w:tcPr>
            <w:tcW w:w="1642" w:type="dxa"/>
            <w:tcBorders>
              <w:top w:val="single" w:sz="4" w:space="0" w:color="000000"/>
              <w:left w:val="single" w:sz="4" w:space="0" w:color="000000"/>
              <w:bottom w:val="single" w:sz="4" w:space="0" w:color="000000"/>
            </w:tcBorders>
          </w:tcPr>
          <w:p>
            <w:pPr>
              <w:pStyle w:val="Contedodatabela"/>
              <w:widowControl/>
              <w:suppressLineNumbers/>
              <w:bidi w:val="0"/>
              <w:spacing w:lineRule="auto" w:line="240"/>
              <w:ind w:left="0" w:right="0" w:hanging="0"/>
              <w:jc w:val="center"/>
              <w:rPr>
                <w:rFonts w:ascii="Arial" w:hAnsi="Arial"/>
                <w:b/>
                <w:b/>
                <w:bCs/>
                <w:i w:val="false"/>
                <w:i w:val="false"/>
                <w:iCs w:val="false"/>
                <w:strike w:val="false"/>
                <w:dstrike w:val="false"/>
                <w:outline w:val="false"/>
                <w:shadow w:val="false"/>
                <w:color w:val="000000"/>
                <w:sz w:val="20"/>
                <w:szCs w:val="20"/>
                <w:u w:val="none"/>
              </w:rPr>
            </w:pPr>
            <w:r>
              <w:rPr>
                <w:rFonts w:ascii="Arial" w:hAnsi="Arial"/>
                <w:b/>
                <w:bCs/>
                <w:i w:val="false"/>
                <w:iCs w:val="false"/>
                <w:strike w:val="false"/>
                <w:dstrike w:val="false"/>
                <w:outline w:val="false"/>
                <w:shadow w:val="false"/>
                <w:color w:val="000000"/>
                <w:sz w:val="20"/>
                <w:szCs w:val="20"/>
                <w:u w:val="none"/>
              </w:rPr>
              <w:t>Ajustes</w:t>
            </w:r>
          </w:p>
        </w:tc>
        <w:tc>
          <w:tcPr>
            <w:tcW w:w="1532" w:type="dxa"/>
            <w:tcBorders>
              <w:top w:val="single" w:sz="4" w:space="0" w:color="000000"/>
              <w:left w:val="single" w:sz="4" w:space="0" w:color="000000"/>
              <w:bottom w:val="single" w:sz="4" w:space="0" w:color="000000"/>
            </w:tcBorders>
          </w:tcPr>
          <w:p>
            <w:pPr>
              <w:pStyle w:val="Contedodatabela"/>
              <w:widowControl/>
              <w:suppressLineNumbers/>
              <w:bidi w:val="0"/>
              <w:spacing w:lineRule="auto" w:line="240"/>
              <w:ind w:left="0" w:right="0" w:hanging="0"/>
              <w:jc w:val="center"/>
              <w:rPr>
                <w:rFonts w:ascii="Arial" w:hAnsi="Arial"/>
                <w:b/>
                <w:b/>
                <w:bCs/>
                <w:i w:val="false"/>
                <w:i w:val="false"/>
                <w:iCs w:val="false"/>
                <w:strike w:val="false"/>
                <w:dstrike w:val="false"/>
                <w:outline w:val="false"/>
                <w:shadow w:val="false"/>
                <w:color w:val="000000"/>
                <w:sz w:val="20"/>
                <w:szCs w:val="20"/>
                <w:u w:val="none"/>
              </w:rPr>
            </w:pPr>
            <w:r>
              <w:rPr>
                <w:rFonts w:ascii="Arial" w:hAnsi="Arial"/>
                <w:b/>
                <w:bCs/>
                <w:i w:val="false"/>
                <w:iCs w:val="false"/>
                <w:strike w:val="false"/>
                <w:dstrike w:val="false"/>
                <w:outline w:val="false"/>
                <w:shadow w:val="false"/>
                <w:color w:val="000000"/>
                <w:sz w:val="20"/>
                <w:szCs w:val="20"/>
                <w:u w:val="none"/>
              </w:rPr>
              <w:t>Pooled OLS</w:t>
            </w:r>
          </w:p>
        </w:tc>
        <w:tc>
          <w:tcPr>
            <w:tcW w:w="1531" w:type="dxa"/>
            <w:tcBorders>
              <w:top w:val="single" w:sz="4" w:space="0" w:color="000000"/>
              <w:left w:val="single" w:sz="4" w:space="0" w:color="000000"/>
              <w:bottom w:val="single" w:sz="4" w:space="0" w:color="000000"/>
            </w:tcBorders>
          </w:tcPr>
          <w:p>
            <w:pPr>
              <w:pStyle w:val="Contedodatabela"/>
              <w:widowControl/>
              <w:suppressLineNumbers/>
              <w:bidi w:val="0"/>
              <w:spacing w:lineRule="auto" w:line="240"/>
              <w:ind w:left="0" w:right="0" w:hanging="0"/>
              <w:jc w:val="center"/>
              <w:rPr>
                <w:rFonts w:ascii="Arial" w:hAnsi="Arial"/>
                <w:b/>
                <w:b/>
                <w:bCs/>
                <w:i w:val="false"/>
                <w:i w:val="false"/>
                <w:iCs w:val="false"/>
                <w:strike w:val="false"/>
                <w:dstrike w:val="false"/>
                <w:outline w:val="false"/>
                <w:shadow w:val="false"/>
                <w:color w:val="000000"/>
                <w:sz w:val="20"/>
                <w:szCs w:val="20"/>
                <w:u w:val="none"/>
              </w:rPr>
            </w:pPr>
            <w:r>
              <w:rPr>
                <w:rFonts w:ascii="Arial" w:hAnsi="Arial"/>
                <w:b/>
                <w:bCs/>
                <w:i w:val="false"/>
                <w:iCs w:val="false"/>
                <w:strike w:val="false"/>
                <w:dstrike w:val="false"/>
                <w:outline w:val="false"/>
                <w:shadow w:val="false"/>
                <w:color w:val="000000"/>
                <w:sz w:val="20"/>
                <w:szCs w:val="20"/>
                <w:u w:val="none"/>
              </w:rPr>
              <w:t>R</w:t>
            </w:r>
            <w:r>
              <w:rPr>
                <w:rFonts w:ascii="Arial" w:hAnsi="Arial"/>
                <w:b/>
                <w:bCs/>
                <w:i w:val="false"/>
                <w:iCs w:val="false"/>
                <w:strike w:val="false"/>
                <w:dstrike w:val="false"/>
                <w:outline w:val="false"/>
                <w:shadow w:val="false"/>
                <w:color w:val="000000"/>
                <w:sz w:val="20"/>
                <w:szCs w:val="20"/>
                <w:u w:val="none"/>
              </w:rPr>
              <w:t>E</w:t>
            </w:r>
          </w:p>
        </w:tc>
        <w:tc>
          <w:tcPr>
            <w:tcW w:w="1342" w:type="dxa"/>
            <w:tcBorders>
              <w:top w:val="single" w:sz="4" w:space="0" w:color="000000"/>
              <w:left w:val="single" w:sz="4" w:space="0" w:color="000000"/>
              <w:bottom w:val="single" w:sz="4" w:space="0" w:color="000000"/>
            </w:tcBorders>
          </w:tcPr>
          <w:p>
            <w:pPr>
              <w:pStyle w:val="Contedodatabela"/>
              <w:widowControl/>
              <w:suppressLineNumbers/>
              <w:bidi w:val="0"/>
              <w:spacing w:lineRule="auto" w:line="240"/>
              <w:ind w:left="0" w:right="0" w:hanging="0"/>
              <w:jc w:val="center"/>
              <w:rPr>
                <w:rFonts w:ascii="Arial" w:hAnsi="Arial"/>
                <w:b/>
                <w:b/>
                <w:bCs/>
                <w:i w:val="false"/>
                <w:i w:val="false"/>
                <w:iCs w:val="false"/>
                <w:strike w:val="false"/>
                <w:dstrike w:val="false"/>
                <w:outline w:val="false"/>
                <w:shadow w:val="false"/>
                <w:color w:val="000000"/>
                <w:sz w:val="20"/>
                <w:szCs w:val="20"/>
                <w:u w:val="none"/>
              </w:rPr>
            </w:pPr>
            <w:r>
              <w:rPr>
                <w:rFonts w:ascii="Arial" w:hAnsi="Arial"/>
                <w:b/>
                <w:bCs/>
                <w:i w:val="false"/>
                <w:iCs w:val="false"/>
                <w:strike w:val="false"/>
                <w:dstrike w:val="false"/>
                <w:outline w:val="false"/>
                <w:shadow w:val="false"/>
                <w:color w:val="000000"/>
                <w:sz w:val="20"/>
                <w:szCs w:val="20"/>
                <w:u w:val="none"/>
              </w:rPr>
              <w:t>F</w:t>
            </w:r>
            <w:r>
              <w:rPr>
                <w:rFonts w:ascii="Arial" w:hAnsi="Arial"/>
                <w:b/>
                <w:bCs/>
                <w:i w:val="false"/>
                <w:iCs w:val="false"/>
                <w:strike w:val="false"/>
                <w:dstrike w:val="false"/>
                <w:outline w:val="false"/>
                <w:shadow w:val="false"/>
                <w:color w:val="000000"/>
                <w:sz w:val="20"/>
                <w:szCs w:val="20"/>
                <w:u w:val="none"/>
              </w:rPr>
              <w:t>E</w:t>
            </w:r>
          </w:p>
        </w:tc>
        <w:tc>
          <w:tcPr>
            <w:tcW w:w="1511" w:type="dxa"/>
            <w:tcBorders>
              <w:top w:val="single" w:sz="4" w:space="0" w:color="000000"/>
              <w:left w:val="single" w:sz="4" w:space="0" w:color="000000"/>
              <w:bottom w:val="single" w:sz="4" w:space="0" w:color="000000"/>
            </w:tcBorders>
          </w:tcPr>
          <w:p>
            <w:pPr>
              <w:pStyle w:val="Contedodatabela"/>
              <w:widowControl/>
              <w:suppressLineNumbers/>
              <w:bidi w:val="0"/>
              <w:spacing w:lineRule="auto" w:line="240"/>
              <w:ind w:left="0" w:right="0" w:hanging="0"/>
              <w:jc w:val="center"/>
              <w:rPr>
                <w:rFonts w:ascii="Arial" w:hAnsi="Arial"/>
                <w:b/>
                <w:b/>
                <w:bCs/>
                <w:i w:val="false"/>
                <w:i w:val="false"/>
                <w:iCs w:val="false"/>
                <w:strike w:val="false"/>
                <w:dstrike w:val="false"/>
                <w:outline w:val="false"/>
                <w:shadow w:val="false"/>
                <w:color w:val="000000"/>
                <w:sz w:val="20"/>
                <w:szCs w:val="20"/>
                <w:u w:val="none"/>
              </w:rPr>
            </w:pPr>
            <w:r>
              <w:rPr>
                <w:rFonts w:ascii="Arial" w:hAnsi="Arial"/>
                <w:b/>
                <w:bCs/>
                <w:i w:val="false"/>
                <w:iCs w:val="false"/>
                <w:strike w:val="false"/>
                <w:dstrike w:val="false"/>
                <w:outline w:val="false"/>
                <w:shadow w:val="false"/>
                <w:color w:val="000000"/>
                <w:sz w:val="20"/>
                <w:szCs w:val="20"/>
                <w:u w:val="none"/>
              </w:rPr>
              <w:t>R</w:t>
            </w:r>
            <w:r>
              <w:rPr>
                <w:rFonts w:ascii="Arial" w:hAnsi="Arial"/>
                <w:b/>
                <w:bCs/>
                <w:i w:val="false"/>
                <w:iCs w:val="false"/>
                <w:strike w:val="false"/>
                <w:dstrike w:val="false"/>
                <w:outline w:val="false"/>
                <w:shadow w:val="false"/>
                <w:color w:val="000000"/>
                <w:sz w:val="20"/>
                <w:szCs w:val="20"/>
                <w:u w:val="none"/>
              </w:rPr>
              <w:t>E Poisson</w:t>
            </w:r>
          </w:p>
        </w:tc>
        <w:tc>
          <w:tcPr>
            <w:tcW w:w="1853" w:type="dxa"/>
            <w:tcBorders>
              <w:top w:val="single" w:sz="4" w:space="0" w:color="000000"/>
              <w:left w:val="single" w:sz="4" w:space="0" w:color="000000"/>
              <w:bottom w:val="single" w:sz="4" w:space="0" w:color="000000"/>
              <w:right w:val="single" w:sz="4" w:space="0" w:color="000000"/>
            </w:tcBorders>
          </w:tcPr>
          <w:p>
            <w:pPr>
              <w:pStyle w:val="Contedodatabela"/>
              <w:widowControl/>
              <w:suppressLineNumbers/>
              <w:bidi w:val="0"/>
              <w:spacing w:lineRule="auto" w:line="240"/>
              <w:ind w:left="0" w:right="0" w:hanging="0"/>
              <w:jc w:val="center"/>
              <w:rPr>
                <w:rFonts w:ascii="Arial" w:hAnsi="Arial"/>
                <w:b/>
                <w:b/>
                <w:bCs/>
                <w:i w:val="false"/>
                <w:i w:val="false"/>
                <w:iCs w:val="false"/>
                <w:strike w:val="false"/>
                <w:dstrike w:val="false"/>
                <w:outline w:val="false"/>
                <w:shadow w:val="false"/>
                <w:color w:val="000000"/>
                <w:sz w:val="20"/>
                <w:szCs w:val="20"/>
                <w:u w:val="none"/>
              </w:rPr>
            </w:pPr>
            <w:r>
              <w:rPr>
                <w:rFonts w:ascii="Arial" w:hAnsi="Arial"/>
                <w:b/>
                <w:bCs/>
                <w:i w:val="false"/>
                <w:iCs w:val="false"/>
                <w:strike w:val="false"/>
                <w:dstrike w:val="false"/>
                <w:outline w:val="false"/>
                <w:shadow w:val="false"/>
                <w:color w:val="000000"/>
                <w:sz w:val="20"/>
                <w:szCs w:val="20"/>
                <w:u w:val="none"/>
              </w:rPr>
              <w:t>F</w:t>
            </w:r>
            <w:r>
              <w:rPr>
                <w:rFonts w:ascii="Arial" w:hAnsi="Arial"/>
                <w:b/>
                <w:bCs/>
                <w:i w:val="false"/>
                <w:iCs w:val="false"/>
                <w:strike w:val="false"/>
                <w:dstrike w:val="false"/>
                <w:outline w:val="false"/>
                <w:shadow w:val="false"/>
                <w:color w:val="000000"/>
                <w:sz w:val="20"/>
                <w:szCs w:val="20"/>
                <w:u w:val="none"/>
              </w:rPr>
              <w:t>E Poisson</w:t>
            </w:r>
          </w:p>
        </w:tc>
      </w:tr>
      <w:tr>
        <w:trPr>
          <w:trHeight w:val="265" w:hRule="atLeast"/>
        </w:trPr>
        <w:tc>
          <w:tcPr>
            <w:tcW w:w="1642"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Intercepto</w:t>
            </w:r>
          </w:p>
        </w:tc>
        <w:tc>
          <w:tcPr>
            <w:tcW w:w="1532"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w:t>
            </w:r>
            <w:r>
              <w:rPr>
                <w:rFonts w:ascii="Arial" w:hAnsi="Arial"/>
                <w:b w:val="false"/>
                <w:bCs w:val="false"/>
                <w:i w:val="false"/>
                <w:iCs w:val="false"/>
                <w:strike w:val="false"/>
                <w:dstrike w:val="false"/>
                <w:outline w:val="false"/>
                <w:shadow w:val="false"/>
                <w:color w:val="000000"/>
                <w:sz w:val="20"/>
                <w:szCs w:val="20"/>
                <w:u w:val="none"/>
              </w:rPr>
              <w:t>257,7        (***)</w:t>
            </w:r>
          </w:p>
        </w:tc>
        <w:tc>
          <w:tcPr>
            <w:tcW w:w="1531"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w:t>
            </w:r>
            <w:r>
              <w:rPr>
                <w:rFonts w:ascii="Arial" w:hAnsi="Arial"/>
                <w:b w:val="false"/>
                <w:bCs w:val="false"/>
                <w:i w:val="false"/>
                <w:iCs w:val="false"/>
                <w:strike w:val="false"/>
                <w:dstrike w:val="false"/>
                <w:outline w:val="false"/>
                <w:shadow w:val="false"/>
                <w:color w:val="000000"/>
                <w:sz w:val="20"/>
                <w:szCs w:val="20"/>
                <w:u w:val="none"/>
              </w:rPr>
              <w:t>240,1        (***)</w:t>
            </w:r>
          </w:p>
        </w:tc>
        <w:tc>
          <w:tcPr>
            <w:tcW w:w="1342"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NA</w:t>
            </w:r>
          </w:p>
        </w:tc>
        <w:tc>
          <w:tcPr>
            <w:tcW w:w="1511"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5,7</w:t>
            </w:r>
          </w:p>
        </w:tc>
        <w:tc>
          <w:tcPr>
            <w:tcW w:w="1853" w:type="dxa"/>
            <w:tcBorders>
              <w:left w:val="single" w:sz="4" w:space="0" w:color="000000"/>
              <w:bottom w:val="single" w:sz="4" w:space="0" w:color="000000"/>
              <w:right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NA</w:t>
            </w:r>
          </w:p>
        </w:tc>
      </w:tr>
      <w:tr>
        <w:trPr>
          <w:trHeight w:val="150" w:hRule="atLeast"/>
        </w:trPr>
        <w:tc>
          <w:tcPr>
            <w:tcW w:w="1642"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DMSP</w:t>
            </w:r>
          </w:p>
        </w:tc>
        <w:tc>
          <w:tcPr>
            <w:tcW w:w="1532"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0,00024(***)</w:t>
            </w:r>
          </w:p>
        </w:tc>
        <w:tc>
          <w:tcPr>
            <w:tcW w:w="1531"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0,00002(***)</w:t>
            </w:r>
          </w:p>
        </w:tc>
        <w:tc>
          <w:tcPr>
            <w:tcW w:w="1342"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-0000001 </w:t>
            </w:r>
          </w:p>
        </w:tc>
        <w:tc>
          <w:tcPr>
            <w:tcW w:w="1511"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w:t>
            </w:r>
            <w:r>
              <w:rPr>
                <w:rFonts w:ascii="Arial" w:hAnsi="Arial"/>
                <w:b w:val="false"/>
                <w:bCs w:val="false"/>
                <w:i w:val="false"/>
                <w:iCs w:val="false"/>
                <w:strike w:val="false"/>
                <w:dstrike w:val="false"/>
                <w:outline w:val="false"/>
                <w:shadow w:val="false"/>
                <w:color w:val="000000"/>
                <w:sz w:val="20"/>
                <w:szCs w:val="20"/>
                <w:u w:val="none"/>
              </w:rPr>
              <w:t>0,000000008</w:t>
            </w:r>
          </w:p>
        </w:tc>
        <w:tc>
          <w:tcPr>
            <w:tcW w:w="1853" w:type="dxa"/>
            <w:tcBorders>
              <w:left w:val="single" w:sz="4" w:space="0" w:color="000000"/>
              <w:bottom w:val="single" w:sz="4" w:space="0" w:color="000000"/>
              <w:right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w:t>
            </w:r>
            <w:r>
              <w:rPr>
                <w:rFonts w:ascii="Arial" w:hAnsi="Arial"/>
                <w:b w:val="false"/>
                <w:bCs w:val="false"/>
                <w:i w:val="false"/>
                <w:iCs w:val="false"/>
                <w:strike w:val="false"/>
                <w:dstrike w:val="false"/>
                <w:outline w:val="false"/>
                <w:shadow w:val="false"/>
                <w:color w:val="000000"/>
                <w:sz w:val="20"/>
                <w:szCs w:val="20"/>
                <w:u w:val="none"/>
              </w:rPr>
              <w:t xml:space="preserve">0,000000008 </w:t>
            </w:r>
            <w:r>
              <w:rPr>
                <w:rFonts w:ascii="Arial" w:hAnsi="Arial"/>
                <w:b w:val="false"/>
                <w:bCs w:val="false"/>
                <w:i w:val="false"/>
                <w:iCs w:val="false"/>
                <w:strike w:val="false"/>
                <w:dstrike w:val="false"/>
                <w:outline w:val="false"/>
                <w:shadow w:val="false"/>
                <w:color w:val="000000"/>
                <w:sz w:val="20"/>
                <w:szCs w:val="20"/>
                <w:u w:val="none"/>
              </w:rPr>
              <w:t>(***)</w:t>
            </w:r>
          </w:p>
        </w:tc>
      </w:tr>
      <w:tr>
        <w:trPr>
          <w:trHeight w:val="150" w:hRule="atLeast"/>
        </w:trPr>
        <w:tc>
          <w:tcPr>
            <w:tcW w:w="1642"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DD</w:t>
            </w:r>
          </w:p>
        </w:tc>
        <w:tc>
          <w:tcPr>
            <w:tcW w:w="1532"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9,0        (***)</w:t>
            </w:r>
          </w:p>
        </w:tc>
        <w:tc>
          <w:tcPr>
            <w:tcW w:w="1531"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1,4        (***)</w:t>
            </w:r>
          </w:p>
        </w:tc>
        <w:tc>
          <w:tcPr>
            <w:tcW w:w="1342"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 xml:space="preserve">3,1         (***)  </w:t>
            </w:r>
          </w:p>
        </w:tc>
        <w:tc>
          <w:tcPr>
            <w:tcW w:w="1511"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0,003</w:t>
            </w:r>
          </w:p>
        </w:tc>
        <w:tc>
          <w:tcPr>
            <w:tcW w:w="1853" w:type="dxa"/>
            <w:tcBorders>
              <w:left w:val="single" w:sz="4" w:space="0" w:color="000000"/>
              <w:bottom w:val="single" w:sz="4" w:space="0" w:color="000000"/>
              <w:right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0,003             (***)</w:t>
            </w:r>
          </w:p>
        </w:tc>
      </w:tr>
      <w:tr>
        <w:trPr>
          <w:trHeight w:val="150" w:hRule="atLeast"/>
        </w:trPr>
        <w:tc>
          <w:tcPr>
            <w:tcW w:w="1642"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Erro Pad. Intercepto</w:t>
            </w:r>
          </w:p>
        </w:tc>
        <w:tc>
          <w:tcPr>
            <w:tcW w:w="1532"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4,451</w:t>
            </w:r>
          </w:p>
        </w:tc>
        <w:tc>
          <w:tcPr>
            <w:tcW w:w="1531"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7,999</w:t>
            </w:r>
          </w:p>
        </w:tc>
        <w:tc>
          <w:tcPr>
            <w:tcW w:w="1342"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NA</w:t>
            </w:r>
          </w:p>
        </w:tc>
        <w:tc>
          <w:tcPr>
            <w:tcW w:w="1511"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NA</w:t>
            </w:r>
          </w:p>
        </w:tc>
        <w:tc>
          <w:tcPr>
            <w:tcW w:w="1853" w:type="dxa"/>
            <w:tcBorders>
              <w:left w:val="single" w:sz="4" w:space="0" w:color="000000"/>
              <w:bottom w:val="single" w:sz="4" w:space="0" w:color="000000"/>
              <w:right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NA</w:t>
            </w:r>
          </w:p>
        </w:tc>
      </w:tr>
      <w:tr>
        <w:trPr>
          <w:trHeight w:val="150" w:hRule="atLeast"/>
        </w:trPr>
        <w:tc>
          <w:tcPr>
            <w:tcW w:w="1642"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Erro Pad. DMSP</w:t>
            </w:r>
          </w:p>
        </w:tc>
        <w:tc>
          <w:tcPr>
            <w:tcW w:w="1532"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0,000008</w:t>
            </w:r>
          </w:p>
        </w:tc>
        <w:tc>
          <w:tcPr>
            <w:tcW w:w="1531"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0,000004</w:t>
            </w:r>
          </w:p>
        </w:tc>
        <w:tc>
          <w:tcPr>
            <w:tcW w:w="1342"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0,000003</w:t>
            </w:r>
          </w:p>
        </w:tc>
        <w:tc>
          <w:tcPr>
            <w:tcW w:w="1511"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NA</w:t>
            </w:r>
          </w:p>
        </w:tc>
        <w:tc>
          <w:tcPr>
            <w:tcW w:w="1853" w:type="dxa"/>
            <w:tcBorders>
              <w:left w:val="single" w:sz="4" w:space="0" w:color="000000"/>
              <w:bottom w:val="single" w:sz="4" w:space="0" w:color="000000"/>
              <w:right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0,0000000003</w:t>
            </w:r>
          </w:p>
        </w:tc>
      </w:tr>
      <w:tr>
        <w:trPr>
          <w:trHeight w:val="150" w:hRule="atLeast"/>
        </w:trPr>
        <w:tc>
          <w:tcPr>
            <w:tcW w:w="1642"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Erro Pad. DD</w:t>
            </w:r>
          </w:p>
        </w:tc>
        <w:tc>
          <w:tcPr>
            <w:tcW w:w="1532"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2,316</w:t>
            </w:r>
          </w:p>
        </w:tc>
        <w:tc>
          <w:tcPr>
            <w:tcW w:w="1531"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0,3</w:t>
            </w:r>
          </w:p>
        </w:tc>
        <w:tc>
          <w:tcPr>
            <w:tcW w:w="1342"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3,68</w:t>
            </w:r>
          </w:p>
        </w:tc>
        <w:tc>
          <w:tcPr>
            <w:tcW w:w="1511"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NA</w:t>
            </w:r>
          </w:p>
        </w:tc>
        <w:tc>
          <w:tcPr>
            <w:tcW w:w="1853" w:type="dxa"/>
            <w:tcBorders>
              <w:left w:val="single" w:sz="4" w:space="0" w:color="000000"/>
              <w:bottom w:val="single" w:sz="4" w:space="0" w:color="000000"/>
              <w:right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0,0001</w:t>
            </w:r>
          </w:p>
        </w:tc>
      </w:tr>
      <w:tr>
        <w:trPr>
          <w:trHeight w:val="150" w:hRule="atLeast"/>
        </w:trPr>
        <w:tc>
          <w:tcPr>
            <w:tcW w:w="1642"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R</w:t>
            </w:r>
            <w:r>
              <w:rPr>
                <w:rFonts w:ascii="Arial" w:hAnsi="Arial"/>
                <w:b w:val="false"/>
                <w:bCs w:val="false"/>
                <w:i w:val="false"/>
                <w:iCs w:val="false"/>
                <w:strike w:val="false"/>
                <w:dstrike w:val="false"/>
                <w:outline w:val="false"/>
                <w:shadow w:val="false"/>
                <w:color w:val="000000"/>
                <w:sz w:val="20"/>
                <w:szCs w:val="20"/>
                <w:u w:val="none"/>
                <w:vertAlign w:val="superscript"/>
              </w:rPr>
              <w:t xml:space="preserve">2 </w:t>
            </w:r>
            <w:r>
              <w:rPr>
                <w:rFonts w:ascii="Arial" w:hAnsi="Arial"/>
                <w:b w:val="false"/>
                <w:bCs w:val="false"/>
                <w:i w:val="false"/>
                <w:iCs w:val="false"/>
                <w:strike w:val="false"/>
                <w:dstrike w:val="false"/>
                <w:outline w:val="false"/>
                <w:shadow w:val="false"/>
                <w:color w:val="000000"/>
                <w:position w:val="0"/>
                <w:sz w:val="20"/>
                <w:sz w:val="20"/>
                <w:szCs w:val="20"/>
                <w:u w:val="none"/>
                <w:vertAlign w:val="baseline"/>
              </w:rPr>
              <w:t>ou pseudo-R</w:t>
            </w:r>
            <w:r>
              <w:rPr>
                <w:rFonts w:ascii="Arial" w:hAnsi="Arial"/>
                <w:b w:val="false"/>
                <w:bCs w:val="false"/>
                <w:i w:val="false"/>
                <w:iCs w:val="false"/>
                <w:strike w:val="false"/>
                <w:dstrike w:val="false"/>
                <w:outline w:val="false"/>
                <w:shadow w:val="false"/>
                <w:color w:val="000000"/>
                <w:sz w:val="20"/>
                <w:szCs w:val="20"/>
                <w:u w:val="none"/>
                <w:vertAlign w:val="superscript"/>
              </w:rPr>
              <w:t xml:space="preserve">2 </w:t>
            </w:r>
            <w:r>
              <w:rPr>
                <w:rFonts w:ascii="Arial" w:hAnsi="Arial"/>
                <w:b w:val="false"/>
                <w:bCs w:val="false"/>
                <w:i w:val="false"/>
                <w:iCs w:val="false"/>
                <w:strike w:val="false"/>
                <w:dstrike w:val="false"/>
                <w:outline w:val="false"/>
                <w:shadow w:val="false"/>
                <w:color w:val="000000"/>
                <w:position w:val="0"/>
                <w:sz w:val="20"/>
                <w:sz w:val="20"/>
                <w:szCs w:val="20"/>
                <w:u w:val="none"/>
                <w:vertAlign w:val="baseline"/>
              </w:rPr>
              <w:t>(%)*</w:t>
            </w:r>
          </w:p>
        </w:tc>
        <w:tc>
          <w:tcPr>
            <w:tcW w:w="1532"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84,8</w:t>
            </w:r>
            <w:r>
              <w:rPr>
                <w:rFonts w:ascii="Arial" w:hAnsi="Arial"/>
                <w:b w:val="false"/>
                <w:bCs w:val="false"/>
                <w:i w:val="false"/>
                <w:iCs w:val="false"/>
                <w:strike w:val="false"/>
                <w:dstrike w:val="false"/>
                <w:outline w:val="false"/>
                <w:shadow w:val="false"/>
                <w:color w:val="000000"/>
                <w:sz w:val="20"/>
                <w:szCs w:val="20"/>
                <w:u w:val="none"/>
              </w:rPr>
              <w:t xml:space="preserve"> </w:t>
            </w:r>
          </w:p>
        </w:tc>
        <w:tc>
          <w:tcPr>
            <w:tcW w:w="1531"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61,1</w:t>
            </w:r>
          </w:p>
        </w:tc>
        <w:tc>
          <w:tcPr>
            <w:tcW w:w="1342"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5,4</w:t>
            </w:r>
          </w:p>
        </w:tc>
        <w:tc>
          <w:tcPr>
            <w:tcW w:w="1511" w:type="dxa"/>
            <w:tcBorders>
              <w:left w:val="single" w:sz="4" w:space="0" w:color="000000"/>
              <w:bottom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4,4</w:t>
            </w:r>
          </w:p>
        </w:tc>
        <w:tc>
          <w:tcPr>
            <w:tcW w:w="1853" w:type="dxa"/>
            <w:tcBorders>
              <w:left w:val="single" w:sz="4" w:space="0" w:color="000000"/>
              <w:bottom w:val="single" w:sz="4" w:space="0" w:color="000000"/>
              <w:right w:val="single" w:sz="4" w:space="0" w:color="000000"/>
            </w:tcBorders>
          </w:tcPr>
          <w:p>
            <w:pPr>
              <w:pStyle w:val="Contedodatabela"/>
              <w:widowControl/>
              <w:suppressLineNumbers/>
              <w:bidi w:val="0"/>
              <w:spacing w:lineRule="auto" w:line="240"/>
              <w:ind w:left="0" w:right="0" w:hanging="0"/>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4,4</w:t>
            </w:r>
          </w:p>
        </w:tc>
      </w:tr>
    </w:tbl>
    <w:p>
      <w:pPr>
        <w:pStyle w:val="Ttulodafiguraetabela"/>
        <w:bidi w:val="0"/>
        <w:spacing w:before="57" w:after="57"/>
        <w:rPr>
          <w:color w:val="000000"/>
        </w:rPr>
      </w:pPr>
      <w:r>
        <w:rPr>
          <w:color w:val="000000"/>
        </w:rPr>
        <w:t>FONTE: O autor (2023)</w:t>
      </w:r>
    </w:p>
    <w:p>
      <w:pPr>
        <w:pStyle w:val="Ttulodafiguraetabela"/>
        <w:bidi w:val="0"/>
        <w:spacing w:before="57" w:after="57"/>
        <w:jc w:val="both"/>
        <w:rPr>
          <w:color w:val="000000"/>
        </w:rPr>
      </w:pPr>
      <w:r>
        <w:rPr>
          <w:color w:val="000000"/>
        </w:rPr>
        <w:t xml:space="preserve">(*) </w:t>
      </w:r>
      <w:r>
        <w:rPr>
          <w:rFonts w:ascii="Arial" w:hAnsi="Arial"/>
          <w:b w:val="false"/>
          <w:bCs w:val="false"/>
          <w:i w:val="false"/>
          <w:iCs w:val="false"/>
          <w:strike w:val="false"/>
          <w:dstrike w:val="false"/>
          <w:outline w:val="false"/>
          <w:shadow w:val="false"/>
          <w:color w:val="000000"/>
          <w:position w:val="0"/>
          <w:sz w:val="20"/>
          <w:sz w:val="20"/>
          <w:szCs w:val="20"/>
          <w:u w:val="none"/>
          <w:vertAlign w:val="baseline"/>
        </w:rPr>
        <w:t>pseudo-R</w:t>
      </w:r>
      <w:r>
        <w:rPr>
          <w:rFonts w:ascii="Arial" w:hAnsi="Arial"/>
          <w:b w:val="false"/>
          <w:bCs w:val="false"/>
          <w:i w:val="false"/>
          <w:iCs w:val="false"/>
          <w:strike w:val="false"/>
          <w:dstrike w:val="false"/>
          <w:outline w:val="false"/>
          <w:shadow w:val="false"/>
          <w:color w:val="000000"/>
          <w:sz w:val="20"/>
          <w:szCs w:val="20"/>
          <w:u w:val="none"/>
          <w:vertAlign w:val="superscript"/>
        </w:rPr>
        <w:t xml:space="preserve">2 </w:t>
      </w:r>
      <w:r>
        <w:rPr>
          <w:rFonts w:cs="Mangal" w:ascii="Arial" w:hAnsi="Arial"/>
          <w:b w:val="false"/>
          <w:bCs w:val="false"/>
          <w:i w:val="false"/>
          <w:iCs w:val="false"/>
          <w:strike w:val="false"/>
          <w:dstrike w:val="false"/>
          <w:outline w:val="false"/>
          <w:shadow w:val="false"/>
          <w:color w:val="000000"/>
          <w:position w:val="0"/>
          <w:sz w:val="20"/>
          <w:sz w:val="20"/>
          <w:szCs w:val="20"/>
          <w:u w:val="none"/>
          <w:vertAlign w:val="baseline"/>
        </w:rPr>
        <w:t xml:space="preserve">é </w:t>
      </w:r>
      <w:r>
        <w:rPr>
          <w:rFonts w:cs="Mangal" w:ascii="Arial" w:hAnsi="Arial"/>
          <w:b w:val="false"/>
          <w:bCs w:val="false"/>
          <w:i w:val="false"/>
          <w:iCs w:val="false"/>
          <w:strike w:val="false"/>
          <w:dstrike w:val="false"/>
          <w:outline w:val="false"/>
          <w:shadow w:val="false"/>
          <w:color w:val="000000"/>
          <w:position w:val="0"/>
          <w:sz w:val="20"/>
          <w:sz w:val="20"/>
          <w:szCs w:val="20"/>
          <w:u w:val="none"/>
          <w:vertAlign w:val="baseline"/>
        </w:rPr>
        <w:t>igual a um menos a razão da deviance do modelo ajustado pela deviance do modelo nulo. Esse cálculo foi utilizado para RE Poisson e FE Poisson</w:t>
      </w:r>
      <w:r>
        <w:rPr>
          <w:color w:val="000000"/>
        </w:rPr>
        <w:t>.</w:t>
      </w:r>
    </w:p>
    <w:p>
      <w:pPr>
        <w:pStyle w:val="Texto"/>
        <w:bidi w:val="0"/>
        <w:spacing w:before="57" w:after="57"/>
        <w:rPr>
          <w:rFonts w:ascii="Arial" w:hAnsi="Arial"/>
          <w:sz w:val="21"/>
        </w:rPr>
      </w:pPr>
      <w:r>
        <w:rPr>
          <w:color w:val="000000"/>
        </w:rPr>
      </w:r>
    </w:p>
    <w:p>
      <w:pPr>
        <w:pStyle w:val="Texto"/>
        <w:bidi w:val="0"/>
        <w:spacing w:before="57" w:after="57"/>
        <w:rPr>
          <w:color w:val="000000"/>
        </w:rPr>
      </w:pPr>
      <w:r>
        <w:rPr>
          <w:color w:val="000000"/>
        </w:rPr>
        <w:t>P</w:t>
      </w:r>
      <w:r>
        <w:rPr>
          <w:color w:val="000000"/>
        </w:rPr>
        <w:t>or mais que o R</w:t>
      </w:r>
      <w:r>
        <w:rPr>
          <w:color w:val="000000"/>
          <w:vertAlign w:val="superscript"/>
        </w:rPr>
        <w:t>2</w:t>
      </w:r>
      <w:r>
        <w:rPr>
          <w:color w:val="000000"/>
        </w:rPr>
        <w:t xml:space="preserve"> do modelo </w:t>
      </w:r>
      <w:r>
        <w:rPr>
          <w:i/>
          <w:iCs/>
          <w:color w:val="000000"/>
        </w:rPr>
        <w:t xml:space="preserve">Pooled OLS </w:t>
      </w:r>
      <w:r>
        <w:rPr>
          <w:i w:val="false"/>
          <w:iCs w:val="false"/>
          <w:color w:val="000000"/>
        </w:rPr>
        <w:t>seja maior do que o R</w:t>
      </w:r>
      <w:r>
        <w:rPr>
          <w:i w:val="false"/>
          <w:iCs w:val="false"/>
          <w:color w:val="000000"/>
          <w:vertAlign w:val="superscript"/>
        </w:rPr>
        <w:t xml:space="preserve">2 </w:t>
      </w:r>
      <w:r>
        <w:rPr>
          <w:i w:val="false"/>
          <w:iCs w:val="false"/>
          <w:color w:val="000000"/>
          <w:position w:val="0"/>
          <w:sz w:val="24"/>
          <w:vertAlign w:val="baseline"/>
        </w:rPr>
        <w:t xml:space="preserve">do modelo RE, </w:t>
      </w:r>
      <w:r>
        <w:rPr>
          <w:i w:val="false"/>
          <w:iCs w:val="false"/>
          <w:color w:val="000000"/>
          <w:position w:val="0"/>
          <w:sz w:val="24"/>
          <w:vertAlign w:val="baseline"/>
        </w:rPr>
        <w:t xml:space="preserve">e além do fato de que </w:t>
      </w:r>
      <w:r>
        <w:rPr>
          <w:i w:val="false"/>
          <w:iCs w:val="false"/>
          <w:color w:val="000000"/>
          <w:position w:val="0"/>
          <w:sz w:val="24"/>
          <w:vertAlign w:val="baseline"/>
        </w:rPr>
        <w:t xml:space="preserve">o conjunto de dados possui poucas observações para cada município, </w:t>
      </w:r>
      <w:r>
        <w:rPr>
          <w:i w:val="false"/>
          <w:iCs w:val="false"/>
          <w:color w:val="000000"/>
          <w:position w:val="0"/>
          <w:sz w:val="24"/>
          <w:vertAlign w:val="baseline"/>
        </w:rPr>
        <w:t>existe a hipótese de que o município esteja sim correlacionado com a densidade demográfica e as despesas municipais com segurança pública. Por isso, a análise será feita com o modelo de efeitos aleatórios. Ademais, o teste de Hausman confirma que há evidências de que os efeitos aleatórios estimados são independentes das variáveis explicativas.</w:t>
      </w:r>
    </w:p>
    <w:p>
      <w:pPr>
        <w:pStyle w:val="Texto"/>
        <w:bidi w:val="0"/>
        <w:spacing w:before="57" w:after="57"/>
        <w:rPr>
          <w:rFonts w:ascii="Arial" w:hAnsi="Arial"/>
          <w:i w:val="false"/>
          <w:i w:val="false"/>
          <w:iCs w:val="false"/>
          <w:position w:val="0"/>
          <w:sz w:val="24"/>
          <w:sz w:val="21"/>
          <w:vertAlign w:val="baseline"/>
        </w:rPr>
      </w:pPr>
      <w:r>
        <w:rPr>
          <w:color w:val="000000"/>
        </w:rPr>
      </w:r>
    </w:p>
    <w:p>
      <w:pPr>
        <w:pStyle w:val="Ttulo1"/>
        <w:bidi w:val="0"/>
        <w:jc w:val="left"/>
        <w:rPr>
          <w:color w:val="000000"/>
        </w:rPr>
      </w:pPr>
      <w:bookmarkStart w:id="1" w:name="__RefHeading___Toc2460_3934745904"/>
      <w:bookmarkEnd w:id="1"/>
      <w:r>
        <w:rPr>
          <w:color w:val="000000"/>
        </w:rPr>
        <w:t>CONSIDERAÇÕES FINAIS</w:t>
      </w:r>
    </w:p>
    <w:p>
      <w:pPr>
        <w:pStyle w:val="Texto"/>
        <w:bidi w:val="0"/>
        <w:rPr>
          <w:color w:val="000000"/>
        </w:rPr>
      </w:pPr>
      <w:r>
        <w:rPr>
          <w:color w:val="000000"/>
        </w:rPr>
      </w:r>
    </w:p>
    <w:p>
      <w:pPr>
        <w:pStyle w:val="Texto"/>
        <w:bidi w:val="0"/>
        <w:rPr>
          <w:color w:val="000000"/>
        </w:rPr>
      </w:pPr>
      <w:r>
        <w:rPr>
          <w:color w:val="000000"/>
        </w:rPr>
        <w:t>Numa interpretaç</w:t>
      </w:r>
      <w:r>
        <w:rPr>
          <w:color w:val="000000"/>
        </w:rPr>
        <w:t>ão direta do modelo, para cada 5 hab/km</w:t>
      </w:r>
      <w:r>
        <w:rPr>
          <w:color w:val="000000"/>
          <w:vertAlign w:val="superscript"/>
        </w:rPr>
        <w:t xml:space="preserve">2 </w:t>
      </w:r>
      <w:r>
        <w:rPr>
          <w:color w:val="000000"/>
          <w:position w:val="0"/>
          <w:sz w:val="24"/>
          <w:vertAlign w:val="baseline"/>
        </w:rPr>
        <w:t xml:space="preserve">a mais na densidade demográfica de um município, espera-se que a quantidade de crimes econômicos aumente em 7 unidades. </w:t>
      </w:r>
      <w:r>
        <w:rPr>
          <w:color w:val="000000"/>
          <w:position w:val="0"/>
          <w:sz w:val="24"/>
          <w:vertAlign w:val="baseline"/>
        </w:rPr>
        <w:t>Isso corrobora com a tese do criminoso racional pois uma maior densidade habitacional reduz o custo do crime econômico e aumenta o benefício do crime dado que o número de possíveis vítimas também é maior.</w:t>
      </w:r>
    </w:p>
    <w:p>
      <w:pPr>
        <w:pStyle w:val="Texto"/>
        <w:bidi w:val="0"/>
        <w:ind w:left="0" w:right="0" w:hanging="0"/>
        <w:rPr>
          <w:color w:val="000000"/>
        </w:rPr>
      </w:pPr>
      <w:r>
        <w:rPr>
          <w:color w:val="000000"/>
          <w:position w:val="0"/>
          <w:sz w:val="24"/>
          <w:vertAlign w:val="baseline"/>
        </w:rPr>
        <w:tab/>
      </w:r>
      <w:r>
        <w:rPr>
          <w:color w:val="000000"/>
          <w:position w:val="0"/>
          <w:sz w:val="24"/>
          <w:vertAlign w:val="baseline"/>
        </w:rPr>
        <w:t xml:space="preserve">E de forma contraintuitiva, para cada </w:t>
      </w:r>
      <w:r>
        <w:rPr>
          <w:color w:val="000000"/>
          <w:position w:val="0"/>
          <w:sz w:val="24"/>
          <w:vertAlign w:val="baseline"/>
        </w:rPr>
        <w:t xml:space="preserve">R$ 10.000,00 que o município gasta com segurança pública, espera-se que ocorra 2 crimes a mais no município, e no mesmo ano. Por isso, vale ressaltar que, embora a análise de regressão alvitre, de certa forma, descrever a relação de causalidade entre variáveis explicativas e variáveis explicas, a mesma não pode gerar tal conclusão, limitando-se apenas a descrever a relação entre tais variáveis. </w:t>
      </w:r>
      <w:r>
        <w:rPr>
          <w:color w:val="000000"/>
          <w:position w:val="0"/>
          <w:sz w:val="24"/>
          <w:vertAlign w:val="baseline"/>
        </w:rPr>
        <w:t>Logo, o modelo pode sinalizar que, o município responde ao aumento da criminalidade com o aumento no dispêndio em segurança pública.</w:t>
      </w:r>
    </w:p>
    <w:p>
      <w:pPr>
        <w:pStyle w:val="Texto"/>
        <w:bidi w:val="0"/>
        <w:rPr>
          <w:color w:val="000000"/>
        </w:rPr>
      </w:pPr>
      <w:r>
        <w:rPr>
          <w:color w:val="000000"/>
          <w:position w:val="0"/>
          <w:sz w:val="24"/>
          <w:vertAlign w:val="baseline"/>
        </w:rPr>
        <w:t xml:space="preserve">Possivelmente, o mais adequado seria utilizar a defasagem de um ou quatro anos para as despesas municipais com segurança pública, haja visto que os municípios criam o seu orçamento com base nos Planos Plurianuais (PPA), com vigência de quatro anos. </w:t>
      </w:r>
      <w:r>
        <w:rPr>
          <w:color w:val="000000"/>
          <w:position w:val="0"/>
          <w:sz w:val="24"/>
          <w:vertAlign w:val="baseline"/>
        </w:rPr>
        <w:t>Dada a assimetria observada nos dados, também pode-se considerar rever a especificação do próprio modelo e abranger distribuições que acomodem dados assimétricos tais como a distribuição gama, weibull e log-normal.</w:t>
      </w:r>
    </w:p>
    <w:p>
      <w:pPr>
        <w:pStyle w:val="Texto"/>
        <w:bidi w:val="0"/>
        <w:rPr>
          <w:color w:val="000000"/>
        </w:rPr>
      </w:pPr>
      <w:r>
        <w:rPr>
          <w:color w:val="000000"/>
          <w:position w:val="0"/>
          <w:sz w:val="24"/>
          <w:vertAlign w:val="baseline"/>
        </w:rPr>
        <w:t>A dificuldade para a obtenção dos dados, ainda que incompletos, representou um desafio para a conclusão do trabalho e precisa ser levada em consideração para a continuidade do mesmo. Por fim, uma outra consideração é utilizar outros tipos de crimes para compor a variável CE utilizada no estudo. Pois para este, foram utilizadas aquelas disponíveis no site do IPARDES, que são: crimes de estelionato, crimes de furto, crimes de roubo, furtos de veículos, ocorrências envolvendo tráfico de drogas e roubos de veículos.</w:t>
      </w:r>
    </w:p>
    <w:p>
      <w:pPr>
        <w:pStyle w:val="Texto"/>
        <w:bidi w:val="0"/>
        <w:rPr>
          <w:rFonts w:ascii="Arial" w:hAnsi="Arial"/>
          <w:position w:val="0"/>
          <w:sz w:val="24"/>
          <w:sz w:val="21"/>
          <w:vertAlign w:val="baseline"/>
        </w:rPr>
      </w:pPr>
      <w:r>
        <w:rPr>
          <w:color w:val="000000"/>
        </w:rPr>
      </w:r>
    </w:p>
    <w:p>
      <w:pPr>
        <w:pStyle w:val="Texto"/>
        <w:bidi w:val="0"/>
        <w:ind w:left="0" w:right="0" w:hanging="0"/>
        <w:rPr>
          <w:color w:val="000000"/>
        </w:rPr>
      </w:pPr>
      <w:r>
        <w:rPr>
          <w:color w:val="000000"/>
        </w:rPr>
      </w:r>
    </w:p>
    <w:p>
      <w:pPr>
        <w:pStyle w:val="Texto"/>
        <w:bidi w:val="0"/>
        <w:ind w:left="0" w:right="0" w:hanging="0"/>
        <w:rPr>
          <w:color w:val="000000"/>
        </w:rPr>
      </w:pPr>
      <w:r>
        <w:rPr>
          <w:color w:val="000000"/>
        </w:rPr>
      </w:r>
    </w:p>
    <w:p>
      <w:pPr>
        <w:pStyle w:val="Texto"/>
        <w:bidi w:val="0"/>
        <w:ind w:left="0" w:right="0" w:hanging="0"/>
        <w:rPr>
          <w:color w:val="000000"/>
        </w:rPr>
      </w:pPr>
      <w:r>
        <w:rPr>
          <w:color w:val="000000"/>
        </w:rPr>
      </w:r>
    </w:p>
    <w:p>
      <w:pPr>
        <w:pStyle w:val="Texto"/>
        <w:bidi w:val="0"/>
        <w:ind w:left="0" w:right="0" w:hanging="0"/>
        <w:rPr>
          <w:color w:val="000000"/>
        </w:rPr>
      </w:pPr>
      <w:r>
        <w:rPr>
          <w:color w:val="000000"/>
        </w:rPr>
      </w:r>
    </w:p>
    <w:p>
      <w:pPr>
        <w:pStyle w:val="Texto"/>
        <w:bidi w:val="0"/>
        <w:ind w:left="0" w:right="0" w:hanging="0"/>
        <w:rPr>
          <w:color w:val="000000"/>
        </w:rPr>
      </w:pPr>
      <w:r>
        <w:rPr>
          <w:color w:val="000000"/>
        </w:rPr>
      </w:r>
    </w:p>
    <w:p>
      <w:pPr>
        <w:pStyle w:val="Texto"/>
        <w:bidi w:val="0"/>
        <w:ind w:left="0" w:right="0" w:hanging="0"/>
        <w:rPr>
          <w:color w:val="000000"/>
        </w:rPr>
      </w:pPr>
      <w:r>
        <w:rPr>
          <w:color w:val="000000"/>
        </w:rPr>
      </w:r>
    </w:p>
    <w:p>
      <w:pPr>
        <w:pStyle w:val="Texto"/>
        <w:bidi w:val="0"/>
        <w:ind w:left="0" w:right="0" w:hanging="0"/>
        <w:rPr>
          <w:color w:val="000000"/>
        </w:rPr>
      </w:pPr>
      <w:r>
        <w:rPr>
          <w:color w:val="000000"/>
        </w:rPr>
      </w:r>
    </w:p>
    <w:p>
      <w:pPr>
        <w:pStyle w:val="Texto"/>
        <w:bidi w:val="0"/>
        <w:ind w:left="0" w:right="0" w:hanging="0"/>
        <w:rPr>
          <w:color w:val="000000"/>
        </w:rPr>
      </w:pPr>
      <w:r>
        <w:rPr>
          <w:color w:val="000000"/>
        </w:rPr>
      </w:r>
    </w:p>
    <w:p>
      <w:pPr>
        <w:pStyle w:val="Texto"/>
        <w:bidi w:val="0"/>
        <w:ind w:left="0" w:right="0" w:hanging="0"/>
        <w:rPr>
          <w:color w:val="000000"/>
        </w:rPr>
      </w:pPr>
      <w:r>
        <w:rPr>
          <w:color w:val="000000"/>
        </w:rPr>
      </w:r>
    </w:p>
    <w:p>
      <w:pPr>
        <w:pStyle w:val="Texto"/>
        <w:bidi w:val="0"/>
        <w:ind w:left="0" w:right="0" w:hanging="0"/>
        <w:rPr>
          <w:color w:val="000000"/>
        </w:rPr>
      </w:pPr>
      <w:r>
        <w:rPr>
          <w:color w:val="000000"/>
        </w:rPr>
      </w:r>
    </w:p>
    <w:p>
      <w:pPr>
        <w:pStyle w:val="Texto"/>
        <w:bidi w:val="0"/>
        <w:ind w:left="0" w:right="0" w:hanging="0"/>
        <w:rPr>
          <w:color w:val="000000"/>
        </w:rPr>
      </w:pPr>
      <w:r>
        <w:rPr>
          <w:b/>
          <w:bCs/>
          <w:color w:val="000000"/>
        </w:rPr>
        <w:t>REFERÊNCIAS</w:t>
      </w:r>
    </w:p>
    <w:p>
      <w:pPr>
        <w:pStyle w:val="Referncias"/>
        <w:bidi w:val="0"/>
        <w:jc w:val="left"/>
        <w:rPr>
          <w:b/>
          <w:b/>
          <w:bCs/>
          <w:color w:val="000000"/>
        </w:rPr>
      </w:pPr>
      <w:r>
        <w:rPr>
          <w:b/>
          <w:bCs/>
          <w:color w:val="000000"/>
        </w:rPr>
      </w:r>
    </w:p>
    <w:p>
      <w:pPr>
        <w:pStyle w:val="Referncias"/>
        <w:bidi w:val="0"/>
        <w:jc w:val="left"/>
        <w:rPr>
          <w:color w:val="000000"/>
        </w:rPr>
      </w:pPr>
      <w:r>
        <w:rPr>
          <w:color w:val="000000"/>
        </w:rPr>
      </w:r>
    </w:p>
    <w:p>
      <w:pPr>
        <w:pStyle w:val="Referncias"/>
        <w:bidi w:val="0"/>
        <w:jc w:val="left"/>
        <w:rPr>
          <w:color w:val="000000"/>
        </w:rPr>
      </w:pPr>
      <w:r>
        <w:rPr>
          <w:color w:val="000000"/>
        </w:rPr>
        <w:t xml:space="preserve">ANDRADE, Mônica Viegas; LISBOA, Marcos de Barros. </w:t>
      </w:r>
      <w:r>
        <w:rPr>
          <w:b/>
          <w:bCs/>
          <w:color w:val="000000"/>
        </w:rPr>
        <w:t>Desesperança de vida: homicídio em Minas Gerais, Rio de Janeiro e Säo Paulo: 1981 a 1997.</w:t>
      </w:r>
      <w:r>
        <w:rPr>
          <w:color w:val="000000"/>
        </w:rPr>
        <w:t xml:space="preserve"> In: Desesperança de vida: homicídio em Minas Gerais, Rio de Janeiro e Säo Paulo: 1981 a 1997. 2000. p. 53-53.</w:t>
      </w:r>
    </w:p>
    <w:p>
      <w:pPr>
        <w:pStyle w:val="Referncias"/>
        <w:bidi w:val="0"/>
        <w:jc w:val="left"/>
        <w:rPr>
          <w:color w:val="000000"/>
        </w:rPr>
      </w:pPr>
      <w:r>
        <w:rPr>
          <w:color w:val="000000"/>
        </w:rPr>
      </w:r>
    </w:p>
    <w:p>
      <w:pPr>
        <w:pStyle w:val="Referncias"/>
        <w:bidi w:val="0"/>
        <w:jc w:val="left"/>
        <w:rPr>
          <w:color w:val="000000"/>
        </w:rPr>
      </w:pPr>
      <w:r>
        <w:rPr>
          <w:color w:val="000000"/>
        </w:rPr>
        <w:t xml:space="preserve">BECKER, Gary S. </w:t>
      </w:r>
      <w:r>
        <w:rPr>
          <w:b/>
          <w:bCs/>
          <w:color w:val="000000"/>
        </w:rPr>
        <w:t xml:space="preserve">Crime and punishment: An economic approach. </w:t>
      </w:r>
      <w:r>
        <w:rPr>
          <w:b w:val="false"/>
          <w:bCs w:val="false"/>
          <w:color w:val="000000"/>
        </w:rPr>
        <w:t>Journal of political economy</w:t>
      </w:r>
      <w:r>
        <w:rPr>
          <w:color w:val="000000"/>
        </w:rPr>
        <w:t>, v. 76, n. 2, p. 169-217, 1968.</w:t>
      </w:r>
    </w:p>
    <w:p>
      <w:pPr>
        <w:pStyle w:val="Referncias"/>
        <w:bidi w:val="0"/>
        <w:jc w:val="left"/>
        <w:rPr>
          <w:color w:val="000000"/>
        </w:rPr>
      </w:pPr>
      <w:r>
        <w:rPr>
          <w:color w:val="000000"/>
        </w:rPr>
      </w:r>
    </w:p>
    <w:p>
      <w:pPr>
        <w:pStyle w:val="Referncias"/>
        <w:bidi w:val="0"/>
        <w:jc w:val="left"/>
        <w:rPr>
          <w:color w:val="000000"/>
        </w:rPr>
      </w:pPr>
      <w:r>
        <w:rPr>
          <w:color w:val="000000"/>
        </w:rPr>
        <w:t xml:space="preserve">BENOIT, Jean-Pierre; OSBORNE, Martin J. </w:t>
      </w:r>
      <w:r>
        <w:rPr>
          <w:b/>
          <w:bCs/>
          <w:color w:val="000000"/>
        </w:rPr>
        <w:t xml:space="preserve">Crime, punishment, and social expenditure. </w:t>
      </w:r>
      <w:r>
        <w:rPr>
          <w:color w:val="000000"/>
        </w:rPr>
        <w:t>Journal of Institutional and Theoretical Economics (JITE)/Zeitschrift für die gesamte Staatswissenschaft, p. 326-347, 1995.</w:t>
      </w:r>
    </w:p>
    <w:p>
      <w:pPr>
        <w:pStyle w:val="Referncias"/>
        <w:bidi w:val="0"/>
        <w:jc w:val="left"/>
        <w:rPr>
          <w:color w:val="000000"/>
        </w:rPr>
      </w:pPr>
      <w:r>
        <w:rPr>
          <w:color w:val="000000"/>
        </w:rPr>
      </w:r>
    </w:p>
    <w:p>
      <w:pPr>
        <w:pStyle w:val="Referncias"/>
        <w:bidi w:val="0"/>
        <w:jc w:val="left"/>
        <w:rPr>
          <w:color w:val="000000"/>
        </w:rPr>
      </w:pPr>
      <w:r>
        <w:rPr>
          <w:color w:val="000000"/>
        </w:rPr>
        <w:t xml:space="preserve">CARRERA-FERNANDEZ, José; MALDONADO, Genaro Emilio Carrión. </w:t>
      </w:r>
      <w:r>
        <w:rPr>
          <w:b/>
          <w:bCs/>
          <w:color w:val="000000"/>
        </w:rPr>
        <w:t>A economia do narcotráfico: uma abordagem a partir da experiência boliviana.</w:t>
      </w:r>
      <w:r>
        <w:rPr>
          <w:color w:val="000000"/>
        </w:rPr>
        <w:t xml:space="preserve"> </w:t>
      </w:r>
      <w:r>
        <w:rPr>
          <w:b w:val="false"/>
          <w:bCs w:val="false"/>
          <w:color w:val="000000"/>
        </w:rPr>
        <w:t>Nova Economia</w:t>
      </w:r>
      <w:r>
        <w:rPr>
          <w:color w:val="000000"/>
        </w:rPr>
        <w:t>, v. 9, n. 2, p. 137-173, 1999.</w:t>
      </w:r>
    </w:p>
    <w:p>
      <w:pPr>
        <w:pStyle w:val="Referncias"/>
        <w:bidi w:val="0"/>
        <w:jc w:val="left"/>
        <w:rPr>
          <w:color w:val="000000"/>
        </w:rPr>
      </w:pPr>
      <w:r>
        <w:rPr>
          <w:color w:val="000000"/>
        </w:rPr>
      </w:r>
    </w:p>
    <w:p>
      <w:pPr>
        <w:pStyle w:val="Referncias"/>
        <w:bidi w:val="0"/>
        <w:jc w:val="left"/>
        <w:rPr>
          <w:color w:val="000000"/>
        </w:rPr>
      </w:pPr>
      <w:r>
        <w:rPr>
          <w:color w:val="000000"/>
        </w:rPr>
        <w:t xml:space="preserve">EHRLICH, Isaac. </w:t>
      </w:r>
      <w:r>
        <w:rPr>
          <w:b/>
          <w:bCs/>
          <w:color w:val="000000"/>
        </w:rPr>
        <w:t>Participation in illegitimate activities: A theoretical and empirical investigation</w:t>
      </w:r>
      <w:r>
        <w:rPr>
          <w:color w:val="000000"/>
        </w:rPr>
        <w:t xml:space="preserve">. </w:t>
      </w:r>
      <w:r>
        <w:rPr>
          <w:b w:val="false"/>
          <w:bCs w:val="false"/>
          <w:color w:val="000000"/>
        </w:rPr>
        <w:t>Journal of political Economy</w:t>
      </w:r>
      <w:r>
        <w:rPr>
          <w:color w:val="000000"/>
        </w:rPr>
        <w:t>, v. 81, n. 3, p. 521-565, 1973.</w:t>
      </w:r>
    </w:p>
    <w:p>
      <w:pPr>
        <w:pStyle w:val="Referncias"/>
        <w:bidi w:val="0"/>
        <w:jc w:val="left"/>
        <w:rPr>
          <w:color w:val="000000"/>
        </w:rPr>
      </w:pPr>
      <w:r>
        <w:rPr>
          <w:color w:val="000000"/>
        </w:rPr>
      </w:r>
    </w:p>
    <w:p>
      <w:pPr>
        <w:pStyle w:val="Referncias"/>
        <w:bidi w:val="0"/>
        <w:jc w:val="left"/>
        <w:rPr>
          <w:color w:val="000000"/>
        </w:rPr>
      </w:pPr>
      <w:r>
        <w:rPr>
          <w:color w:val="000000"/>
        </w:rPr>
        <w:t>IPARDES.</w:t>
      </w:r>
      <w:r>
        <w:rPr>
          <w:b/>
          <w:bCs/>
          <w:color w:val="000000"/>
        </w:rPr>
        <w:t xml:space="preserve"> BDEweb: Sistema Estatístico do Paraná. </w:t>
      </w:r>
      <w:r>
        <w:rPr>
          <w:color w:val="000000"/>
        </w:rPr>
        <w:t xml:space="preserve">Disponível em: &lt;https://www.ipardes.pr.gov.br/Destaque/BASE-DE-DADOS-DO-ESTADO&gt;. Acesso em: </w:t>
      </w:r>
      <w:r>
        <w:rPr>
          <w:color w:val="000000"/>
        </w:rPr>
        <w:t>1 de julho de 2023</w:t>
      </w:r>
      <w:r>
        <w:rPr>
          <w:color w:val="000000"/>
        </w:rPr>
        <w:t>.</w:t>
      </w:r>
    </w:p>
    <w:p>
      <w:pPr>
        <w:pStyle w:val="Referncias"/>
        <w:bidi w:val="0"/>
        <w:jc w:val="left"/>
        <w:rPr>
          <w:color w:val="000000"/>
        </w:rPr>
      </w:pPr>
      <w:r>
        <w:rPr>
          <w:color w:val="000000"/>
        </w:rPr>
      </w:r>
    </w:p>
    <w:p>
      <w:pPr>
        <w:pStyle w:val="Referncias"/>
        <w:bidi w:val="0"/>
        <w:jc w:val="left"/>
        <w:rPr>
          <w:color w:val="000000"/>
        </w:rPr>
      </w:pPr>
      <w:r>
        <w:rPr>
          <w:color w:val="000000"/>
        </w:rPr>
        <w:t xml:space="preserve">MARIANO, Rodrigo Silva et al. </w:t>
      </w:r>
      <w:r>
        <w:rPr>
          <w:b/>
          <w:bCs/>
          <w:color w:val="000000"/>
        </w:rPr>
        <w:t xml:space="preserve">Fatores socioeconômicos da criminalidade no Estado de São Paulo: um enfoque da economia do crime. </w:t>
      </w:r>
      <w:r>
        <w:rPr>
          <w:color w:val="000000"/>
        </w:rPr>
        <w:t>2010.</w:t>
      </w:r>
    </w:p>
    <w:p>
      <w:pPr>
        <w:pStyle w:val="Referncias"/>
        <w:bidi w:val="0"/>
        <w:jc w:val="left"/>
        <w:rPr>
          <w:color w:val="000000"/>
        </w:rPr>
      </w:pPr>
      <w:r>
        <w:rPr>
          <w:color w:val="000000"/>
        </w:rPr>
      </w:r>
    </w:p>
    <w:p>
      <w:pPr>
        <w:pStyle w:val="Referncias"/>
        <w:bidi w:val="0"/>
        <w:jc w:val="left"/>
        <w:rPr>
          <w:color w:val="000000"/>
        </w:rPr>
      </w:pPr>
      <w:r>
        <w:rPr>
          <w:color w:val="000000"/>
        </w:rPr>
        <w:t>R Core Team (2023). _R: A Language and Environment for Statistical Computing_. R  Foundation for Statistical Computing, Vienna, Austria.&lt;https://www.R-project.org/&gt;.</w:t>
      </w:r>
    </w:p>
    <w:p>
      <w:pPr>
        <w:pStyle w:val="Referncias"/>
        <w:bidi w:val="0"/>
        <w:jc w:val="left"/>
        <w:rPr>
          <w:color w:val="000000"/>
        </w:rPr>
      </w:pPr>
      <w:r>
        <w:rPr>
          <w:color w:val="000000"/>
        </w:rPr>
      </w:r>
    </w:p>
    <w:p>
      <w:pPr>
        <w:pStyle w:val="Referncias"/>
        <w:bidi w:val="0"/>
        <w:jc w:val="left"/>
        <w:rPr>
          <w:color w:val="000000"/>
        </w:rPr>
      </w:pPr>
      <w:r>
        <w:rPr>
          <w:color w:val="000000"/>
        </w:rPr>
        <w:t xml:space="preserve">REIS, Ilka Afonso; BEATO, Cláudio. Desigualdade, desenvolvimento socioeconômico e crime. </w:t>
      </w:r>
      <w:r>
        <w:rPr>
          <w:b/>
          <w:color w:val="000000"/>
        </w:rPr>
        <w:t>Desigualdade e pobreza no Brasil</w:t>
      </w:r>
      <w:r>
        <w:rPr>
          <w:color w:val="000000"/>
        </w:rPr>
        <w:t>, 2000.</w:t>
      </w:r>
    </w:p>
    <w:p>
      <w:pPr>
        <w:pStyle w:val="Referncias"/>
        <w:bidi w:val="0"/>
        <w:jc w:val="left"/>
        <w:rPr>
          <w:color w:val="000000"/>
        </w:rPr>
      </w:pPr>
      <w:r>
        <w:rPr>
          <w:color w:val="000000"/>
        </w:rPr>
      </w:r>
    </w:p>
    <w:p>
      <w:pPr>
        <w:pStyle w:val="Referncias"/>
        <w:bidi w:val="0"/>
        <w:jc w:val="left"/>
        <w:rPr>
          <w:color w:val="000000"/>
        </w:rPr>
      </w:pPr>
      <w:r>
        <w:rPr>
          <w:color w:val="000000"/>
        </w:rPr>
        <w:t xml:space="preserve">SHIKIDA, Pery Francisco Assis. </w:t>
      </w:r>
      <w:r>
        <w:rPr>
          <w:b/>
          <w:bCs/>
          <w:color w:val="000000"/>
        </w:rPr>
        <w:t xml:space="preserve">Economia do crime: teoria e evidências empíricas a partir de um estudo de caso na Penitenciária Estadual de Piraquara (PR). </w:t>
      </w:r>
      <w:r>
        <w:rPr>
          <w:b w:val="false"/>
          <w:bCs w:val="false"/>
          <w:color w:val="000000"/>
        </w:rPr>
        <w:t>Revista de Economia e Administração, São Paulo</w:t>
      </w:r>
      <w:r>
        <w:rPr>
          <w:color w:val="000000"/>
        </w:rPr>
        <w:t>, v. 4, n. 3, p. 315-342, 2005.</w:t>
      </w:r>
    </w:p>
    <w:p>
      <w:pPr>
        <w:pStyle w:val="Referncias"/>
        <w:bidi w:val="0"/>
        <w:jc w:val="left"/>
        <w:rPr>
          <w:color w:val="000000"/>
        </w:rPr>
      </w:pPr>
      <w:r>
        <w:rPr>
          <w:color w:val="000000"/>
        </w:rPr>
      </w:r>
    </w:p>
    <w:p>
      <w:pPr>
        <w:pStyle w:val="Referncias"/>
        <w:bidi w:val="0"/>
        <w:jc w:val="left"/>
        <w:rPr>
          <w:color w:val="000000"/>
        </w:rPr>
      </w:pPr>
      <w:r>
        <w:rPr>
          <w:color w:val="000000"/>
        </w:rPr>
        <w:t xml:space="preserve">VAN BUUREN, Stef. </w:t>
      </w:r>
      <w:r>
        <w:rPr>
          <w:b/>
          <w:color w:val="000000"/>
        </w:rPr>
        <w:t>Flexible imputation of missing data</w:t>
      </w:r>
      <w:r>
        <w:rPr>
          <w:color w:val="000000"/>
        </w:rPr>
        <w:t>. CRC press, 2018.</w:t>
      </w:r>
    </w:p>
    <w:p>
      <w:pPr>
        <w:pStyle w:val="Referncias"/>
        <w:bidi w:val="0"/>
        <w:jc w:val="left"/>
        <w:rPr>
          <w:color w:val="000000"/>
        </w:rPr>
      </w:pPr>
      <w:r>
        <w:rPr>
          <w:color w:val="000000"/>
        </w:rPr>
      </w:r>
    </w:p>
    <w:p>
      <w:pPr>
        <w:pStyle w:val="Referncias"/>
        <w:bidi w:val="0"/>
        <w:jc w:val="left"/>
        <w:rPr>
          <w:color w:val="000000"/>
        </w:rPr>
      </w:pPr>
      <w:r>
        <w:rPr>
          <w:color w:val="000000"/>
        </w:rPr>
        <w:t xml:space="preserve">VIAPIANA, Luiz Tadeu. </w:t>
      </w:r>
      <w:r>
        <w:rPr>
          <w:b/>
          <w:color w:val="000000"/>
        </w:rPr>
        <w:t>Economia do crime: uma explicação para a formação do criminoso</w:t>
      </w:r>
      <w:r>
        <w:rPr>
          <w:color w:val="000000"/>
        </w:rPr>
        <w:t>. Editora AGE Ltda, 2006.</w:t>
      </w:r>
    </w:p>
    <w:p>
      <w:pPr>
        <w:pStyle w:val="Referncias"/>
        <w:bidi w:val="0"/>
        <w:jc w:val="left"/>
        <w:rPr>
          <w:color w:val="000000"/>
        </w:rPr>
      </w:pPr>
      <w:r>
        <w:rPr>
          <w:color w:val="000000"/>
        </w:rPr>
      </w:r>
    </w:p>
    <w:p>
      <w:pPr>
        <w:pStyle w:val="Referncias"/>
        <w:bidi w:val="0"/>
        <w:jc w:val="left"/>
        <w:rPr>
          <w:color w:val="000000"/>
        </w:rPr>
      </w:pPr>
      <w:r>
        <w:rPr>
          <w:color w:val="000000"/>
        </w:rPr>
        <w:t xml:space="preserve">WINKELMANN, Rainer; PAPPS, Kerry L. Unemployment and crime: new answers to an old question. </w:t>
      </w:r>
      <w:r>
        <w:rPr>
          <w:b/>
          <w:bCs/>
          <w:color w:val="000000"/>
        </w:rPr>
        <w:t>Dispon</w:t>
      </w:r>
      <w:r>
        <w:rPr>
          <w:b/>
          <w:bCs/>
          <w:color w:val="000000"/>
        </w:rPr>
        <w:t xml:space="preserve">ível em </w:t>
      </w:r>
      <w:r>
        <w:rPr>
          <w:b/>
          <w:color w:val="000000"/>
        </w:rPr>
        <w:t>SSRN 166558</w:t>
      </w:r>
      <w:r>
        <w:rPr>
          <w:color w:val="000000"/>
        </w:rPr>
        <w:t>, 1998.</w:t>
      </w:r>
    </w:p>
    <w:p>
      <w:pPr>
        <w:pStyle w:val="Texto"/>
        <w:bidi w:val="0"/>
        <w:ind w:left="0" w:right="0" w:hanging="0"/>
        <w:rPr>
          <w:color w:val="000000"/>
        </w:rPr>
      </w:pPr>
      <w:r>
        <w:rPr>
          <w:color w:val="000000"/>
        </w:rPr>
      </w:r>
    </w:p>
    <w:p>
      <w:pPr>
        <w:pStyle w:val="Texto"/>
        <w:bidi w:val="0"/>
        <w:ind w:left="0" w:right="0" w:hanging="0"/>
        <w:rPr>
          <w:color w:val="000000"/>
        </w:rPr>
      </w:pPr>
      <w:r>
        <w:rPr>
          <w:color w:val="000000"/>
        </w:rPr>
        <w:t xml:space="preserve">WOOLDRIDGE, Jeffrey M. </w:t>
      </w:r>
      <w:r>
        <w:rPr>
          <w:b/>
          <w:color w:val="000000"/>
        </w:rPr>
        <w:t>Introductory econometrics: A modern approach</w:t>
      </w:r>
      <w:r>
        <w:rPr>
          <w:color w:val="000000"/>
        </w:rPr>
        <w:t>. Cengage learning, 2015.</w:t>
      </w:r>
    </w:p>
    <w:p>
      <w:pPr>
        <w:pStyle w:val="Texto"/>
        <w:bidi w:val="0"/>
        <w:rPr>
          <w:color w:val="000000"/>
        </w:rPr>
      </w:pPr>
      <w:r>
        <w:rPr>
          <w:color w:val="000000"/>
        </w:rPr>
      </w:r>
    </w:p>
    <w:p>
      <w:pPr>
        <w:pStyle w:val="Texto"/>
        <w:bidi w:val="0"/>
        <w:rPr>
          <w:color w:val="000000"/>
        </w:rPr>
      </w:pPr>
      <w:r>
        <w:rPr>
          <w:color w:val="000000"/>
        </w:rPr>
      </w:r>
    </w:p>
    <w:sectPr>
      <w:type w:val="nextPage"/>
      <w:pgSz w:w="11906" w:h="16838"/>
      <w:pgMar w:left="1701" w:right="1134" w:gutter="0" w:header="0" w:top="1701"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OpenSymbol">
    <w:altName w:val="Arial Unicode MS"/>
    <w:charset w:val="02"/>
    <w:family w:val="auto"/>
    <w:pitch w:val="default"/>
  </w:font>
  <w:font w:name="Calibri">
    <w:charset w:val="01"/>
    <w:family w:val="roman"/>
    <w:pitch w:val="variable"/>
  </w:font>
  <w:font w:name="Liberation Mono">
    <w:altName w:val="Courier New"/>
    <w:charset w:val="01"/>
    <w:family w:val="modern"/>
    <w:pitch w:val="fixed"/>
  </w:font>
  <w:font w:name="Liberation Serif">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suff w:val="space"/>
      <w:lvlText w:val="%1"/>
      <w:lvlJc w:val="left"/>
      <w:pPr>
        <w:tabs>
          <w:tab w:val="num" w:pos="0"/>
        </w:tabs>
        <w:ind w:left="0" w:hanging="0"/>
      </w:pPr>
    </w:lvl>
    <w:lvl w:ilvl="1">
      <w:start w:val="1"/>
      <w:pStyle w:val="Ttulo2"/>
      <w:numFmt w:val="decimal"/>
      <w:suff w:val="space"/>
      <w:lvlText w:val="%1.%2"/>
      <w:lvlJc w:val="left"/>
      <w:pPr>
        <w:tabs>
          <w:tab w:val="num" w:pos="0"/>
        </w:tabs>
        <w:ind w:left="0" w:hanging="0"/>
      </w:pPr>
    </w:lvl>
    <w:lvl w:ilvl="2">
      <w:start w:val="1"/>
      <w:pStyle w:val="Ttulo3"/>
      <w:numFmt w:val="decimal"/>
      <w:suff w:val="space"/>
      <w:lvlText w:val="%1.%2.%3"/>
      <w:lvlJc w:val="left"/>
      <w:pPr>
        <w:tabs>
          <w:tab w:val="num" w:pos="0"/>
        </w:tabs>
        <w:ind w:left="0" w:hanging="0"/>
      </w:pPr>
    </w:lvl>
    <w:lvl w:ilvl="3">
      <w:start w:val="1"/>
      <w:pStyle w:val="Ttulo4"/>
      <w:numFmt w:val="decimal"/>
      <w:suff w:val="space"/>
      <w:lvlText w:val="%1.%2.%3.%4"/>
      <w:lvlJc w:val="left"/>
      <w:pPr>
        <w:tabs>
          <w:tab w:val="num" w:pos="0"/>
        </w:tabs>
        <w:ind w:left="0" w:hanging="0"/>
      </w:pPr>
    </w:lvl>
    <w:lvl w:ilvl="4">
      <w:start w:val="1"/>
      <w:numFmt w:val="decimal"/>
      <w:suff w:val="space"/>
      <w:lvlText w:val="%1.%2.%3.%4.%5"/>
      <w:lvlJc w:val="left"/>
      <w:pPr>
        <w:tabs>
          <w:tab w:val="num" w:pos="0"/>
        </w:tabs>
        <w:ind w:left="0" w:hanging="0"/>
      </w:pPr>
      <w:r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pStyle w:val="Ttulo9"/>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pt-B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360"/>
      <w:ind w:left="0" w:right="0" w:firstLine="850"/>
      <w:jc w:val="both"/>
    </w:pPr>
    <w:rPr>
      <w:rFonts w:ascii="Arial" w:hAnsi="Arial" w:eastAsia="SimSun" w:cs="Mangal"/>
      <w:color w:val="auto"/>
      <w:kern w:val="2"/>
      <w:sz w:val="24"/>
      <w:szCs w:val="24"/>
      <w:lang w:val="pt-BR" w:eastAsia="zh-CN" w:bidi="hi-IN"/>
    </w:rPr>
  </w:style>
  <w:style w:type="paragraph" w:styleId="Ttulo1">
    <w:name w:val="Heading 1"/>
    <w:basedOn w:val="Ttulo"/>
    <w:next w:val="Texto"/>
    <w:qFormat/>
    <w:pPr>
      <w:numPr>
        <w:ilvl w:val="0"/>
        <w:numId w:val="1"/>
      </w:numPr>
      <w:bidi w:val="0"/>
      <w:spacing w:before="0" w:after="0"/>
      <w:jc w:val="left"/>
      <w:outlineLvl w:val="0"/>
    </w:pPr>
    <w:rPr>
      <w:rFonts w:ascii="Arial" w:hAnsi="Arial"/>
      <w:b/>
      <w:bCs/>
      <w:caps/>
      <w:sz w:val="24"/>
      <w:szCs w:val="36"/>
    </w:rPr>
  </w:style>
  <w:style w:type="paragraph" w:styleId="Ttulo2">
    <w:name w:val="Heading 2"/>
    <w:basedOn w:val="Ttulo"/>
    <w:next w:val="Texto"/>
    <w:qFormat/>
    <w:pPr>
      <w:numPr>
        <w:ilvl w:val="1"/>
        <w:numId w:val="1"/>
      </w:numPr>
      <w:tabs>
        <w:tab w:val="clear" w:pos="708"/>
      </w:tabs>
      <w:bidi w:val="0"/>
      <w:spacing w:before="0" w:after="0"/>
      <w:outlineLvl w:val="1"/>
    </w:pPr>
    <w:rPr>
      <w:b w:val="false"/>
      <w:bCs/>
      <w:caps/>
      <w:sz w:val="24"/>
      <w:szCs w:val="32"/>
    </w:rPr>
  </w:style>
  <w:style w:type="paragraph" w:styleId="Ttulo3">
    <w:name w:val="Heading 3"/>
    <w:basedOn w:val="Ttulo"/>
    <w:next w:val="Normal"/>
    <w:qFormat/>
    <w:pPr>
      <w:numPr>
        <w:ilvl w:val="2"/>
        <w:numId w:val="1"/>
      </w:numPr>
      <w:bidi w:val="0"/>
      <w:spacing w:before="0" w:after="0"/>
      <w:outlineLvl w:val="2"/>
    </w:pPr>
    <w:rPr>
      <w:b w:val="false"/>
      <w:bCs/>
      <w:sz w:val="24"/>
      <w:szCs w:val="28"/>
    </w:rPr>
  </w:style>
  <w:style w:type="paragraph" w:styleId="Ttulo4">
    <w:name w:val="Heading 4"/>
    <w:basedOn w:val="Ttulo"/>
    <w:next w:val="Normal"/>
    <w:qFormat/>
    <w:pPr>
      <w:numPr>
        <w:ilvl w:val="3"/>
        <w:numId w:val="1"/>
      </w:numPr>
      <w:bidi w:val="0"/>
      <w:spacing w:before="0" w:after="0"/>
      <w:outlineLvl w:val="3"/>
    </w:pPr>
    <w:rPr>
      <w:b w:val="false"/>
      <w:bCs/>
      <w:i w:val="false"/>
      <w:iCs/>
      <w:sz w:val="24"/>
      <w:szCs w:val="27"/>
    </w:rPr>
  </w:style>
  <w:style w:type="paragraph" w:styleId="Ttulo9">
    <w:name w:val="Heading 9"/>
    <w:basedOn w:val="Ttulo"/>
    <w:next w:val="Corpodotexto"/>
    <w:qFormat/>
    <w:pPr>
      <w:numPr>
        <w:ilvl w:val="8"/>
        <w:numId w:val="1"/>
      </w:numPr>
      <w:spacing w:before="60" w:after="60"/>
      <w:outlineLvl w:val="8"/>
    </w:pPr>
    <w:rPr>
      <w:b/>
      <w:bCs/>
      <w:sz w:val="18"/>
      <w:szCs w:val="21"/>
    </w:rPr>
  </w:style>
  <w:style w:type="character" w:styleId="LinkdaInternet">
    <w:name w:val="Link da Internet"/>
    <w:rPr>
      <w:color w:val="000080"/>
      <w:u w:val="single"/>
      <w:lang w:val="zxx" w:eastAsia="zxx" w:bidi="zxx"/>
    </w:rPr>
  </w:style>
  <w:style w:type="character" w:styleId="Marcadores">
    <w:name w:val="Marcadores"/>
    <w:qFormat/>
    <w:rPr>
      <w:rFonts w:ascii="OpenSymbol" w:hAnsi="OpenSymbol" w:eastAsia="OpenSymbol" w:cs="OpenSymbol"/>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Vnculodendice">
    <w:name w:val="Vínculo de índice"/>
    <w:qFormat/>
    <w:rPr/>
  </w:style>
  <w:style w:type="character" w:styleId="DefaultParagraphFont">
    <w:name w:val="Default Paragraph Font"/>
    <w:qFormat/>
    <w:rPr/>
  </w:style>
  <w:style w:type="character" w:styleId="Smbolosdenumerao">
    <w:name w:val="Símbolos de numeração"/>
    <w:qFormat/>
    <w:rPr/>
  </w:style>
  <w:style w:type="paragraph" w:styleId="Ttulo">
    <w:name w:val="Título"/>
    <w:basedOn w:val="Normal"/>
    <w:next w:val="Normal"/>
    <w:qFormat/>
    <w:pPr>
      <w:keepNext w:val="true"/>
      <w:bidi w:val="0"/>
      <w:spacing w:before="0" w:after="0"/>
      <w:ind w:left="0" w:right="0" w:hanging="0"/>
      <w:jc w:val="left"/>
    </w:pPr>
    <w:rPr>
      <w:rFonts w:ascii="Arial" w:hAnsi="Arial" w:eastAsia="Microsoft YaHei" w:cs="Mangal"/>
      <w:sz w:val="24"/>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apaFolhaderosto">
    <w:name w:val="Capa-Folha de rosto"/>
    <w:basedOn w:val="Normal"/>
    <w:qFormat/>
    <w:pPr>
      <w:bidi w:val="0"/>
      <w:ind w:left="0" w:right="0" w:hanging="0"/>
      <w:jc w:val="center"/>
    </w:pPr>
    <w:rPr>
      <w:caps/>
    </w:rPr>
  </w:style>
  <w:style w:type="paragraph" w:styleId="Naturezadotrabalho">
    <w:name w:val="Natureza do trabalho"/>
    <w:basedOn w:val="Normal"/>
    <w:qFormat/>
    <w:pPr>
      <w:bidi w:val="0"/>
      <w:spacing w:lineRule="auto" w:line="240"/>
      <w:ind w:left="4535" w:right="0" w:hanging="0"/>
    </w:pPr>
    <w:rPr>
      <w:sz w:val="20"/>
    </w:rPr>
  </w:style>
  <w:style w:type="paragraph" w:styleId="Ttuloprtextual">
    <w:name w:val="Título pré-textual"/>
    <w:basedOn w:val="Normal"/>
    <w:next w:val="Texto"/>
    <w:qFormat/>
    <w:pPr>
      <w:bidi w:val="0"/>
      <w:ind w:left="0" w:right="0" w:hanging="0"/>
      <w:jc w:val="left"/>
    </w:pPr>
    <w:rPr>
      <w:b/>
      <w:caps/>
    </w:rPr>
  </w:style>
  <w:style w:type="paragraph" w:styleId="Resumo">
    <w:name w:val="Resumo"/>
    <w:basedOn w:val="Normal"/>
    <w:qFormat/>
    <w:pPr>
      <w:bidi w:val="0"/>
      <w:spacing w:lineRule="auto" w:line="240"/>
      <w:ind w:left="0" w:right="0" w:hanging="0"/>
    </w:pPr>
    <w:rPr/>
  </w:style>
  <w:style w:type="paragraph" w:styleId="Citaes">
    <w:name w:val="Citações"/>
    <w:basedOn w:val="Normal"/>
    <w:qFormat/>
    <w:pPr>
      <w:spacing w:before="0" w:after="283"/>
      <w:ind w:left="567" w:right="567" w:hanging="0"/>
    </w:pPr>
    <w:rPr/>
  </w:style>
  <w:style w:type="paragraph" w:styleId="Citaolonga">
    <w:name w:val="Citação longa"/>
    <w:basedOn w:val="Normal"/>
    <w:next w:val="Ttulo"/>
    <w:qFormat/>
    <w:pPr>
      <w:bidi w:val="0"/>
      <w:spacing w:lineRule="auto" w:line="240" w:before="340" w:after="454"/>
      <w:ind w:left="2268" w:right="0" w:hanging="0"/>
    </w:pPr>
    <w:rPr>
      <w:sz w:val="20"/>
    </w:rPr>
  </w:style>
  <w:style w:type="paragraph" w:styleId="Referncias">
    <w:name w:val="Referências"/>
    <w:basedOn w:val="Normal"/>
    <w:qFormat/>
    <w:pPr>
      <w:bidi w:val="0"/>
      <w:spacing w:lineRule="auto" w:line="240"/>
      <w:ind w:left="0" w:right="0" w:hanging="0"/>
      <w:jc w:val="left"/>
    </w:pPr>
    <w:rPr/>
  </w:style>
  <w:style w:type="paragraph" w:styleId="Remetente">
    <w:name w:val="Envelope Return"/>
    <w:basedOn w:val="Normal"/>
    <w:pPr>
      <w:suppressLineNumbers/>
      <w:spacing w:before="0" w:after="60"/>
    </w:pPr>
    <w:rPr/>
  </w:style>
  <w:style w:type="paragraph" w:styleId="Assinatura">
    <w:name w:val="Signature"/>
    <w:basedOn w:val="Normal"/>
    <w:pPr>
      <w:suppressLineNumbers/>
    </w:pPr>
    <w:rPr/>
  </w:style>
  <w:style w:type="paragraph" w:styleId="Texto">
    <w:name w:val="Texto"/>
    <w:basedOn w:val="Normal"/>
    <w:qFormat/>
    <w:pPr/>
    <w:rPr/>
  </w:style>
  <w:style w:type="paragraph" w:styleId="Alnea">
    <w:name w:val="Alínea"/>
    <w:basedOn w:val="Normal"/>
    <w:qFormat/>
    <w:pPr>
      <w:tabs>
        <w:tab w:val="clear" w:pos="708"/>
      </w:tabs>
      <w:ind w:left="850" w:right="0" w:firstLine="850"/>
    </w:pPr>
    <w:rPr/>
  </w:style>
  <w:style w:type="paragraph" w:styleId="Notaderodap">
    <w:name w:val="Footnote Text"/>
    <w:basedOn w:val="Normal"/>
    <w:pPr>
      <w:suppressLineNumbers/>
      <w:tabs>
        <w:tab w:val="clear" w:pos="708"/>
      </w:tabs>
      <w:spacing w:lineRule="auto" w:line="240"/>
      <w:ind w:left="339" w:right="0" w:hanging="339"/>
    </w:pPr>
    <w:rPr>
      <w:sz w:val="20"/>
      <w:szCs w:val="20"/>
    </w:rPr>
  </w:style>
  <w:style w:type="paragraph" w:styleId="Ttulopstextual">
    <w:name w:val="Título pós-textual"/>
    <w:basedOn w:val="Ttulo1"/>
    <w:next w:val="Texto"/>
    <w:qFormat/>
    <w:pPr>
      <w:numPr>
        <w:ilvl w:val="0"/>
        <w:numId w:val="0"/>
      </w:numPr>
      <w:tabs>
        <w:tab w:val="clear" w:pos="708"/>
      </w:tabs>
      <w:ind w:left="0" w:right="0" w:hanging="0"/>
      <w:jc w:val="center"/>
      <w:outlineLvl w:val="9"/>
    </w:pPr>
    <w:rPr/>
  </w:style>
  <w:style w:type="paragraph" w:styleId="Ttulodondicealfabtico">
    <w:name w:val="Index Heading"/>
    <w:basedOn w:val="Ttulo"/>
    <w:pPr>
      <w:suppressLineNumbers/>
      <w:ind w:left="0" w:right="0" w:hanging="0"/>
    </w:pPr>
    <w:rPr>
      <w:b/>
      <w:bCs/>
      <w:sz w:val="32"/>
      <w:szCs w:val="32"/>
    </w:rPr>
  </w:style>
  <w:style w:type="paragraph" w:styleId="Ttulodosumrio">
    <w:name w:val="TOC Heading"/>
    <w:basedOn w:val="Ttulo"/>
    <w:pPr>
      <w:suppressLineNumbers/>
      <w:spacing w:before="0" w:after="397"/>
      <w:ind w:left="0" w:right="0" w:hanging="0"/>
      <w:jc w:val="center"/>
    </w:pPr>
    <w:rPr>
      <w:b/>
      <w:bCs/>
      <w:caps/>
      <w:sz w:val="24"/>
      <w:szCs w:val="32"/>
    </w:rPr>
  </w:style>
  <w:style w:type="paragraph" w:styleId="Sumrio1">
    <w:name w:val="TOC 1"/>
    <w:basedOn w:val="Ndice"/>
    <w:pPr>
      <w:tabs>
        <w:tab w:val="clear" w:pos="708"/>
        <w:tab w:val="right" w:pos="9071" w:leader="dot"/>
      </w:tabs>
      <w:ind w:left="0" w:right="0" w:hanging="0"/>
    </w:pPr>
    <w:rPr>
      <w:b/>
      <w:caps/>
    </w:rPr>
  </w:style>
  <w:style w:type="paragraph" w:styleId="Sumrio2">
    <w:name w:val="TOC 2"/>
    <w:basedOn w:val="Ndice"/>
    <w:pPr>
      <w:tabs>
        <w:tab w:val="clear" w:pos="708"/>
        <w:tab w:val="right" w:pos="9071" w:leader="dot"/>
      </w:tabs>
      <w:ind w:left="0" w:right="0" w:hanging="0"/>
    </w:pPr>
    <w:rPr>
      <w:caps/>
    </w:rPr>
  </w:style>
  <w:style w:type="paragraph" w:styleId="Sumrio3">
    <w:name w:val="TOC 3"/>
    <w:basedOn w:val="Ndice"/>
    <w:pPr>
      <w:tabs>
        <w:tab w:val="clear" w:pos="708"/>
        <w:tab w:val="right" w:pos="9071" w:leader="dot"/>
      </w:tabs>
      <w:ind w:left="0" w:right="0" w:hanging="0"/>
    </w:pPr>
    <w:rPr/>
  </w:style>
  <w:style w:type="paragraph" w:styleId="Sumrio4">
    <w:name w:val="TOC 4"/>
    <w:basedOn w:val="Ndice"/>
    <w:pPr>
      <w:tabs>
        <w:tab w:val="clear" w:pos="708"/>
        <w:tab w:val="right" w:pos="9071" w:leader="dot"/>
      </w:tabs>
      <w:ind w:left="0" w:right="0" w:hanging="0"/>
    </w:pPr>
    <w:rPr/>
  </w:style>
  <w:style w:type="paragraph" w:styleId="FIGURA">
    <w:name w:val="FIGURA"/>
    <w:basedOn w:val="Legenda"/>
    <w:qFormat/>
    <w:pPr/>
    <w:rPr/>
  </w:style>
  <w:style w:type="paragraph" w:styleId="Ilustrao">
    <w:name w:val="Ilustração"/>
    <w:basedOn w:val="Legenda"/>
    <w:qFormat/>
    <w:pPr/>
    <w:rPr/>
  </w:style>
  <w:style w:type="paragraph" w:styleId="Ttulodafiguraetabela">
    <w:name w:val="Título da figura e tabela"/>
    <w:basedOn w:val="Legenda"/>
    <w:next w:val="Texto"/>
    <w:qFormat/>
    <w:pPr>
      <w:tabs>
        <w:tab w:val="clear" w:pos="708"/>
      </w:tabs>
      <w:spacing w:before="57" w:after="57"/>
      <w:ind w:left="0" w:right="0" w:hanging="0"/>
      <w:jc w:val="center"/>
    </w:pPr>
    <w:rPr>
      <w:i w:val="false"/>
      <w:sz w:val="20"/>
    </w:rPr>
  </w:style>
  <w:style w:type="paragraph" w:styleId="DocumentMap">
    <w:name w:val="DocumentMap"/>
    <w:qFormat/>
    <w:pPr>
      <w:widowControl/>
      <w:kinsoku w:val="true"/>
      <w:overflowPunct w:val="true"/>
      <w:autoSpaceDE w:val="true"/>
      <w:bidi w:val="0"/>
      <w:ind w:left="0" w:right="0" w:hanging="0"/>
      <w:jc w:val="left"/>
      <w:textAlignment w:val="auto"/>
    </w:pPr>
    <w:rPr>
      <w:rFonts w:ascii="Calibri" w:hAnsi="Calibri" w:eastAsia="Calibri" w:cs="Calibri"/>
      <w:color w:val="auto"/>
      <w:kern w:val="2"/>
      <w:sz w:val="20"/>
      <w:szCs w:val="20"/>
      <w:lang w:val="pt-BR" w:eastAsia="pt-BR" w:bidi="ar-SA"/>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QUADRO">
    <w:name w:val="QUADRO"/>
    <w:basedOn w:val="Legenda"/>
    <w:qFormat/>
    <w:pPr/>
    <w:rPr/>
  </w:style>
  <w:style w:type="paragraph" w:styleId="Tabela">
    <w:name w:val="Tabela"/>
    <w:basedOn w:val="Legenda"/>
    <w:qFormat/>
    <w:pPr/>
    <w:rPr/>
  </w:style>
  <w:style w:type="paragraph" w:styleId="GRAFICO">
    <w:name w:val="GRAFICO"/>
    <w:basedOn w:val="Legenda"/>
    <w:qFormat/>
    <w:pPr/>
    <w:rPr/>
  </w:style>
  <w:style w:type="paragraph" w:styleId="GRFICO">
    <w:name w:val="GRÁFICO"/>
    <w:basedOn w:val="Legenda"/>
    <w:qFormat/>
    <w:pPr/>
    <w:rPr/>
  </w:style>
  <w:style w:type="paragraph" w:styleId="Contedodoquadro">
    <w:name w:val="Conteúdo do quadro"/>
    <w:basedOn w:val="Normal"/>
    <w:qFormat/>
    <w:pPr/>
    <w:rPr/>
  </w:style>
  <w:style w:type="paragraph" w:styleId="CabealhoeRodap">
    <w:name w:val="Cabeçalho e Rodapé"/>
    <w:basedOn w:val="Normal"/>
    <w:qFormat/>
    <w:pPr>
      <w:suppressLineNumbers/>
      <w:tabs>
        <w:tab w:val="clear" w:pos="708"/>
        <w:tab w:val="center" w:pos="4819" w:leader="none"/>
        <w:tab w:val="right" w:pos="9638" w:leader="none"/>
      </w:tabs>
    </w:pPr>
    <w:rPr/>
  </w:style>
  <w:style w:type="paragraph" w:styleId="Cabealho">
    <w:name w:val="Header"/>
    <w:basedOn w:val="Normal"/>
    <w:pPr>
      <w:suppressLineNumbers/>
      <w:tabs>
        <w:tab w:val="clear" w:pos="708"/>
        <w:tab w:val="center" w:pos="4535" w:leader="none"/>
        <w:tab w:val="right" w:pos="9071" w:leader="none"/>
      </w:tabs>
    </w:pPr>
    <w:rPr/>
  </w:style>
  <w:style w:type="paragraph" w:styleId="Sumrio5">
    <w:name w:val="TOC 5"/>
    <w:basedOn w:val="Ndice"/>
    <w:pPr>
      <w:tabs>
        <w:tab w:val="clear" w:pos="708"/>
        <w:tab w:val="right" w:pos="9071" w:leader="dot"/>
      </w:tabs>
      <w:ind w:left="0" w:right="0" w:hanging="0"/>
    </w:pPr>
    <w:rPr/>
  </w:style>
  <w:style w:type="paragraph" w:styleId="Ndicepersonalizado2">
    <w:name w:val="Índice personalizado 2"/>
    <w:basedOn w:val="Ndice"/>
    <w:qFormat/>
    <w:pPr>
      <w:tabs>
        <w:tab w:val="clear" w:pos="708"/>
        <w:tab w:val="right" w:pos="850" w:leader="none"/>
        <w:tab w:val="right" w:pos="8788" w:leader="dot"/>
      </w:tabs>
      <w:ind w:left="283" w:right="0" w:hanging="0"/>
    </w:pPr>
    <w:rPr/>
  </w:style>
  <w:style w:type="paragraph" w:styleId="Ttulo10">
    <w:name w:val="Título 10"/>
    <w:basedOn w:val="Ttulo"/>
    <w:next w:val="Corpodotexto"/>
    <w:qFormat/>
    <w:pPr>
      <w:numPr>
        <w:ilvl w:val="8"/>
        <w:numId w:val="1"/>
      </w:numPr>
      <w:spacing w:before="60" w:after="60"/>
      <w:outlineLvl w:val="8"/>
    </w:pPr>
    <w:rPr>
      <w:b/>
      <w:bCs/>
      <w:sz w:val="18"/>
      <w:szCs w:val="21"/>
    </w:rPr>
  </w:style>
  <w:style w:type="paragraph" w:styleId="IllustrationIndexHeading">
    <w:name w:val="Illustration Index Heading"/>
    <w:basedOn w:val="Ttulo"/>
    <w:qFormat/>
    <w:pPr>
      <w:suppressLineNumbers/>
      <w:tabs>
        <w:tab w:val="clear" w:pos="708"/>
      </w:tabs>
      <w:spacing w:before="0" w:after="397"/>
      <w:ind w:left="0" w:right="0" w:hanging="0"/>
      <w:jc w:val="center"/>
    </w:pPr>
    <w:rPr>
      <w:b/>
      <w:bCs/>
      <w:caps/>
      <w:sz w:val="24"/>
      <w:szCs w:val="32"/>
    </w:rPr>
  </w:style>
  <w:style w:type="paragraph" w:styleId="IllustrationIndex1">
    <w:name w:val="Illustration Index 1"/>
    <w:basedOn w:val="Ndice"/>
    <w:qFormat/>
    <w:pPr>
      <w:tabs>
        <w:tab w:val="clear" w:pos="708"/>
        <w:tab w:val="right" w:pos="9071" w:leader="dot"/>
      </w:tabs>
      <w:ind w:left="0" w:right="0" w:hanging="0"/>
    </w:pPr>
    <w:rPr/>
  </w:style>
  <w:style w:type="paragraph" w:styleId="Ttulodondicedetabelas">
    <w:name w:val="Título do índice de tabelas"/>
    <w:basedOn w:val="Ttulo"/>
    <w:qFormat/>
    <w:pPr>
      <w:suppressLineNumbers/>
      <w:spacing w:before="0" w:after="397"/>
      <w:ind w:left="0" w:right="0" w:hanging="0"/>
      <w:jc w:val="center"/>
    </w:pPr>
    <w:rPr>
      <w:b/>
      <w:bCs/>
      <w:caps/>
      <w:sz w:val="24"/>
      <w:szCs w:val="32"/>
    </w:rPr>
  </w:style>
  <w:style w:type="paragraph" w:styleId="Ndicedetabelas1">
    <w:name w:val="Índice de tabelas 1"/>
    <w:basedOn w:val="Ndice"/>
    <w:qFormat/>
    <w:pPr>
      <w:tabs>
        <w:tab w:val="clear" w:pos="708"/>
        <w:tab w:val="right" w:pos="9071" w:leader="dot"/>
      </w:tabs>
      <w:ind w:left="0" w:right="0" w:hanging="0"/>
    </w:pPr>
    <w:rPr/>
  </w:style>
  <w:style w:type="paragraph" w:styleId="Textoprformatado">
    <w:name w:val="Texto préformatado"/>
    <w:basedOn w:val="Normal"/>
    <w:qFormat/>
    <w:pPr>
      <w:spacing w:before="0" w:after="0"/>
    </w:pPr>
    <w:rPr>
      <w:rFonts w:ascii="Liberation Mono" w:hAnsi="Liberation Mono" w:eastAsia="Noto Sans Mono CJK SC" w:cs="Liberation Mono"/>
      <w:sz w:val="20"/>
      <w:szCs w:val="20"/>
    </w:rPr>
  </w:style>
  <w:style w:type="numbering" w:styleId="Numerao123">
    <w:name w:val="Numeração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355</TotalTime>
  <Application>LibreOffice/7.3.7.2$Linux_X86_64 LibreOffice_project/30$Build-2</Application>
  <AppVersion>15.0000</AppVersion>
  <Pages>7</Pages>
  <Words>1885</Words>
  <Characters>10150</Characters>
  <CharactersWithSpaces>12123</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2017-07-17T14:43:11Z</dcterms:created>
  <dc:creator/>
  <dc:description/>
  <dc:language>pt-BR</dc:language>
  <cp:lastModifiedBy/>
  <dcterms:modified xsi:type="dcterms:W3CDTF">2023-07-10T04:40:23Z</dcterms:modified>
  <cp:revision>96</cp:revision>
  <dc:subject/>
  <dc:title/>
</cp:coreProperties>
</file>