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5E3A2B"/>
          <w:sz w:val="40"/>
        </w:rPr>
        <w:t>INFORME TÉCNICO MAESTRO DE ARQUITECTURA, CÓDIGO Y ROADMAP</w:t>
      </w:r>
    </w:p>
    <w:p>
      <w:pPr>
        <w:jc w:val="center"/>
      </w:pPr>
      <w:r>
        <w:rPr>
          <w:rFonts w:ascii="Arial" w:hAnsi="Arial"/>
          <w:i/>
          <w:color w:val="8C6F55"/>
          <w:sz w:val="22"/>
        </w:rPr>
        <w:t>Proyecto: Sumaq Spa &amp; Centro de Bienestar (Sprint S04)</w:t>
        <w:br/>
        <w:t>Integrantes: Rafael Ramirez | Anthony Guzman | Bryan Mango</w:t>
      </w:r>
    </w:p>
    <w:p>
      <w:pPr>
        <w:spacing w:after="240"/>
      </w:pPr>
    </w:p>
    <w:p>
      <w:pPr>
        <w:spacing w:before="280" w:after="120"/>
      </w:pPr>
      <w:r>
        <w:rPr>
          <w:rFonts w:ascii="Arial" w:hAnsi="Arial"/>
          <w:b/>
          <w:color w:val="5E3A2B"/>
          <w:sz w:val="28"/>
        </w:rPr>
        <w:t>1. TECNOLOGÍAS UTILIZADAS Y FUNCIONAMIENTO TÉCNICO</w:t>
      </w:r>
    </w:p>
    <w:p>
      <w:pPr>
        <w:spacing w:before="200" w:after="80"/>
      </w:pPr>
      <w:r>
        <w:rPr>
          <w:rFonts w:ascii="Arial" w:hAnsi="Arial"/>
          <w:b/>
          <w:color w:val="8C6F55"/>
          <w:sz w:val="24"/>
        </w:rPr>
        <w:t>1.1 Stack de Frontend</w:t>
      </w:r>
    </w:p>
    <w:p>
      <w:pPr>
        <w:spacing w:after="80" w:line="276" w:lineRule="auto"/>
      </w:pPr>
      <w:r>
        <w:rPr>
          <w:rFonts w:ascii="Calibri" w:hAnsi="Calibri"/>
          <w:b/>
          <w:color w:val="2C2725"/>
          <w:sz w:val="21"/>
        </w:rPr>
        <w:t>• React 19:</w:t>
      </w:r>
      <w:r>
        <w:rPr>
          <w:rFonts w:ascii="Calibri" w:hAnsi="Calibri"/>
          <w:color w:val="323232"/>
          <w:sz w:val="21"/>
        </w:rPr>
        <w:t xml:space="preserve"> Biblioteca principal de interfaces basada en componentes funcionales declarativos y React Hooks (useState, useEffect, useMemo, useCallback, useContext).</w:t>
      </w:r>
    </w:p>
    <w:p>
      <w:pPr>
        <w:spacing w:after="80" w:line="276" w:lineRule="auto"/>
      </w:pPr>
      <w:r>
        <w:rPr>
          <w:rFonts w:ascii="Calibri" w:hAnsi="Calibri"/>
          <w:b/>
          <w:color w:val="2C2725"/>
          <w:sz w:val="21"/>
        </w:rPr>
        <w:t>• TypeScript (~6.0):</w:t>
      </w:r>
      <w:r>
        <w:rPr>
          <w:rFonts w:ascii="Calibri" w:hAnsi="Calibri"/>
          <w:color w:val="323232"/>
          <w:sz w:val="21"/>
        </w:rPr>
        <w:t xml:space="preserve"> Lenguaje que aporta tipado estático estricto para modelos de datos (models.ts) y llamadas de red (api.ts), previniendo errores de tipos en compilación.</w:t>
      </w:r>
    </w:p>
    <w:p>
      <w:pPr>
        <w:spacing w:after="80" w:line="276" w:lineRule="auto"/>
      </w:pPr>
      <w:r>
        <w:rPr>
          <w:rFonts w:ascii="Calibri" w:hAnsi="Calibri"/>
          <w:b/>
          <w:color w:val="2C2725"/>
          <w:sz w:val="21"/>
        </w:rPr>
        <w:t>• Vite 8:</w:t>
      </w:r>
      <w:r>
        <w:rPr>
          <w:rFonts w:ascii="Calibri" w:hAnsi="Calibri"/>
          <w:color w:val="323232"/>
          <w:sz w:val="21"/>
        </w:rPr>
        <w:t xml:space="preserve"> Bundler y servidor de desarrollo ultrarrápido con Hot Module Replacement (HMR) instantáneo y compilador de producción Rollup.</w:t>
      </w:r>
    </w:p>
    <w:p>
      <w:pPr>
        <w:spacing w:after="80" w:line="276" w:lineRule="auto"/>
      </w:pPr>
      <w:r>
        <w:rPr>
          <w:rFonts w:ascii="Calibri" w:hAnsi="Calibri"/>
          <w:b/>
          <w:color w:val="2C2725"/>
          <w:sz w:val="21"/>
        </w:rPr>
        <w:t>• Tailwind CSS v4:</w:t>
      </w:r>
      <w:r>
        <w:rPr>
          <w:rFonts w:ascii="Calibri" w:hAnsi="Calibri"/>
          <w:color w:val="323232"/>
          <w:sz w:val="21"/>
        </w:rPr>
        <w:t xml:space="preserve"> Framework de utilidades CSS integrado nativamente en Vite mediante @tailwindcss/vite para maquetación responsiva Mobile-First.</w:t>
      </w:r>
    </w:p>
    <w:p>
      <w:pPr>
        <w:spacing w:after="80" w:line="276" w:lineRule="auto"/>
      </w:pPr>
      <w:r>
        <w:rPr>
          <w:rFonts w:ascii="Calibri" w:hAnsi="Calibri"/>
          <w:b/>
          <w:color w:val="2C2725"/>
          <w:sz w:val="21"/>
        </w:rPr>
        <w:t>• React Router DOM v7:</w:t>
      </w:r>
      <w:r>
        <w:rPr>
          <w:rFonts w:ascii="Calibri" w:hAnsi="Calibri"/>
          <w:color w:val="323232"/>
          <w:sz w:val="21"/>
        </w:rPr>
        <w:t xml:space="preserve"> Enrutador SPA (Single Page Application) que gestiona rutas públicas y privadas protegidas por roles con redirección automática.</w:t>
      </w:r>
    </w:p>
    <w:p>
      <w:pPr>
        <w:spacing w:after="80" w:line="276" w:lineRule="auto"/>
      </w:pPr>
      <w:r>
        <w:rPr>
          <w:rFonts w:ascii="Calibri" w:hAnsi="Calibri"/>
          <w:b/>
          <w:color w:val="2C2725"/>
          <w:sz w:val="21"/>
        </w:rPr>
        <w:t>• Lucide React:</w:t>
      </w:r>
      <w:r>
        <w:rPr>
          <w:rFonts w:ascii="Calibri" w:hAnsi="Calibri"/>
          <w:color w:val="323232"/>
          <w:sz w:val="21"/>
        </w:rPr>
        <w:t xml:space="preserve"> Colección de más de 30 iconos vectoriales SVG ligeros y consistentes.</w:t>
      </w:r>
    </w:p>
    <w:p>
      <w:pPr>
        <w:spacing w:before="200" w:after="80"/>
      </w:pPr>
      <w:r>
        <w:rPr>
          <w:rFonts w:ascii="Arial" w:hAnsi="Arial"/>
          <w:b/>
          <w:color w:val="8C6F55"/>
          <w:sz w:val="24"/>
        </w:rPr>
        <w:t>1.2 Conectividad en Red Local y Acceso Wi-Fi (--host)</w:t>
      </w:r>
    </w:p>
    <w:p>
      <w:pPr>
        <w:spacing w:after="80" w:line="276" w:lineRule="auto"/>
      </w:pPr>
      <w:r>
        <w:rPr>
          <w:rFonts w:ascii="Calibri" w:hAnsi="Calibri"/>
          <w:b/>
          <w:color w:val="2C2725"/>
          <w:sz w:val="21"/>
        </w:rPr>
        <w:t>• Mecanismo de Enlace:</w:t>
      </w:r>
      <w:r>
        <w:rPr>
          <w:rFonts w:ascii="Calibri" w:hAnsi="Calibri"/>
          <w:color w:val="323232"/>
          <w:sz w:val="21"/>
        </w:rPr>
        <w:t>¿Cómo funciona? Por defecto, los servidores de desarrollo solo escuchan en 127.0.0.1 (localhost). Al ejecutar 'npm run dev -- --host', Vite enlaza su socket TCP a la interfaz comodín 0.0.0.0. Esto permite que el servidor escuche por la tarjeta de red Wi-Fi de la computadora.</w:t>
      </w:r>
    </w:p>
    <w:p>
      <w:pPr>
        <w:spacing w:after="80" w:line="276" w:lineRule="auto"/>
      </w:pPr>
      <w:r>
        <w:rPr>
          <w:rFonts w:ascii="Calibri" w:hAnsi="Calibri"/>
          <w:b/>
          <w:color w:val="2C2725"/>
          <w:sz w:val="21"/>
        </w:rPr>
        <w:t>• Acceso Multi-dispositivo:</w:t>
      </w:r>
      <w:r>
        <w:rPr>
          <w:rFonts w:ascii="Calibri" w:hAnsi="Calibri"/>
          <w:color w:val="323232"/>
          <w:sz w:val="21"/>
        </w:rPr>
        <w:t>El router asigna una IP privada (ej. 192.168.1.34). Cualquier smartphone, tablet o laptop conectada al mismo Wi-Fi puede ingresar a http://192.168.1.34:5173/ y probar la experiencia de usuario real sin desplegar en la nube.</w:t>
      </w:r>
    </w:p>
    <w:p>
      <w:pPr>
        <w:spacing w:before="200" w:after="80"/>
      </w:pPr>
      <w:r>
        <w:rPr>
          <w:rFonts w:ascii="Arial" w:hAnsi="Arial"/>
          <w:b/>
          <w:color w:val="8C6F55"/>
          <w:sz w:val="24"/>
        </w:rPr>
        <w:t>1.3 Diseño Responsivo (Mobile-First)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La interfaz está diseñada para adaptarse fluidamente a cualquier pantalla utilizando los breakpoints de Tailwind: base (&lt;640px para móviles), md: (&gt;=768px para tablets) y lg: (&gt;=1024px para laptops y desktops). En móviles, las barras laterales se repliegan en menús deslizantes con overlay oscuro y las tablas cuentan con scroll horizontal (overflow-x-auto) para no deformar la vista.</w:t>
      </w:r>
    </w:p>
    <w:p>
      <w:pPr>
        <w:spacing w:before="200" w:after="80"/>
      </w:pPr>
      <w:r>
        <w:rPr>
          <w:rFonts w:ascii="Arial" w:hAnsi="Arial"/>
          <w:b/>
          <w:color w:val="8C6F55"/>
          <w:sz w:val="24"/>
        </w:rPr>
        <w:t>1.4 La Base de Datos Actual: ¿Dónde está y cómo funciona?</w:t>
      </w:r>
    </w:p>
    <w:p>
      <w:pPr>
        <w:spacing w:after="80" w:line="276" w:lineRule="auto"/>
      </w:pPr>
      <w:r>
        <w:rPr>
          <w:rFonts w:ascii="Calibri" w:hAnsi="Calibri"/>
          <w:b/>
          <w:color w:val="2C2725"/>
          <w:sz w:val="21"/>
        </w:rPr>
        <w:t>• Identidad y Ubicación:</w:t>
      </w:r>
      <w:r>
        <w:rPr>
          <w:rFonts w:ascii="Calibri" w:hAnsi="Calibri"/>
          <w:color w:val="323232"/>
          <w:sz w:val="21"/>
        </w:rPr>
        <w:t>Nombre: LocalMockStore (Motor de Simulación Relacional en Memoria). Ubicación: src/services/mockData.ts y localStorage del navegador (sumaq_mock_citas, sumaq_mock_productos).</w:t>
      </w:r>
    </w:p>
    <w:p>
      <w:pPr>
        <w:spacing w:after="80" w:line="276" w:lineRule="auto"/>
      </w:pPr>
      <w:r>
        <w:rPr>
          <w:rFonts w:ascii="Calibri" w:hAnsi="Calibri"/>
          <w:b/>
          <w:color w:val="2C2725"/>
          <w:sz w:val="21"/>
        </w:rPr>
        <w:t>• Funcionamiento:</w:t>
      </w:r>
      <w:r>
        <w:rPr>
          <w:rFonts w:ascii="Calibri" w:hAnsi="Calibri"/>
          <w:color w:val="323232"/>
          <w:sz w:val="21"/>
        </w:rPr>
        <w:t>Opera como una base de datos local que intercepta las peticiones de los servicios. Al crear una cita, calcula disponibilidad horaria, descuenta insumos de stock según recetas y registra los movimientos de caja chica en el almacenamiento persistente del navegador.</w:t>
      </w:r>
    </w:p>
    <w:p>
      <w:pPr>
        <w:spacing w:before="280" w:after="120"/>
      </w:pPr>
      <w:r>
        <w:rPr>
          <w:rFonts w:ascii="Arial" w:hAnsi="Arial"/>
          <w:b/>
          <w:color w:val="5E3A2B"/>
          <w:sz w:val="28"/>
        </w:rPr>
        <w:t>2. ESTRUCTURA DE CARPETAS: GENERADOS VS. PROGRAMADOR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5E3A2B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Carpeta / Archivo</w:t>
            </w:r>
          </w:p>
        </w:tc>
        <w:tc>
          <w:tcPr>
            <w:tcW w:type="dxa" w:w="3312"/>
            <w:shd w:fill="5E3A2B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Origen</w:t>
            </w:r>
          </w:p>
        </w:tc>
        <w:tc>
          <w:tcPr>
            <w:tcW w:type="dxa" w:w="3312"/>
            <w:shd w:fill="5E3A2B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Contenido y Propósito</w:t>
            </w:r>
          </w:p>
        </w:tc>
      </w:tr>
      <w:tr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node_modules/</w:t>
            </w:r>
          </w:p>
        </w:tc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GENERADO</w:t>
            </w:r>
          </w:p>
        </w:tc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Dependencias descargadas por npm (React, Vite, Tailwind, etc.). No se versiona.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package-lock.json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GENERADO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Árbol inmutable con hashes de seguridad y versiones exactas.</w:t>
            </w:r>
          </w:p>
        </w:tc>
      </w:tr>
      <w:tr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dist/</w:t>
            </w:r>
          </w:p>
        </w:tc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GENERADO</w:t>
            </w:r>
          </w:p>
        </w:tc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Archivos compilados y minificados para producción tras 'npm run build'.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public/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PROGRAMADOR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Assets estáticos raíz como favicon.svg e icons.svg.</w:t>
            </w:r>
          </w:p>
        </w:tc>
      </w:tr>
      <w:tr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src/assets/</w:t>
            </w:r>
          </w:p>
        </w:tc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PROGRAMADOR</w:t>
            </w:r>
          </w:p>
        </w:tc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Imágenes del spa, fotografías de cabinas (hero.png) y logotipos.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src/components/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PROGRAMADOR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Componentes UI atómicos: Button, Modal, Badge, StatCard, Navbar, Footer, ProtectedRoute.</w:t>
            </w:r>
          </w:p>
        </w:tc>
      </w:tr>
      <w:tr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src/contexts/</w:t>
            </w:r>
          </w:p>
        </w:tc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PROGRAMADOR</w:t>
            </w:r>
          </w:p>
        </w:tc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Estado global: AuthContext (sesión y roles) y ToastContext (alertas emergentes).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src/layouts/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PROGRAMADOR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Estructuras maestras: PublicLayout, AdminLayout, TherapistLayout.</w:t>
            </w:r>
          </w:p>
        </w:tc>
      </w:tr>
      <w:tr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src/pages/admin/</w:t>
            </w:r>
          </w:p>
        </w:tc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PROGRAMADOR</w:t>
            </w:r>
          </w:p>
        </w:tc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11 Vistas: Dashboard KPIs, Agenda 3 Cabinas, Caja POS, Kárdex, Usuarios, Servicios, etc.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src/pages/therapist/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PROGRAMADOR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3 Vistas: Agenda diaria de cabina, Ficha clínica del cliente y Almacén de insumos.</w:t>
            </w:r>
          </w:p>
        </w:tc>
      </w:tr>
      <w:tr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src/pages/public/</w:t>
            </w:r>
          </w:p>
        </w:tc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PROGRAMADOR</w:t>
            </w:r>
          </w:p>
        </w:tc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4 Vistas: Landing Page, Wizard de Reservas en 4 Pasos, Confirmación y Catálogo.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src/pages/auth/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PROGRAMADOR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Vistas de Login con credenciales demo, 404 Not Found y Unauthorized.</w:t>
            </w:r>
          </w:p>
        </w:tc>
      </w:tr>
      <w:tr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src/services/</w:t>
            </w:r>
          </w:p>
        </w:tc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PROGRAMADOR</w:t>
            </w:r>
          </w:p>
        </w:tc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Lógica de negocio: api.ts (Axios), authService, adminService, therapistService, mockData.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src/types/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PROGRAMADOR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Definiciones TypeScript: models.ts (modelos de datos) y api.ts (respuestas HTTP).</w:t>
            </w:r>
          </w:p>
        </w:tc>
      </w:tr>
      <w:tr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src/App.tsx</w:t>
            </w:r>
          </w:p>
        </w:tc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PROGRAMADOR</w:t>
            </w:r>
          </w:p>
        </w:tc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Enrutador maestro con todas las rutas y guardias de seguridad por rol.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Dockerfile &amp; nginx.conf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PROGRAMADOR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Configuración para despliegue contenerizado en servidores de producción.</w:t>
            </w:r>
          </w:p>
        </w:tc>
      </w:tr>
      <w:tr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start_dev.bat</w:t>
            </w:r>
          </w:p>
        </w:tc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PROGRAMADOR</w:t>
            </w:r>
          </w:p>
        </w:tc>
        <w:tc>
          <w:tcPr>
            <w:tcW w:type="dxa" w:w="3312"/>
            <w:shd w:fill="F9F6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Script ejecutable para Windows con inicio automático por doble clic.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5E3A2B"/>
          <w:sz w:val="28"/>
        </w:rPr>
        <w:t>3. DESGLOSE DEL CÓDIGO Y LÓGICA POR MÓDULOS</w:t>
      </w:r>
    </w:p>
    <w:p>
      <w:pPr>
        <w:spacing w:before="200" w:after="80"/>
      </w:pPr>
      <w:r>
        <w:rPr>
          <w:rFonts w:ascii="Arial" w:hAnsi="Arial"/>
          <w:b/>
          <w:color w:val="8C6F55"/>
          <w:sz w:val="24"/>
        </w:rPr>
        <w:t>3.1 Wizard de Reserva en 4 Pasos (BookingWizardPage.tsx)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Paso 1: Selección de servicio y fecha en calendario interactivo.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Paso 2: Elección de especialista y cabina, calculando dinámicamente qué bloques de 60 minutos están desocupados.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Paso 3: Formulario con validación de datos del cliente y motor de cupones (ej. SUMAQ15 otorga 15% de descuento).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Paso 4: Pasarela de pagos interactiva (código QR dinámico de Yape/Plin, formulario de tarjeta con validación de chunks de 4 dígitos o pago en efectivo), generando un código de reserva único (SQ-20260901-XXXX).</w:t>
      </w:r>
    </w:p>
    <w:p>
      <w:pPr>
        <w:spacing w:before="200" w:after="80"/>
      </w:pPr>
      <w:r>
        <w:rPr>
          <w:rFonts w:ascii="Arial" w:hAnsi="Arial"/>
          <w:b/>
          <w:color w:val="8C6F55"/>
          <w:sz w:val="24"/>
        </w:rPr>
        <w:t>3.2 Agenda Global de 3 Cabinas (GlobalAgendaPage.tsx)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Muestra un tablero simultáneo en 3 columnas: Cabina 1 (Holística), Cabina 2 (Dermoestética) y Cabina 3 (Hidroterapia). Permite ver estados de citas (Pendiente, Confirmada, En Atención, Atendida, Cancelada), cambiar fechas y abrir modales de reprogramación.</w:t>
      </w:r>
    </w:p>
    <w:p>
      <w:pPr>
        <w:spacing w:before="200" w:after="80"/>
      </w:pPr>
      <w:r>
        <w:rPr>
          <w:rFonts w:ascii="Arial" w:hAnsi="Arial"/>
          <w:b/>
          <w:color w:val="8C6F55"/>
          <w:sz w:val="24"/>
        </w:rPr>
        <w:t>3.3 Caja POS y Arqueo de Turno (AdminCashRegisterPage.tsx)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Permite agregar ítems al carrito, registrar ventas adicionales, calcular subtotal, IGV y descuento, calcular vuelto de efectivo y emitir boletas en PDF simuladas.</w:t>
      </w:r>
    </w:p>
    <w:p>
      <w:pPr>
        <w:spacing w:before="200" w:after="80"/>
      </w:pPr>
      <w:r>
        <w:rPr>
          <w:rFonts w:ascii="Arial" w:hAnsi="Arial"/>
          <w:b/>
          <w:color w:val="8C6F55"/>
          <w:sz w:val="24"/>
        </w:rPr>
        <w:t>3.4 Kárdex e Inventario (AdminInventoryPage.tsx)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Control de stock con umbral de seguridad. Si el stock actual es menor al mínimo, se activa el semáforo rojo. Registra entradas por compra y salidas automáticas asociadas a citas atendidas.</w:t>
      </w:r>
    </w:p>
    <w:p>
      <w:pPr>
        <w:spacing w:before="200" w:after="80"/>
      </w:pPr>
      <w:r>
        <w:rPr>
          <w:rFonts w:ascii="Arial" w:hAnsi="Arial"/>
          <w:b/>
          <w:color w:val="8C6F55"/>
          <w:sz w:val="24"/>
        </w:rPr>
        <w:t>3.5 Ficha Clínica del Terapeuta (TherapistAppointmentDetailPage.tsx)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Permite registrar observaciones clínicas y dermatológicas del cliente. Al presionar 'Finalizar Atención', deduce en automático los insumos utilizados según la receta del servicio.</w:t>
      </w:r>
    </w:p>
    <w:p>
      <w:pPr>
        <w:spacing w:before="280" w:after="120"/>
      </w:pPr>
      <w:r>
        <w:rPr>
          <w:rFonts w:ascii="Arial" w:hAnsi="Arial"/>
          <w:b/>
          <w:color w:val="5E3A2B"/>
          <w:sz w:val="28"/>
        </w:rPr>
        <w:t>4. ANÁLISIS DE DATOS DEL DASHBOARD Y KPI CALCULADOS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En la vista del Dashboard Administrativo se aprecian métricas financieras precargadas. Estos datos no son textos planos estáticos, sino el resultado de cálculos matemáticos sobre la base de citas completadas:</w:t>
      </w:r>
    </w:p>
    <w:p>
      <w:pPr>
        <w:spacing w:after="80" w:line="276" w:lineRule="auto"/>
      </w:pPr>
      <w:r>
        <w:rPr>
          <w:rFonts w:ascii="Calibri" w:hAnsi="Calibri"/>
          <w:b/>
          <w:color w:val="2C2725"/>
          <w:sz w:val="21"/>
        </w:rPr>
        <w:t>• Ingresos:</w:t>
      </w:r>
      <w:r>
        <w:rPr>
          <w:rFonts w:ascii="Calibri" w:hAnsi="Calibri"/>
          <w:color w:val="323232"/>
          <w:sz w:val="21"/>
        </w:rPr>
        <w:t>Ingresos Totales (S/ 549.00): Suma acumulada de las citas en estado ATENDIDA más la base histórica.</w:t>
      </w:r>
    </w:p>
    <w:p>
      <w:pPr>
        <w:spacing w:after="80" w:line="276" w:lineRule="auto"/>
      </w:pPr>
      <w:r>
        <w:rPr>
          <w:rFonts w:ascii="Calibri" w:hAnsi="Calibri"/>
          <w:b/>
          <w:color w:val="2C2725"/>
          <w:sz w:val="21"/>
        </w:rPr>
        <w:t>• Costo Insumos:</w:t>
      </w:r>
      <w:r>
        <w:rPr>
          <w:rFonts w:ascii="Calibri" w:hAnsi="Calibri"/>
          <w:color w:val="323232"/>
          <w:sz w:val="21"/>
        </w:rPr>
        <w:t>Costo de Insumos (S/ 55.50): Costo unitario de insumos consumidos por los tratamientos completados.</w:t>
      </w:r>
    </w:p>
    <w:p>
      <w:pPr>
        <w:spacing w:after="80" w:line="276" w:lineRule="auto"/>
      </w:pPr>
      <w:r>
        <w:rPr>
          <w:rFonts w:ascii="Calibri" w:hAnsi="Calibri"/>
          <w:b/>
          <w:color w:val="2C2725"/>
          <w:sz w:val="21"/>
        </w:rPr>
        <w:t>• Ganancia:</w:t>
      </w:r>
      <w:r>
        <w:rPr>
          <w:rFonts w:ascii="Calibri" w:hAnsi="Calibri"/>
          <w:color w:val="323232"/>
          <w:sz w:val="21"/>
        </w:rPr>
        <w:t>Ganancia Operativa (S/ 493.50): Resta directa de Ingresos Totales menos Costo de Insumos.</w:t>
      </w:r>
    </w:p>
    <w:p>
      <w:pPr>
        <w:spacing w:after="80" w:line="276" w:lineRule="auto"/>
      </w:pPr>
      <w:r>
        <w:rPr>
          <w:rFonts w:ascii="Calibri" w:hAnsi="Calibri"/>
          <w:b/>
          <w:color w:val="2C2725"/>
          <w:sz w:val="21"/>
        </w:rPr>
        <w:t>• Ocupación:</w:t>
      </w:r>
      <w:r>
        <w:rPr>
          <w:rFonts w:ascii="Calibri" w:hAnsi="Calibri"/>
          <w:color w:val="323232"/>
          <w:sz w:val="21"/>
        </w:rPr>
        <w:t>Tasa de Ocupación (74%): Proporción calculada sobre la capacidad máxima (3 cabinas x 9 slots = 27 slots diarios).</w:t>
      </w:r>
    </w:p>
    <w:p>
      <w:pPr>
        <w:spacing w:after="80" w:line="276" w:lineRule="auto"/>
      </w:pPr>
      <w:r>
        <w:rPr>
          <w:rFonts w:ascii="Calibri" w:hAnsi="Calibri"/>
          <w:b/>
          <w:color w:val="2C2725"/>
          <w:sz w:val="21"/>
        </w:rPr>
        <w:t>• Alertas:</w:t>
      </w:r>
      <w:r>
        <w:rPr>
          <w:rFonts w:ascii="Calibri" w:hAnsi="Calibri"/>
          <w:color w:val="323232"/>
          <w:sz w:val="21"/>
        </w:rPr>
        <w:t>Alertas de Stock (2 en alerta): Comparación en tiempo real entre stock_actual y stock_minimo_alerta.</w:t>
      </w:r>
    </w:p>
    <w:p>
      <w:pPr>
        <w:spacing w:before="280" w:after="120"/>
      </w:pPr>
      <w:r>
        <w:rPr>
          <w:rFonts w:ascii="Arial" w:hAnsi="Arial"/>
          <w:b/>
          <w:color w:val="5E3A2B"/>
          <w:sz w:val="28"/>
        </w:rPr>
        <w:t>5. ROADMAP FUTURO: LO QUE FALTA (BACKEND PYTHON &amp; SQL)</w:t>
      </w:r>
    </w:p>
    <w:p>
      <w:pPr>
        <w:spacing w:before="200" w:after="80"/>
      </w:pPr>
      <w:r>
        <w:rPr>
          <w:rFonts w:ascii="Arial" w:hAnsi="Arial"/>
          <w:b/>
          <w:color w:val="8C6F55"/>
          <w:sz w:val="24"/>
        </w:rPr>
        <w:t>5.1 Backend en Python (Django REST Framework / FastAPI)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1. Reemplazo de LocalMockStore por endpoints RESTful conectados a PostgreSQL.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2. Autenticación con JSON Web Tokens (SimpleJWT) y encriptación de contraseñas con Argon2/Bcrypt.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3. Control transaccional atómico (@transaction.atomic) para que la cita, el descuento en Kárdex y el ingreso en caja se ejecuten de forma segura.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4. WebSockets con Django Channels para sincronizar la agenda de cabinas en tiempo real en todos los dispositivos.</w:t>
      </w:r>
    </w:p>
    <w:p>
      <w:pPr>
        <w:spacing w:before="200" w:after="80"/>
      </w:pPr>
      <w:r>
        <w:rPr>
          <w:rFonts w:ascii="Arial" w:hAnsi="Arial"/>
          <w:b/>
          <w:color w:val="8C6F55"/>
          <w:sz w:val="24"/>
        </w:rPr>
        <w:t>5.2 Base de Datos SQL Relacional (PostgreSQL / MySQL)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Se implementará un esquema en 3ra Forma Normal (3NF) con 13 tablas relacionales: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1. usuarios (id, email, password_hash, rol, activo)</w:t>
        <w:br/>
        <w:t>2. roles (id, nombre, permisos)</w:t>
        <w:br/>
        <w:t>3. clientes (id, dni, nombres, apellidos, telefono, email, alergias)</w:t>
        <w:br/>
        <w:t>4. cabinas (id, nombre, tipo, activa)</w:t>
        <w:br/>
        <w:t>5. terapeutas (id, usuario_id, especialidad, cabina_id, activo)</w:t>
        <w:br/>
        <w:t>6. servicios (id, nombre, descripcion, precio_publico, duracion_min, activo)</w:t>
        <w:br/>
        <w:t>7. productos (id, codigo_sku, nombre, costo_unitario, stock_actual, stock_minimo)</w:t>
        <w:br/>
        <w:t>8. recetas_servicios (id, servicio_id, producto_id, cantidad_requerida)</w:t>
        <w:br/>
        <w:t>9. movimientos_kardex (id, producto_id, tipo, cantidad, costo_unitario, fecha)</w:t>
        <w:br/>
        <w:t>10. citas (id, codigo_reserva, cliente_id, servicio_id, terapeuta_id, cabina_id, fecha, hora_inicio, hora_fin, estado, monto_total, metodo_pago)</w:t>
        <w:br/>
        <w:t>11. fichas_clinicas (id, cita_id, terapeuta_id, observaciones, tratamiento, recomendaciones)</w:t>
        <w:br/>
        <w:t>12. movimientos_caja (id, tipo, concepto, monto, metodo_pago, cita_id, fecha)</w:t>
        <w:br/>
        <w:t>13. cupones_descuento (id, codigo, porcentaje_descuento, usos_maximos, activo)</w:t>
      </w:r>
    </w:p>
    <w:p>
      <w:pPr>
        <w:spacing w:before="200" w:after="80"/>
      </w:pPr>
      <w:r>
        <w:rPr>
          <w:rFonts w:ascii="Arial" w:hAnsi="Arial"/>
          <w:b/>
          <w:color w:val="8C6F55"/>
          <w:sz w:val="24"/>
        </w:rPr>
        <w:t>5.3 Integraciones Externas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• Pasarelas de pago reales con Webhooks (Izipay / Niubiz / Mercado Pago).</w:t>
        <w:br/>
        <w:t>• Emisión de comprobantes electrónicos oficiales homologados con la SUNAT.</w:t>
        <w:br/>
        <w:t>• Notificaciones automáticas por WhatsApp Business API y correos con voucher PDF por SendGrid.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