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7A4A2A"/>
          <w:sz w:val="26"/>
        </w:rPr>
        <w:t>BearSoft — SmartDecisions</w:t>
      </w:r>
    </w:p>
    <w:p>
      <w:pPr>
        <w:pStyle w:val="Title"/>
      </w:pPr>
      <w:r>
        <w:rPr>
          <w:color w:val="0D1E4C"/>
        </w:rPr>
        <w:t>TRADE — Respuesta a Observaciones</w:t>
      </w:r>
    </w:p>
    <w:p>
      <w:pPr>
        <w:spacing w:after="280"/>
        <w:jc w:val="center"/>
      </w:pPr>
      <w:r>
        <w:rPr>
          <w:b w:val="0"/>
          <w:i/>
          <w:color w:val="5E6580"/>
          <w:sz w:val="24"/>
        </w:rPr>
        <w:t>Revisión 4 (consolidada) · Guía de pruebas para cierre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480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BINARIA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2026-08-03 (act. 2026-08-04)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Módulo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TRADE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Base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Correos de Paula sobre la entrega del 2026-07-19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Colección Postman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TRADE_Collection.json — V2.4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Alcance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Propiedad de SKU/promoción por compañía cliente · Bandeos · Filtro de asistencias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Este documento consolida las notas abiertas de la última revisión y sirve como guía de pruebas para cerrar el módulo. Todas las correcciones tienen las pruebas unitarias del servicio en verde y quedan a la espera del despliegue del backend.</w:t>
      </w:r>
    </w:p>
    <w:p>
      <w:pPr>
        <w:pStyle w:val="Heading1"/>
      </w:pPr>
      <w:r>
        <w:rPr>
          <w:color w:val="0D1E4C"/>
        </w:rPr>
        <w:t>1. 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624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Observación</w:t>
            </w:r>
          </w:p>
        </w:tc>
        <w:tc>
          <w:tcPr>
            <w:tcW w:type="dxa" w:w="1872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Registrar reposiciones: valida SKU contra la compañía ejecutora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Registrar inventario de reposiciones: mismo error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Recepción de proveedor: mismo error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Planificar bandeo: valida la promoción contra la compañía ejecutora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Recibir bandeo: no permitía compañía cliente / cálculo del plan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Devolver bandeo: mismo patrón (barrido preventivo)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Listar asistencias obliga pos_id/user_id; falta client_company_id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Consultas de Bandeos (status, cálculo, campos de details[])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Confirmadas</w:t>
            </w:r>
          </w:p>
        </w:tc>
      </w:tr>
    </w:tbl>
    <w:p>
      <w:pPr>
        <w:pStyle w:val="Heading1"/>
      </w:pPr>
      <w:r>
        <w:rPr>
          <w:color w:val="0D1E4C"/>
        </w:rPr>
        <w:t>2. Corrección: propiedad de SKU y promoción por compañía cliente</w:t>
      </w:r>
    </w:p>
    <w:p>
      <w:pPr>
        <w:spacing w:after="40"/>
      </w:pPr>
      <w:r>
        <w:rPr>
          <w:b/>
          <w:i w:val="0"/>
          <w:sz w:val="22"/>
        </w:rPr>
        <w:t>Diagnóstico.</w:t>
      </w:r>
    </w:p>
    <w:p>
      <w:pPr>
        <w:spacing w:after="120"/>
      </w:pPr>
      <w:r>
        <w:rPr>
          <w:b w:val="0"/>
          <w:i w:val="0"/>
          <w:sz w:val="22"/>
        </w:rPr>
        <w:t>En los flujos de visita (registro dentro de un PDV), los SKU, el surtido del PDV y las promociones que los agrupan pertenecen a la compañía CLIENTE (dueña del PDV/productos), no a la compañía EJECUTORA que corre la visita. Varios servicios resolvían el SKU/promoción con la compañía ejecutora, por lo que no se encontraban los registros de la compañía cliente:</w:t>
      </w:r>
    </w:p>
    <w:p>
      <w:pPr>
        <w:spacing w:before="80" w:after="160"/>
        <w:ind w:left="432"/>
      </w:pPr>
      <w:r>
        <w:rPr>
          <w:rFonts w:ascii="Consolas" w:hAnsi="Consolas"/>
          <w:color w:val="333333"/>
          <w:sz w:val="19"/>
        </w:rPr>
        <w:t>{ "detail": "404: Product with SKU EMB.000.000.000.001 not found for company 1" }</w:t>
      </w:r>
    </w:p>
    <w:p>
      <w:pPr>
        <w:spacing w:after="40"/>
      </w:pPr>
      <w:r>
        <w:rPr>
          <w:b/>
          <w:i w:val="0"/>
          <w:sz w:val="22"/>
        </w:rPr>
        <w:t>Regla aplicada</w:t>
      </w:r>
    </w:p>
    <w:p>
      <w:pPr>
        <w:spacing w:after="120"/>
      </w:pPr>
      <w:r>
        <w:rPr>
          <w:b w:val="0"/>
          <w:i w:val="0"/>
          <w:sz w:val="22"/>
        </w:rPr>
        <w:t>(ya existente en Venta de Impulso desde 2026-05-31, ahora replicada en todos los flujos de visita):</w:t>
      </w:r>
    </w:p>
    <w:p>
      <w:pPr>
        <w:spacing w:before="80" w:after="160"/>
        <w:ind w:left="432"/>
      </w:pPr>
      <w:r>
        <w:rPr>
          <w:rFonts w:ascii="Consolas" w:hAnsi="Consolas"/>
          <w:color w:val="333333"/>
          <w:sz w:val="19"/>
        </w:rPr>
        <w:t>catalog_company_id = client_company_id or company_id</w:t>
      </w:r>
    </w:p>
    <w:p>
      <w:pPr>
        <w:spacing w:after="120"/>
      </w:pPr>
      <w:r>
        <w:rPr>
          <w:b w:val="0"/>
          <w:i w:val="0"/>
          <w:sz w:val="22"/>
        </w:rPr>
        <w:t>El client_company_id manda; la compañía ejecutora queda solo como respaldo. La corrección afecta la resolución del SKU, la validación de surtido del PDV y la búsqueda de la promoción: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Flujo</w:t>
            </w:r>
          </w:p>
        </w:tc>
        <w:tc>
          <w:tcPr>
            <w:tcW w:type="dxa" w:w="5040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Se valida contra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Registrar reposiciones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 /replenishment/visit/{id}/report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compañía cliente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Registrar inventario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 /replenishment/visit/{id}/inventory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compañía cliente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Recepción de proveedor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 /replenishment/visit/{id}/reception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compañía cliente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Planificar bandeo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 /complementary/bandeo/plan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cliente (promoción y SKU)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Recibir bandeo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 /complementary/visit/{id}/bandeo/{id}/receive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cliente (del header)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Devolver bandeo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POST /complementary/visit/{id}/bandeo/{id}/return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cliente (del header)</w:t>
            </w:r>
          </w:p>
        </w:tc>
      </w:tr>
    </w:tbl>
    <w:p/>
    <w:p>
      <w:pPr>
        <w:spacing w:after="40"/>
      </w:pPr>
      <w:r>
        <w:rPr>
          <w:b/>
          <w:i w:val="0"/>
          <w:sz w:val="22"/>
        </w:rPr>
        <w:t>No cambia el contrato de request.</w:t>
      </w:r>
    </w:p>
    <w:p>
      <w:pPr>
        <w:spacing w:after="120"/>
      </w:pPr>
      <w:r>
        <w:rPr>
          <w:b w:val="0"/>
          <w:i w:val="0"/>
          <w:sz w:val="22"/>
        </w:rPr>
        <w:t>El client_company_id ya viajaba en el payload (o quedó registrado en el header del bandeo al Planificar); solo cambia contra qué compañía se valida. En Recibir y Devolver el bandeo toma el client_company_id fijado en el paso Planificar, por lo que ya no es necesario reenviarlo.</w:t>
      </w:r>
    </w:p>
    <w:p>
      <w:pPr>
        <w:spacing w:after="40"/>
      </w:pPr>
      <w:r>
        <w:rPr>
          <w:b/>
          <w:i w:val="0"/>
          <w:sz w:val="22"/>
        </w:rPr>
        <w:t>Sobre las promociones.</w:t>
      </w:r>
    </w:p>
    <w:p>
      <w:pPr>
        <w:spacing w:after="120"/>
      </w:pPr>
      <w:r>
        <w:rPr>
          <w:b w:val="0"/>
          <w:i w:val="0"/>
          <w:sz w:val="22"/>
        </w:rPr>
        <w:t>No hizo falta cambiar el modelo ni migrar datos: la promoción ya vive bajo el company_id de su compañía dueña. Basta con buscarla con catalog_company_id. Requisito operativo: las promociones deben crearse bajo la compañía cliente, dueña de los productos que agrupan.</w:t>
      </w:r>
    </w:p>
    <w:p>
      <w:pPr>
        <w:spacing w:after="40"/>
      </w:pPr>
      <w:r>
        <w:rPr>
          <w:b/>
          <w:i w:val="0"/>
          <w:sz w:val="22"/>
        </w:rPr>
        <w:t>Fuera de alcance (a propósito).</w:t>
      </w:r>
    </w:p>
    <w:p>
      <w:pPr>
        <w:spacing w:after="120"/>
      </w:pPr>
      <w:r>
        <w:rPr>
          <w:b w:val="0"/>
          <w:i w:val="0"/>
          <w:sz w:val="22"/>
        </w:rPr>
        <w:t>Los flujos de catálogo (crear/editar productos, asignación producto-PDV, inventario de PDV, crear/listar promociones) son de un solo tenant y se mantienen sin cambio.</w:t>
      </w:r>
    </w:p>
    <w:p>
      <w:pPr>
        <w:pStyle w:val="Heading1"/>
      </w:pPr>
      <w:r>
        <w:rPr>
          <w:color w:val="0D1E4C"/>
        </w:rPr>
        <w:t>3. Barrido preventivo</w:t>
      </w:r>
    </w:p>
    <w:p>
      <w:pPr>
        <w:spacing w:after="120"/>
      </w:pPr>
      <w:r>
        <w:rPr>
          <w:b w:val="0"/>
          <w:i w:val="0"/>
          <w:sz w:val="22"/>
        </w:rPr>
        <w:t>Se revisaron todos los puntos del servicio que resuelven un SKU o una promoción por compañía. Resultado:</w:t>
      </w:r>
    </w:p>
    <w:p>
      <w:pPr>
        <w:pStyle w:val="ListBullet"/>
      </w:pPr>
      <w:r>
        <w:rPr>
          <w:b/>
        </w:rPr>
        <w:t>Corregidos (flujos de visita):</w:t>
      </w:r>
      <w:r>
        <w:t xml:space="preserve"> reposiciones (report / inventory / reception) y bandeos (plan / receive / return).</w:t>
      </w:r>
    </w:p>
    <w:p>
      <w:pPr>
        <w:pStyle w:val="ListBullet"/>
      </w:pPr>
      <w:r>
        <w:rPr>
          <w:b/>
        </w:rPr>
        <w:t>Sin cambio (correctos):</w:t>
      </w:r>
      <w:r>
        <w:t xml:space="preserve"> catálogo de productos, asignación producto-PDV, inventario de PDV, y creación/listado de promociones (operan sobre el tenant dueño del catálogo).</w:t>
      </w:r>
    </w:p>
    <w:p>
      <w:pPr>
        <w:spacing w:after="120"/>
      </w:pPr>
      <w:r>
        <w:rPr>
          <w:b w:val="0"/>
          <w:i w:val="0"/>
          <w:sz w:val="22"/>
        </w:rPr>
        <w:t>No quedan otros flujos de visita validando contra la compañía ejecutora.</w:t>
      </w:r>
    </w:p>
    <w:p>
      <w:pPr>
        <w:pStyle w:val="Heading1"/>
      </w:pPr>
      <w:r>
        <w:rPr>
          <w:color w:val="0D1E4C"/>
        </w:rPr>
        <w:t>4. Consultas de Bandeos — confirmaciones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17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Consulta</w:t>
            </w:r>
          </w:p>
        </w:tc>
        <w:tc>
          <w:tcPr>
            <w:tcW w:type="dxa" w:w="561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Planificar: ¿guarda quantity_planned?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Sí. Header en status=PENDING y un detalle por SKU con quantity_planned = promotion_quantity x sku_quantity, calculado en el servidor.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Recibir: ¿cambia a status=RECEIVED?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Sí. El header pasa de PENDING a RECEIVED.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Recibir: ¿details[] incluye planned y received?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Sí, ambos.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Devolver: ¿cambia a status=RETURNED?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Sí. El header pasa de RECEIVED a RETURNED.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Devolver: ¿details[] incluye las 4 cantidades?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Sí: quantity_planned, quantity_received, quantity_used, quantity_returned (+ observations).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Get bandeo por id: ¿requiere PDV abierto?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No. Funciona con o sin visita abierta.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Get bandeo por id: ¿details[] completo?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Sí: product_sku, las 4 cantidades, unit_of_measure, observations.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Bandeos por visita / Listado: ¿details[] completo?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Sí (mismos campos).</w:t>
            </w:r>
          </w:p>
        </w:tc>
      </w:tr>
    </w:tbl>
    <w:p>
      <w:pPr>
        <w:pStyle w:val="Heading1"/>
      </w:pPr>
      <w:r>
        <w:rPr>
          <w:color w:val="0D1E4C"/>
        </w:rPr>
        <w:t>5. Listar asistencias — filtro (corregido)</w:t>
      </w:r>
    </w:p>
    <w:p>
      <w:pPr>
        <w:spacing w:after="40"/>
      </w:pPr>
      <w:r>
        <w:rPr>
          <w:b/>
          <w:i w:val="0"/>
          <w:sz w:val="22"/>
        </w:rPr>
        <w:t>GET /trade/attendances:</w:t>
      </w:r>
    </w:p>
    <w:p>
      <w:pPr>
        <w:pStyle w:val="ListBullet"/>
      </w:pPr>
      <w:r>
        <w:t xml:space="preserve"> pos_id y user_id ahora son opcionales. El company_id ejecutor sigue siendo el tenant obligatorio, así que el listado siempre queda acotado a la compañía.</w:t>
      </w:r>
    </w:p>
    <w:p>
      <w:pPr>
        <w:pStyle w:val="ListBullet"/>
      </w:pPr>
      <w:r>
        <w:t xml:space="preserve"> se agregó el filtro client_company_id (opcional), que deriva directamente de la asistencia. Permite armar el reporte de rutas ejecutadas por compañía cliente en una sola llamada (evita los timeouts de llamar N veces).</w:t>
      </w:r>
    </w:p>
    <w:p>
      <w:pPr>
        <w:pStyle w:val="Heading1"/>
      </w:pPr>
      <w:r>
        <w:rPr>
          <w:color w:val="0D1E4C"/>
        </w:rPr>
        <w:t>6. Guía de pruebas sugerida</w:t>
      </w:r>
    </w:p>
    <w:p>
      <w:pPr>
        <w:spacing w:after="160"/>
      </w:pPr>
      <w:r>
        <w:rPr>
          <w:b w:val="0"/>
          <w:i/>
          <w:color w:val="5E6580"/>
          <w:sz w:val="20"/>
        </w:rPr>
        <w:t>Prerrequisito Postman: importar la colección V2.4 y configurar la variable de entorno client_company_id con la compañía cliente real (p. ej. 14, dueña de los productos/PDV). Los requests de reposiciones y bandeos ya envían client_company_id en el body; la promoción de prueba (bandeo) debe haberse creado bajo esa misma compañía cliente.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96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4320"/>
            <w:shd w:val="clear" w:fill="0D1E4C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 /replenishment/visit/{id}/report con SKU de la compañía cliente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Graba (antes: 404 "not found for company 1").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 /replenishment/visit/{id}/inventory con SKU de la compañía cliente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Graba el inventario.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 /replenishment/visit/{id}/reception con SKU de la compañía cliente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Graba la recepción.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POST /complementary/bandeo/plan con una promoción de la compañía cliente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Crea el bandeo PENDING y calcula quantity_planned por SKU.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Recibir -&gt; Devolver el bandeo planificado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Status PENDING -&gt; RECEIVED -&gt; RETURNED; details[] con las cantidades.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GET /trade/attendances solo con company_id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Devuelve todas las asistencias de la compañía.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GET /trade/attendances con company_id + client_company_id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Devuelve las asistencias de esa compañía cliente.</w:t>
            </w:r>
          </w:p>
        </w:tc>
      </w:tr>
    </w:tbl>
    <w:p>
      <w:pPr>
        <w:pStyle w:val="Heading1"/>
      </w:pPr>
      <w:r>
        <w:rPr>
          <w:color w:val="0D1E4C"/>
        </w:rPr>
        <w:t>7. Estado y próximos pasos</w:t>
      </w:r>
    </w:p>
    <w:p>
      <w:pPr>
        <w:pStyle w:val="ListBullet"/>
      </w:pPr>
      <w:r>
        <w:rPr>
          <w:b/>
        </w:rPr>
        <w:t>Correcciones (secciones 2, 3 y 5):</w:t>
      </w:r>
      <w:r>
        <w:t xml:space="preserve"> aplicadas y con las pruebas unitarias del servicio en verde. Pendiente el deploy del backend (lo realiza el equipo de BearSoft).</w:t>
      </w:r>
    </w:p>
    <w:p>
      <w:pPr>
        <w:pStyle w:val="ListBullet"/>
      </w:pPr>
      <w:r>
        <w:rPr>
          <w:b/>
        </w:rPr>
        <w:t>Consultas (sección 4):</w:t>
      </w:r>
      <w:r>
        <w:t xml:space="preserve"> sin cambios de código (comportamiento confirmado).</w:t>
      </w:r>
    </w:p>
    <w:p>
      <w:pPr>
        <w:pStyle w:val="ListBullet"/>
      </w:pPr>
      <w:r>
        <w:rPr>
          <w:b/>
        </w:rPr>
        <w:t>Requisito operativo:</w:t>
      </w:r>
      <w:r>
        <w:t xml:space="preserve"> las promociones deben crearse bajo la compañía cliente (dueña de los productos). Con eso, el circuito completo de Reposiciones y Bandeos queda funcional.</w:t>
      </w:r>
    </w:p>
    <w:p>
      <w:pPr>
        <w:spacing w:after="200"/>
      </w:pPr>
      <w:r>
        <w:rPr>
          <w:b w:val="0"/>
          <w:i w:val="0"/>
          <w:sz w:val="22"/>
        </w:rPr>
        <w:t>Quedamos atentos para coordinar el deploy y cerrar el módulo.</w:t>
      </w:r>
    </w:p>
    <w:p>
      <w:pPr>
        <w:spacing w:after="120"/>
        <w:jc w:val="center"/>
      </w:pPr>
      <w:r>
        <w:rPr>
          <w:b w:val="0"/>
          <w:i/>
          <w:color w:val="5E6580"/>
          <w:sz w:val="18"/>
        </w:rPr>
        <w:t>BearSoft · SmartDecisions — documento generado el 2026-08-04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