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3664D" w14:textId="77777777" w:rsidR="003D02F5" w:rsidRPr="00B84E70" w:rsidRDefault="00000000">
      <w:pPr>
        <w:spacing w:after="240"/>
        <w:jc w:val="center"/>
        <w:rPr>
          <w:lang w:val="en-US"/>
        </w:rPr>
      </w:pPr>
      <w:r w:rsidRPr="00B84E70">
        <w:rPr>
          <w:b/>
          <w:bCs/>
          <w:sz w:val="30"/>
          <w:szCs w:val="30"/>
          <w:lang w:val="en-US"/>
        </w:rPr>
        <w:t>Survey-Weighted Machine Learning for Prospective Stratification of High-Cost Patients: A Design-Based Pipeline with External Temporal Validation, Decision-Curve Analysis, and Subgroup Calibration in a Nationally Representative U.S. Cohort</w:t>
      </w:r>
    </w:p>
    <w:p w14:paraId="03286740" w14:textId="3E776F40" w:rsidR="003D02F5" w:rsidRDefault="00000000">
      <w:pPr>
        <w:spacing w:after="160" w:line="300" w:lineRule="auto"/>
        <w:jc w:val="center"/>
      </w:pPr>
      <w:r>
        <w:t xml:space="preserve">Rafael </w:t>
      </w:r>
      <w:r w:rsidR="00B84E70">
        <w:t xml:space="preserve">Alexandre </w:t>
      </w:r>
      <w:r>
        <w:t>dos Reis</w:t>
      </w:r>
    </w:p>
    <w:p w14:paraId="400DBC78" w14:textId="1F54C7A4" w:rsidR="003D02F5" w:rsidRDefault="00000000">
      <w:pPr>
        <w:spacing w:after="160" w:line="300" w:lineRule="auto"/>
        <w:jc w:val="center"/>
      </w:pPr>
      <w:r>
        <w:t xml:space="preserve">Independent </w:t>
      </w:r>
      <w:proofErr w:type="spellStart"/>
      <w:r>
        <w:t>Researcher</w:t>
      </w:r>
      <w:proofErr w:type="spellEnd"/>
      <w:r>
        <w:t xml:space="preserve">, Curitiba, </w:t>
      </w:r>
      <w:proofErr w:type="spellStart"/>
      <w:proofErr w:type="gramStart"/>
      <w:r>
        <w:t>Brazil</w:t>
      </w:r>
      <w:proofErr w:type="spellEnd"/>
      <w:r>
        <w:t xml:space="preserve">  |</w:t>
      </w:r>
      <w:proofErr w:type="gramEnd"/>
      <w:r>
        <w:t xml:space="preserve">  </w:t>
      </w:r>
      <w:proofErr w:type="spellStart"/>
      <w:r>
        <w:rPr>
          <w:b/>
          <w:bCs/>
        </w:rPr>
        <w:t>Corresponding</w:t>
      </w:r>
      <w:proofErr w:type="spellEnd"/>
      <w:r>
        <w:rPr>
          <w:b/>
          <w:bCs/>
        </w:rPr>
        <w:t xml:space="preserve"> </w:t>
      </w:r>
      <w:proofErr w:type="spellStart"/>
      <w:r>
        <w:rPr>
          <w:b/>
          <w:bCs/>
        </w:rPr>
        <w:t>author</w:t>
      </w:r>
      <w:proofErr w:type="spellEnd"/>
      <w:r>
        <w:rPr>
          <w:b/>
          <w:bCs/>
        </w:rPr>
        <w:t xml:space="preserve">: </w:t>
      </w:r>
      <w:r>
        <w:t xml:space="preserve">Rafael </w:t>
      </w:r>
      <w:r w:rsidR="00B84E70">
        <w:t xml:space="preserve">Alexandre </w:t>
      </w:r>
      <w:r>
        <w:t>dos Reis, rafreis2@gmail.com</w:t>
      </w:r>
    </w:p>
    <w:p w14:paraId="6A04269A" w14:textId="77777777" w:rsidR="003D02F5" w:rsidRPr="00B84E70" w:rsidRDefault="00000000">
      <w:pPr>
        <w:spacing w:after="160" w:line="300" w:lineRule="auto"/>
        <w:jc w:val="center"/>
        <w:rPr>
          <w:lang w:val="en-US"/>
        </w:rPr>
      </w:pPr>
      <w:r w:rsidRPr="00B84E70">
        <w:rPr>
          <w:b/>
          <w:bCs/>
          <w:lang w:val="en-US"/>
        </w:rPr>
        <w:t xml:space="preserve">Funding: </w:t>
      </w:r>
      <w:r w:rsidRPr="00B84E70">
        <w:rPr>
          <w:lang w:val="en-US"/>
        </w:rPr>
        <w:t xml:space="preserve">None. </w:t>
      </w:r>
      <w:r w:rsidRPr="00B84E70">
        <w:rPr>
          <w:b/>
          <w:bCs/>
          <w:lang w:val="en-US"/>
        </w:rPr>
        <w:t xml:space="preserve">Conflicts of interest: </w:t>
      </w:r>
      <w:r w:rsidRPr="00B84E70">
        <w:rPr>
          <w:lang w:val="en-US"/>
        </w:rPr>
        <w:t>The author declares no competing interests.</w:t>
      </w:r>
    </w:p>
    <w:p w14:paraId="3C49DF13" w14:textId="77777777" w:rsidR="003D02F5" w:rsidRPr="00B84E70" w:rsidRDefault="00000000">
      <w:pPr>
        <w:rPr>
          <w:lang w:val="en-US"/>
        </w:rPr>
      </w:pPr>
      <w:r w:rsidRPr="00B84E70">
        <w:rPr>
          <w:lang w:val="en-US"/>
        </w:rPr>
        <w:br w:type="page"/>
      </w:r>
    </w:p>
    <w:p w14:paraId="78FFC2C7" w14:textId="77777777" w:rsidR="003D02F5" w:rsidRPr="00B84E70" w:rsidRDefault="00000000">
      <w:pPr>
        <w:pStyle w:val="Heading1"/>
        <w:spacing w:before="260" w:after="120"/>
        <w:rPr>
          <w:lang w:val="en-US"/>
        </w:rPr>
      </w:pPr>
      <w:r w:rsidRPr="00B84E70">
        <w:rPr>
          <w:b/>
          <w:bCs/>
          <w:sz w:val="26"/>
          <w:szCs w:val="26"/>
          <w:lang w:val="en-US"/>
        </w:rPr>
        <w:lastRenderedPageBreak/>
        <w:t>Abstract</w:t>
      </w:r>
    </w:p>
    <w:p w14:paraId="06E03532" w14:textId="77777777" w:rsidR="003D02F5" w:rsidRPr="00B84E70" w:rsidRDefault="00000000">
      <w:pPr>
        <w:spacing w:after="160" w:line="300" w:lineRule="auto"/>
        <w:jc w:val="both"/>
        <w:rPr>
          <w:lang w:val="en-US"/>
        </w:rPr>
      </w:pPr>
      <w:r w:rsidRPr="00B84E70">
        <w:rPr>
          <w:lang w:val="en-US"/>
        </w:rPr>
        <w:t>Background. A small minority of patients accounts for most healthcare spending, so identifying them prospectively from routinely available data is central to precision-medicine care management. Existing high-cost prediction models are frequently at high risk of bias: they treat complex population samples as if simple random, are seldom validated externally, and rarely audit equity. These shortcomings matter because cost-based targeting can reproduce structural bias.</w:t>
      </w:r>
      <w:r w:rsidRPr="00B84E70">
        <w:rPr>
          <w:vertAlign w:val="superscript"/>
          <w:lang w:val="en-US"/>
        </w:rPr>
        <w:t>1,2</w:t>
      </w:r>
      <w:r w:rsidRPr="00B84E70">
        <w:rPr>
          <w:lang w:val="en-US"/>
        </w:rPr>
        <w:t xml:space="preserve"> </w:t>
      </w:r>
    </w:p>
    <w:p w14:paraId="62657E07" w14:textId="77777777" w:rsidR="003D02F5" w:rsidRPr="00B84E70" w:rsidRDefault="00000000">
      <w:pPr>
        <w:spacing w:after="160" w:line="300" w:lineRule="auto"/>
        <w:jc w:val="both"/>
        <w:rPr>
          <w:lang w:val="en-US"/>
        </w:rPr>
      </w:pPr>
      <w:r w:rsidRPr="00B84E70">
        <w:rPr>
          <w:lang w:val="en-US"/>
        </w:rPr>
        <w:t xml:space="preserve">Methods. In the Medical Expenditure Panel Survey (MEPS) two-year longitudinal panels, we predicted membership in the population-weighted top decile of year-2 total expenditure from year-1 features only. The complex survey design (longitudinal weights, strata, primary sampling units) was </w:t>
      </w:r>
      <w:proofErr w:type="gramStart"/>
      <w:r w:rsidRPr="00B84E70">
        <w:rPr>
          <w:lang w:val="en-US"/>
        </w:rPr>
        <w:t>carried</w:t>
      </w:r>
      <w:proofErr w:type="gramEnd"/>
      <w:r w:rsidRPr="00B84E70">
        <w:rPr>
          <w:lang w:val="en-US"/>
        </w:rPr>
        <w:t xml:space="preserve"> through every step. Predictors were chosen by a fully design-based pipeline: weighted filters, a Rao–Scott Wald screen, and a survey-weighted LASSO, yielding 62 features. A survey-weighted gradient-boosted model was developed on panels 21–23 (2016–2019) and validated on non-overlapping panels 26–27 (2021–2023), with the COVID-disrupted intervening panels excluded. We assessed discrimination (design-based cluster-bootstrap confidence intervals), calibration, SHAP explanations, decision-curve analysis against a prior-year-cost benchmark, subgroup calibration by income and race/ethnicity, and concordance with preventable (AHRQ Prevention Quality Indicator) hospitalizations. </w:t>
      </w:r>
    </w:p>
    <w:p w14:paraId="6AA0BB97" w14:textId="77777777" w:rsidR="003D02F5" w:rsidRPr="00B84E70" w:rsidRDefault="00000000">
      <w:pPr>
        <w:spacing w:after="160" w:line="300" w:lineRule="auto"/>
        <w:jc w:val="both"/>
        <w:rPr>
          <w:lang w:val="en-US"/>
        </w:rPr>
      </w:pPr>
      <w:r w:rsidRPr="00B84E70">
        <w:rPr>
          <w:lang w:val="en-US"/>
        </w:rPr>
        <w:t>Results. Development and validation cohorts comprised 44,225 and 15,033 persons (</w:t>
      </w:r>
      <w:proofErr w:type="gramStart"/>
      <w:r w:rsidRPr="00B84E70">
        <w:rPr>
          <w:lang w:val="en-US"/>
        </w:rPr>
        <w:t>weighted</w:t>
      </w:r>
      <w:proofErr w:type="gramEnd"/>
      <w:r w:rsidRPr="00B84E70">
        <w:rPr>
          <w:lang w:val="en-US"/>
        </w:rPr>
        <w:t xml:space="preserve"> average-annual populations 330 and 338 million). External discrimination was strong and temporally stable (weighted AUC 0.857, 95% CI 0.842–0.869; panel 26, 0.856; panel 27, 0.857), exceeding </w:t>
      </w:r>
      <w:proofErr w:type="spellStart"/>
      <w:r w:rsidRPr="00B84E70">
        <w:rPr>
          <w:lang w:val="en-US"/>
        </w:rPr>
        <w:t>XGBoost</w:t>
      </w:r>
      <w:proofErr w:type="spellEnd"/>
      <w:r w:rsidRPr="00B84E70">
        <w:rPr>
          <w:lang w:val="en-US"/>
        </w:rPr>
        <w:t xml:space="preserve"> (0.851), survey logistic regression (0.846), and prior-year cost (0.813); calibration was close to ideal (slope 0.93). Flagging the top decile of predicted risk captured 48.9% of future high-cost patients. Net benefit exceeded the prior-cost benchmark across the actionable threshold range (paired difference at a 10% threshold, 0.0089; 95% CI 0.0067–0.0111). Subgroup calibration was broadly stable, with predicted risks close to observed in every group, while discrimination varied modestly (AUC 0.84–0.91 across income; 0.84–0.89 across race/ethnicity). Two-thirds of preventable heart-failure or COPD hospitalizations occurred in the top-cost decile (risk ratio 17.6); among persons not previously high-cost, discrimination for incident high-cost was 0.80. </w:t>
      </w:r>
    </w:p>
    <w:p w14:paraId="33498305" w14:textId="77777777" w:rsidR="003D02F5" w:rsidRPr="00B84E70" w:rsidRDefault="00000000">
      <w:pPr>
        <w:spacing w:after="160" w:line="300" w:lineRule="auto"/>
        <w:jc w:val="both"/>
        <w:rPr>
          <w:lang w:val="en-US"/>
        </w:rPr>
      </w:pPr>
      <w:r w:rsidRPr="00B84E70">
        <w:rPr>
          <w:lang w:val="en-US"/>
        </w:rPr>
        <w:t>Conclusions. A transparent, externally validated, survey-weighted model stratifies high-cost patients with strong discrimination, stable subgroup calibration, and demonstrable clinical utility, supporting design-aware precision-medicine prediction.</w:t>
      </w:r>
    </w:p>
    <w:p w14:paraId="263437A0" w14:textId="77777777" w:rsidR="003D02F5" w:rsidRPr="00B84E70" w:rsidRDefault="00000000">
      <w:pPr>
        <w:spacing w:after="160" w:line="300" w:lineRule="auto"/>
        <w:jc w:val="both"/>
        <w:rPr>
          <w:lang w:val="en-US"/>
        </w:rPr>
      </w:pPr>
      <w:r w:rsidRPr="00B84E70">
        <w:rPr>
          <w:b/>
          <w:bCs/>
          <w:lang w:val="en-US"/>
        </w:rPr>
        <w:t xml:space="preserve">Keywords: </w:t>
      </w:r>
      <w:r w:rsidRPr="00B84E70">
        <w:rPr>
          <w:lang w:val="en-US"/>
        </w:rPr>
        <w:t>precision medicine; patient stratification; high-cost patients; machine learning; complex survey data; decision curve analysis</w:t>
      </w:r>
    </w:p>
    <w:p w14:paraId="3C46C2AD" w14:textId="77777777" w:rsidR="003D02F5" w:rsidRPr="00B84E70" w:rsidRDefault="00000000">
      <w:pPr>
        <w:rPr>
          <w:lang w:val="en-US"/>
        </w:rPr>
      </w:pPr>
      <w:r w:rsidRPr="00B84E70">
        <w:rPr>
          <w:lang w:val="en-US"/>
        </w:rPr>
        <w:br w:type="page"/>
      </w:r>
    </w:p>
    <w:p w14:paraId="01A7409E" w14:textId="77777777" w:rsidR="003D02F5" w:rsidRPr="00B84E70" w:rsidRDefault="00000000">
      <w:pPr>
        <w:pStyle w:val="Heading1"/>
        <w:spacing w:before="260" w:after="120"/>
        <w:rPr>
          <w:lang w:val="en-US"/>
        </w:rPr>
      </w:pPr>
      <w:r w:rsidRPr="00B84E70">
        <w:rPr>
          <w:b/>
          <w:bCs/>
          <w:sz w:val="26"/>
          <w:szCs w:val="26"/>
          <w:lang w:val="en-US"/>
        </w:rPr>
        <w:lastRenderedPageBreak/>
        <w:t>1. Introduction</w:t>
      </w:r>
    </w:p>
    <w:p w14:paraId="086691BE" w14:textId="77777777" w:rsidR="003D02F5" w:rsidRPr="00B84E70" w:rsidRDefault="00000000">
      <w:pPr>
        <w:spacing w:after="160" w:line="300" w:lineRule="auto"/>
        <w:jc w:val="both"/>
        <w:rPr>
          <w:lang w:val="en-US"/>
        </w:rPr>
      </w:pPr>
      <w:r w:rsidRPr="00B84E70">
        <w:rPr>
          <w:lang w:val="en-US"/>
        </w:rPr>
        <w:t>Healthcare expenditure is highly concentrated: across health systems the costliest decile of patients typically accounts for roughly half of all spending.</w:t>
      </w:r>
      <w:r w:rsidRPr="00B84E70">
        <w:rPr>
          <w:vertAlign w:val="superscript"/>
          <w:lang w:val="en-US"/>
        </w:rPr>
        <w:t>3</w:t>
      </w:r>
      <w:r w:rsidRPr="00B84E70">
        <w:rPr>
          <w:lang w:val="en-US"/>
        </w:rPr>
        <w:t xml:space="preserve"> Because that spending is dominated by a small, identifiable group, prospectively flagging high-cost, high-need individuals before costs accrue is a foundational task for precision-medicine care management, which allows scarce, personalized interventions such as intensive case management, medication reconciliation, transitional care, and targeted prevention to be directed to the patients most likely to benefit.</w:t>
      </w:r>
      <w:r w:rsidRPr="00B84E70">
        <w:rPr>
          <w:vertAlign w:val="superscript"/>
          <w:lang w:val="en-US"/>
        </w:rPr>
        <w:t>4</w:t>
      </w:r>
      <w:r w:rsidRPr="00B84E70">
        <w:rPr>
          <w:lang w:val="en-US"/>
        </w:rPr>
        <w:t xml:space="preserve"> The operational value of such stratification depends on more than discrimination alone. A deployable model must be well calibrated so that individual risks can be trusted, must demonstrate decision-analytic benefit over the simple heuristics a health system already uses, and must perform equitably across the sociodemographic groups it serves.</w:t>
      </w:r>
    </w:p>
    <w:p w14:paraId="61F1DD2C" w14:textId="77777777" w:rsidR="003D02F5" w:rsidRPr="00B84E70" w:rsidRDefault="00000000">
      <w:pPr>
        <w:spacing w:after="160" w:line="300" w:lineRule="auto"/>
        <w:jc w:val="both"/>
        <w:rPr>
          <w:lang w:val="en-US"/>
        </w:rPr>
      </w:pPr>
      <w:r w:rsidRPr="00B84E70">
        <w:rPr>
          <w:lang w:val="en-US"/>
        </w:rPr>
        <w:t>Machine-learning models for high-cost prediction have proliferated, but their translational credibility is limited by recurrent methodological weaknesses. A systematic review of prediction models for future high-need high-cost care found that a large majority were at high risk of bias, with common deficiencies in sample handling, validation, and reporting.</w:t>
      </w:r>
      <w:r w:rsidRPr="00B84E70">
        <w:rPr>
          <w:vertAlign w:val="superscript"/>
          <w:lang w:val="en-US"/>
        </w:rPr>
        <w:t>1</w:t>
      </w:r>
      <w:r w:rsidRPr="00B84E70">
        <w:rPr>
          <w:lang w:val="en-US"/>
        </w:rPr>
        <w:t xml:space="preserve"> Three gaps are especially consequential for population data. First, surveys such as MEPS arise from a complex sample design, with unequal selection probabilities, stratification, and clustering, that must be propagated through estimation to recover population-representative risks; ignoring the design inflates apparent performance and biases the </w:t>
      </w:r>
      <w:proofErr w:type="spellStart"/>
      <w:r w:rsidRPr="00B84E70">
        <w:rPr>
          <w:lang w:val="en-US"/>
        </w:rPr>
        <w:t>estimand</w:t>
      </w:r>
      <w:proofErr w:type="spellEnd"/>
      <w:r w:rsidRPr="00B84E70">
        <w:rPr>
          <w:lang w:val="en-US"/>
        </w:rPr>
        <w:t>, and the problem is not resolved simply by using a flexible learner.</w:t>
      </w:r>
      <w:r w:rsidRPr="00B84E70">
        <w:rPr>
          <w:vertAlign w:val="superscript"/>
          <w:lang w:val="en-US"/>
        </w:rPr>
        <w:t>5,6</w:t>
      </w:r>
      <w:r w:rsidRPr="00B84E70">
        <w:rPr>
          <w:lang w:val="en-US"/>
        </w:rPr>
        <w:t xml:space="preserve"> Second, many models report only internally cross-validated performance, which does not establish transportability to a later period or setting; contemporary guidance treats a dedicated external validation as a distinct and essential study.</w:t>
      </w:r>
      <w:r w:rsidRPr="00B84E70">
        <w:rPr>
          <w:vertAlign w:val="superscript"/>
          <w:lang w:val="en-US"/>
        </w:rPr>
        <w:t>7</w:t>
      </w:r>
      <w:r w:rsidRPr="00B84E70">
        <w:rPr>
          <w:lang w:val="en-US"/>
        </w:rPr>
        <w:t xml:space="preserve"> Third, equity is rarely examined, despite the demonstration that an algorithm using cost as a label can systematically under-serve Black patients because cost is an imperfect proxy for need.</w:t>
      </w:r>
      <w:r w:rsidRPr="00B84E70">
        <w:rPr>
          <w:vertAlign w:val="superscript"/>
          <w:lang w:val="en-US"/>
        </w:rPr>
        <w:t>2</w:t>
      </w:r>
      <w:r w:rsidRPr="00B84E70">
        <w:rPr>
          <w:lang w:val="en-US"/>
        </w:rPr>
        <w:t xml:space="preserve"> A cost-targeting model that is not audited for subgroup calibration risks encoding this bias.</w:t>
      </w:r>
    </w:p>
    <w:p w14:paraId="16BEBA57" w14:textId="77777777" w:rsidR="003D02F5" w:rsidRPr="00B84E70" w:rsidRDefault="00000000">
      <w:pPr>
        <w:spacing w:after="160" w:line="300" w:lineRule="auto"/>
        <w:jc w:val="both"/>
        <w:rPr>
          <w:lang w:val="en-US"/>
        </w:rPr>
      </w:pPr>
      <w:r w:rsidRPr="00B84E70">
        <w:rPr>
          <w:lang w:val="en-US"/>
        </w:rPr>
        <w:t xml:space="preserve">The </w:t>
      </w:r>
      <w:proofErr w:type="spellStart"/>
      <w:r w:rsidRPr="00B84E70">
        <w:rPr>
          <w:lang w:val="en-US"/>
        </w:rPr>
        <w:t>estimand</w:t>
      </w:r>
      <w:proofErr w:type="spellEnd"/>
      <w:r w:rsidRPr="00B84E70">
        <w:rPr>
          <w:lang w:val="en-US"/>
        </w:rPr>
        <w:t xml:space="preserve"> itself has direct precedent. Fleishman and Cohen used the MEPS two-year panels to predict membership in the upper expenditure decile in year 2 from year-1 information, with an earlier development cohort and a later validation cohort, using logistic regression with diagnostic cost-group risk scores.</w:t>
      </w:r>
      <w:r w:rsidRPr="00B84E70">
        <w:rPr>
          <w:vertAlign w:val="superscript"/>
          <w:lang w:val="en-US"/>
        </w:rPr>
        <w:t>8</w:t>
      </w:r>
      <w:r w:rsidRPr="00B84E70">
        <w:rPr>
          <w:lang w:val="en-US"/>
        </w:rPr>
        <w:t xml:space="preserve"> Our contribution lies in how that task is estimated and evaluated: design-consistent survey-weighted machine learning in place of unweighted logistic regression; an external validation conducted as a distinct study across the COVID-19 shock rather than a later split of the same era; decision-curve analysis against the prior-cost heuristic; and subgroup calibration reported as a primary output rather than a post hoc check. Recent ensemble-ML work has begun to pair high-usage prediction with temporal validation and economic-impact analysis under TRIPOD+AI, which signals that clinical-utility framing is now expected in this space, although that study used a disease-registry cohort and did not perform decision-curve analysis.</w:t>
      </w:r>
      <w:r w:rsidRPr="00B84E70">
        <w:rPr>
          <w:vertAlign w:val="superscript"/>
          <w:lang w:val="en-US"/>
        </w:rPr>
        <w:t>9</w:t>
      </w:r>
    </w:p>
    <w:p w14:paraId="2DFF5334" w14:textId="77777777" w:rsidR="003D02F5" w:rsidRPr="00B84E70" w:rsidRDefault="00000000">
      <w:pPr>
        <w:spacing w:after="160" w:line="300" w:lineRule="auto"/>
        <w:jc w:val="both"/>
        <w:rPr>
          <w:lang w:val="en-US"/>
        </w:rPr>
      </w:pPr>
      <w:r w:rsidRPr="00B84E70">
        <w:rPr>
          <w:lang w:val="en-US"/>
        </w:rPr>
        <w:t xml:space="preserve">We therefore address these gaps in a single, reproducible study designed around the survey structure rather than ignoring it. Using the MEPS two-year longitudinal panels, we predict membership in the population-weighted top decile of next-year total expenditure from year-1 features alone, carrying the longitudinal weight, strata, and primary sampling units through feature selection, model training, calibration, uncertainty quantification, and every subgroup estimate. We </w:t>
      </w:r>
      <w:proofErr w:type="gramStart"/>
      <w:r w:rsidRPr="00B84E70">
        <w:rPr>
          <w:lang w:val="en-US"/>
        </w:rPr>
        <w:t>validate on</w:t>
      </w:r>
      <w:proofErr w:type="gramEnd"/>
      <w:r w:rsidRPr="00B84E70">
        <w:rPr>
          <w:lang w:val="en-US"/>
        </w:rPr>
        <w:t xml:space="preserve"> non-overlapping, post-pandemic panels; benchmark decision-analytic utility against prior-year cost; audit discrimination and calibration across </w:t>
      </w:r>
      <w:r w:rsidRPr="00B84E70">
        <w:rPr>
          <w:lang w:val="en-US"/>
        </w:rPr>
        <w:lastRenderedPageBreak/>
        <w:t>income and race/ethnicity; and, as a clinically anchored secondary analysis, test whether the high-cost group concentrates ambulatory-care-sensitive hospitalizations. Reporting follows TRIPOD+AI.</w:t>
      </w:r>
      <w:r w:rsidRPr="00B84E70">
        <w:rPr>
          <w:vertAlign w:val="superscript"/>
          <w:lang w:val="en-US"/>
        </w:rPr>
        <w:t>10</w:t>
      </w:r>
    </w:p>
    <w:p w14:paraId="3727C330" w14:textId="77777777" w:rsidR="003D02F5" w:rsidRPr="00B84E70" w:rsidRDefault="00000000">
      <w:pPr>
        <w:pStyle w:val="Heading1"/>
        <w:spacing w:before="260" w:after="120"/>
        <w:rPr>
          <w:lang w:val="en-US"/>
        </w:rPr>
      </w:pPr>
      <w:r w:rsidRPr="00B84E70">
        <w:rPr>
          <w:b/>
          <w:bCs/>
          <w:sz w:val="26"/>
          <w:szCs w:val="26"/>
          <w:lang w:val="en-US"/>
        </w:rPr>
        <w:t>2. Methods</w:t>
      </w:r>
    </w:p>
    <w:p w14:paraId="0B77E55A" w14:textId="77777777" w:rsidR="003D02F5" w:rsidRPr="00B84E70" w:rsidRDefault="00000000">
      <w:pPr>
        <w:pStyle w:val="Heading2"/>
        <w:spacing w:before="160" w:after="80"/>
        <w:rPr>
          <w:lang w:val="en-US"/>
        </w:rPr>
      </w:pPr>
      <w:r w:rsidRPr="00B84E70">
        <w:rPr>
          <w:b/>
          <w:bCs/>
          <w:i/>
          <w:iCs/>
          <w:sz w:val="23"/>
          <w:szCs w:val="23"/>
          <w:lang w:val="en-US"/>
        </w:rPr>
        <w:t>2.1 Data source and study design</w:t>
      </w:r>
    </w:p>
    <w:p w14:paraId="11A66A2A" w14:textId="77777777" w:rsidR="003D02F5" w:rsidRPr="00B84E70" w:rsidRDefault="00000000">
      <w:pPr>
        <w:spacing w:after="160" w:line="300" w:lineRule="auto"/>
        <w:jc w:val="both"/>
        <w:rPr>
          <w:lang w:val="en-US"/>
        </w:rPr>
      </w:pPr>
      <w:r w:rsidRPr="00B84E70">
        <w:rPr>
          <w:lang w:val="en-US"/>
        </w:rPr>
        <w:t>MEPS is a nationally representative survey of the U.S. civilian non-institutionalized population conducted by the Agency for Healthcare Research and Quality; each two-year longitudinal panel follows a cohort across five interview rounds and is released with a single longitudinal weight linking both calendar years.</w:t>
      </w:r>
      <w:r w:rsidRPr="00B84E70">
        <w:rPr>
          <w:vertAlign w:val="superscript"/>
          <w:lang w:val="en-US"/>
        </w:rPr>
        <w:t>11</w:t>
      </w:r>
      <w:r w:rsidRPr="00B84E70">
        <w:rPr>
          <w:lang w:val="en-US"/>
        </w:rPr>
        <w:t xml:space="preserve"> The model was developed on panels 21–23 (2016–2019) and validated on panels 26–27 (2021–2023). Panels 24 and 25 (extended by AHRQ to four years because of pandemic-related field disruptions) occupy the gap between the development and validation windows and were excluded, producing a clean, non-overlapping temporal split that also straddles the COVID-19 shock as a stringent test of transportability. We used the two-year Panel 23 file rather than its four-year extension, whose longitudinal weight targets a different population.</w:t>
      </w:r>
    </w:p>
    <w:p w14:paraId="38439723" w14:textId="77777777" w:rsidR="003D02F5" w:rsidRPr="00B84E70" w:rsidRDefault="00000000">
      <w:pPr>
        <w:pStyle w:val="Heading2"/>
        <w:spacing w:before="160" w:after="80"/>
        <w:rPr>
          <w:lang w:val="en-US"/>
        </w:rPr>
      </w:pPr>
      <w:r w:rsidRPr="00B84E70">
        <w:rPr>
          <w:b/>
          <w:bCs/>
          <w:i/>
          <w:iCs/>
          <w:sz w:val="23"/>
          <w:szCs w:val="23"/>
          <w:lang w:val="en-US"/>
        </w:rPr>
        <w:t xml:space="preserve">2.2 </w:t>
      </w:r>
      <w:proofErr w:type="spellStart"/>
      <w:r w:rsidRPr="00B84E70">
        <w:rPr>
          <w:b/>
          <w:bCs/>
          <w:i/>
          <w:iCs/>
          <w:sz w:val="23"/>
          <w:szCs w:val="23"/>
          <w:lang w:val="en-US"/>
        </w:rPr>
        <w:t>Estimand</w:t>
      </w:r>
      <w:proofErr w:type="spellEnd"/>
      <w:r w:rsidRPr="00B84E70">
        <w:rPr>
          <w:b/>
          <w:bCs/>
          <w:i/>
          <w:iCs/>
          <w:sz w:val="23"/>
          <w:szCs w:val="23"/>
          <w:lang w:val="en-US"/>
        </w:rPr>
        <w:t>, outcome, and leakage control</w:t>
      </w:r>
    </w:p>
    <w:p w14:paraId="1409F74E" w14:textId="77777777" w:rsidR="003D02F5" w:rsidRPr="00B84E70" w:rsidRDefault="00000000">
      <w:pPr>
        <w:spacing w:after="160" w:line="300" w:lineRule="auto"/>
        <w:jc w:val="both"/>
        <w:rPr>
          <w:lang w:val="en-US"/>
        </w:rPr>
      </w:pPr>
      <w:r w:rsidRPr="00B84E70">
        <w:rPr>
          <w:lang w:val="en-US"/>
        </w:rPr>
        <w:t xml:space="preserve">The target </w:t>
      </w:r>
      <w:proofErr w:type="spellStart"/>
      <w:r w:rsidRPr="00B84E70">
        <w:rPr>
          <w:lang w:val="en-US"/>
        </w:rPr>
        <w:t>estimand</w:t>
      </w:r>
      <w:proofErr w:type="spellEnd"/>
      <w:r w:rsidRPr="00B84E70">
        <w:rPr>
          <w:lang w:val="en-US"/>
        </w:rPr>
        <w:t xml:space="preserve"> is population-level: membership in the survey-weighted 90th percentile of year-2 total expenditure. We estimated the threshold separately within each panel using the design-based weighted quantile,</w:t>
      </w:r>
      <w:r w:rsidRPr="00B84E70">
        <w:rPr>
          <w:vertAlign w:val="superscript"/>
          <w:lang w:val="en-US"/>
        </w:rPr>
        <w:t>12</w:t>
      </w:r>
      <w:r w:rsidRPr="00B84E70">
        <w:rPr>
          <w:lang w:val="en-US"/>
        </w:rPr>
        <w:t xml:space="preserve"> so that secular growth in healthcare prices does not distort the meaning of the top decile across a seven-year span; by construction the weighted event rate was 10.0% in every panel. All predictors were drawn from year 1, and an automated firewall excluded any variable derived from year 2, including year-2 expenditure, from the feature set, enforcing strict temporal separation between predictors and outcome.</w:t>
      </w:r>
    </w:p>
    <w:p w14:paraId="5D6119CA" w14:textId="77777777" w:rsidR="003D02F5" w:rsidRPr="00B84E70" w:rsidRDefault="00000000">
      <w:pPr>
        <w:pStyle w:val="Heading2"/>
        <w:spacing w:before="160" w:after="80"/>
        <w:rPr>
          <w:lang w:val="en-US"/>
        </w:rPr>
      </w:pPr>
      <w:r w:rsidRPr="00B84E70">
        <w:rPr>
          <w:b/>
          <w:bCs/>
          <w:i/>
          <w:iCs/>
          <w:sz w:val="23"/>
          <w:szCs w:val="23"/>
          <w:lang w:val="en-US"/>
        </w:rPr>
        <w:t>2.3 Carrying the survey design through the pipeline</w:t>
      </w:r>
    </w:p>
    <w:p w14:paraId="71274BE6" w14:textId="77777777" w:rsidR="003D02F5" w:rsidRPr="00B84E70" w:rsidRDefault="00000000">
      <w:pPr>
        <w:spacing w:after="160" w:line="300" w:lineRule="auto"/>
        <w:jc w:val="both"/>
        <w:rPr>
          <w:lang w:val="en-US"/>
        </w:rPr>
      </w:pPr>
      <w:r w:rsidRPr="00B84E70">
        <w:rPr>
          <w:lang w:val="en-US"/>
        </w:rPr>
        <w:t>Every estimate used the longitudinal person weight with the variance stratum and primary sampling unit via Taylor-series linearization. Rather than treating the design as a nuisance, we integrated it into each analytic step. This choice is grounded in two literatures: weighted (design-consistent) estimation targets the finite-population risk and, for tree ensembles specifically, unweighted fitting has been shown to inflate performance relative to the population model;</w:t>
      </w:r>
      <w:r w:rsidRPr="00B84E70">
        <w:rPr>
          <w:vertAlign w:val="superscript"/>
          <w:lang w:val="en-US"/>
        </w:rPr>
        <w:t>5,13</w:t>
      </w:r>
      <w:r w:rsidRPr="00B84E70">
        <w:rPr>
          <w:lang w:val="en-US"/>
        </w:rPr>
        <w:t xml:space="preserve"> and recent syntheses of tree-based methods for survey data motivate weighted splitting, design-aware resampling, and cluster-respecting validation as the appropriate defaults.</w:t>
      </w:r>
      <w:r w:rsidRPr="00B84E70">
        <w:rPr>
          <w:vertAlign w:val="superscript"/>
          <w:lang w:val="en-US"/>
        </w:rPr>
        <w:t>6</w:t>
      </w:r>
    </w:p>
    <w:p w14:paraId="0B979784" w14:textId="77777777" w:rsidR="003D02F5" w:rsidRPr="00B84E70" w:rsidRDefault="00000000">
      <w:pPr>
        <w:pStyle w:val="Heading2"/>
        <w:spacing w:before="160" w:after="80"/>
        <w:rPr>
          <w:lang w:val="en-US"/>
        </w:rPr>
      </w:pPr>
      <w:r w:rsidRPr="00B84E70">
        <w:rPr>
          <w:b/>
          <w:bCs/>
          <w:i/>
          <w:iCs/>
          <w:sz w:val="23"/>
          <w:szCs w:val="23"/>
          <w:lang w:val="en-US"/>
        </w:rPr>
        <w:t>2.4 Design-based feature selection</w:t>
      </w:r>
    </w:p>
    <w:p w14:paraId="519C583A" w14:textId="77777777" w:rsidR="003D02F5" w:rsidRPr="00B84E70" w:rsidRDefault="00000000">
      <w:pPr>
        <w:spacing w:after="160" w:line="300" w:lineRule="auto"/>
        <w:jc w:val="both"/>
        <w:rPr>
          <w:lang w:val="en-US"/>
        </w:rPr>
      </w:pPr>
      <w:r w:rsidRPr="00B84E70">
        <w:rPr>
          <w:lang w:val="en-US"/>
        </w:rPr>
        <w:t>From 685 year-1 variables common to all five panels we applied a pre-specified, transparent selection pipeline. A structural exclusion first removed identifiers, edit and imputation flags, source-of-payment decompositions of prior spending, month-by-payer coverage cells, and disaggregated income items, while an allowlist admitted round-1 and round-2 self-reported health and functional-limitation constructs (their round-3 to round-5 counterparts were excluded because they postdate the predictor year), leaving 176 candidates. Weighted filters (missingness ≤40%, weighted near-zero variance, and pairwise |</w:t>
      </w:r>
      <w:r>
        <w:t>ρ</w:t>
      </w:r>
      <w:r w:rsidRPr="00B84E70">
        <w:rPr>
          <w:lang w:val="en-US"/>
        </w:rPr>
        <w:t>|≤0.90) reduced these to 79; a design-based Rao–Scott Wald screen removed variables without a weighted univariable association (p≥0.157),</w:t>
      </w:r>
      <w:r w:rsidRPr="00B84E70">
        <w:rPr>
          <w:vertAlign w:val="superscript"/>
          <w:lang w:val="en-US"/>
        </w:rPr>
        <w:t>14,15</w:t>
      </w:r>
      <w:r w:rsidRPr="00B84E70">
        <w:rPr>
          <w:lang w:val="en-US"/>
        </w:rPr>
        <w:t xml:space="preserve"> leaving 72; and a survey-weighted LASSO with design-based cross-validation produced the final set of 62 features.</w:t>
      </w:r>
      <w:r w:rsidRPr="00B84E70">
        <w:rPr>
          <w:vertAlign w:val="superscript"/>
          <w:lang w:val="en-US"/>
        </w:rPr>
        <w:t>16</w:t>
      </w:r>
      <w:r w:rsidRPr="00B84E70">
        <w:rPr>
          <w:lang w:val="en-US"/>
        </w:rPr>
        <w:t xml:space="preserve"> We did not use Boruta as the primary selector because its </w:t>
      </w:r>
      <w:r w:rsidRPr="00B84E70">
        <w:rPr>
          <w:lang w:val="en-US"/>
        </w:rPr>
        <w:lastRenderedPageBreak/>
        <w:t>permutation test presumes independent observations and is not valid under stratified, clustered, weighted sampling; it was retained only as a labelled sensitivity analysis.</w:t>
      </w:r>
      <w:r w:rsidRPr="00B84E70">
        <w:rPr>
          <w:vertAlign w:val="superscript"/>
          <w:lang w:val="en-US"/>
        </w:rPr>
        <w:t>17</w:t>
      </w:r>
    </w:p>
    <w:p w14:paraId="75F18887" w14:textId="77777777" w:rsidR="003D02F5" w:rsidRPr="00B84E70" w:rsidRDefault="00000000">
      <w:pPr>
        <w:pStyle w:val="Heading2"/>
        <w:spacing w:before="160" w:after="80"/>
        <w:rPr>
          <w:lang w:val="en-US"/>
        </w:rPr>
      </w:pPr>
      <w:r w:rsidRPr="00B84E70">
        <w:rPr>
          <w:b/>
          <w:bCs/>
          <w:i/>
          <w:iCs/>
          <w:sz w:val="23"/>
          <w:szCs w:val="23"/>
          <w:lang w:val="en-US"/>
        </w:rPr>
        <w:t>2.5 Model development and comparators</w:t>
      </w:r>
    </w:p>
    <w:p w14:paraId="4E0F8C9E" w14:textId="77777777" w:rsidR="003D02F5" w:rsidRPr="00B84E70" w:rsidRDefault="00000000">
      <w:pPr>
        <w:spacing w:after="160" w:line="300" w:lineRule="auto"/>
        <w:jc w:val="both"/>
        <w:rPr>
          <w:lang w:val="en-US"/>
        </w:rPr>
      </w:pPr>
      <w:r w:rsidRPr="00B84E70">
        <w:rPr>
          <w:lang w:val="en-US"/>
        </w:rPr>
        <w:t>The primary learner was a gradient-boosted decision-tree model (</w:t>
      </w:r>
      <w:proofErr w:type="spellStart"/>
      <w:r w:rsidRPr="00B84E70">
        <w:rPr>
          <w:lang w:val="en-US"/>
        </w:rPr>
        <w:t>LightGBM</w:t>
      </w:r>
      <w:proofErr w:type="spellEnd"/>
      <w:r w:rsidRPr="00B84E70">
        <w:rPr>
          <w:lang w:val="en-US"/>
        </w:rPr>
        <w:t>) with the longitudinal weight supplied as the per-observation weight; the algorithm accommodates missing values natively, avoiding imputation of the tree inputs.</w:t>
      </w:r>
      <w:r w:rsidRPr="00B84E70">
        <w:rPr>
          <w:vertAlign w:val="superscript"/>
          <w:lang w:val="en-US"/>
        </w:rPr>
        <w:t>18</w:t>
      </w:r>
      <w:r w:rsidRPr="00B84E70">
        <w:rPr>
          <w:lang w:val="en-US"/>
        </w:rPr>
        <w:t xml:space="preserve"> The number of boosting rounds was selected by five-fold cross-validation in which whole primary sampling units were assigned to folds, preventing leakage of clustered observations across the split. The frozen model was then applied, unchanged, to the external panels. Three comparators contextualize performance: a survey-weighted XGBoost,</w:t>
      </w:r>
      <w:r w:rsidRPr="00B84E70">
        <w:rPr>
          <w:vertAlign w:val="superscript"/>
          <w:lang w:val="en-US"/>
        </w:rPr>
        <w:t>19</w:t>
      </w:r>
      <w:r w:rsidRPr="00B84E70">
        <w:rPr>
          <w:lang w:val="en-US"/>
        </w:rPr>
        <w:t xml:space="preserve"> a survey-weighted logistic regression fitted to the same 62 features, and a parsimonious model of the outcome on </w:t>
      </w:r>
      <w:proofErr w:type="gramStart"/>
      <w:r w:rsidRPr="00B84E70">
        <w:rPr>
          <w:lang w:val="en-US"/>
        </w:rPr>
        <w:t>log</w:t>
      </w:r>
      <w:proofErr w:type="gramEnd"/>
      <w:r w:rsidRPr="00B84E70">
        <w:rPr>
          <w:lang w:val="en-US"/>
        </w:rPr>
        <w:t xml:space="preserve"> prior-year expenditure alone.</w:t>
      </w:r>
    </w:p>
    <w:p w14:paraId="459260B1" w14:textId="77777777" w:rsidR="003D02F5" w:rsidRPr="00B84E70" w:rsidRDefault="00000000">
      <w:pPr>
        <w:pStyle w:val="Heading2"/>
        <w:spacing w:before="160" w:after="80"/>
        <w:rPr>
          <w:lang w:val="en-US"/>
        </w:rPr>
      </w:pPr>
      <w:r w:rsidRPr="00B84E70">
        <w:rPr>
          <w:b/>
          <w:bCs/>
          <w:i/>
          <w:iCs/>
          <w:sz w:val="23"/>
          <w:szCs w:val="23"/>
          <w:lang w:val="en-US"/>
        </w:rPr>
        <w:t>2.6 Performance, calibration, and uncertainty</w:t>
      </w:r>
    </w:p>
    <w:p w14:paraId="1B94313B" w14:textId="77777777" w:rsidR="003D02F5" w:rsidRPr="00B84E70" w:rsidRDefault="00000000">
      <w:pPr>
        <w:spacing w:after="160" w:line="300" w:lineRule="auto"/>
        <w:jc w:val="both"/>
        <w:rPr>
          <w:lang w:val="en-US"/>
        </w:rPr>
      </w:pPr>
      <w:r w:rsidRPr="00B84E70">
        <w:rPr>
          <w:lang w:val="en-US"/>
        </w:rPr>
        <w:t>Discrimination was the survey-weighted area under the ROC curve, reported overall and by validation panel. Confidence intervals (95%) were obtained from a design-based bootstrap that resampled primary sampling units within strata (400 replicates), which respects clustering where closed-form variance is not established. Calibration was summarized by the weighted calibration slope, calibration-in-the-large, the Brier score, and a decile-binned weighted reliability curve with bootstrap intervals.</w:t>
      </w:r>
      <w:r w:rsidRPr="00B84E70">
        <w:rPr>
          <w:vertAlign w:val="superscript"/>
          <w:lang w:val="en-US"/>
        </w:rPr>
        <w:t>20</w:t>
      </w:r>
      <w:r w:rsidRPr="00B84E70">
        <w:rPr>
          <w:lang w:val="en-US"/>
        </w:rPr>
        <w:t xml:space="preserve"> We additionally report the operating characteristics of a top-decile targeting rule (weighted sensitivity, specificity, and positive predictive value at the 90th predicted-risk percentile), the quantity most relevant to a fixed-capacity care-management program.</w:t>
      </w:r>
    </w:p>
    <w:p w14:paraId="1F31707D" w14:textId="77777777" w:rsidR="003D02F5" w:rsidRPr="00B84E70" w:rsidRDefault="00000000">
      <w:pPr>
        <w:pStyle w:val="Heading2"/>
        <w:spacing w:before="160" w:after="80"/>
        <w:rPr>
          <w:lang w:val="en-US"/>
        </w:rPr>
      </w:pPr>
      <w:r w:rsidRPr="00B84E70">
        <w:rPr>
          <w:b/>
          <w:bCs/>
          <w:i/>
          <w:iCs/>
          <w:sz w:val="23"/>
          <w:szCs w:val="23"/>
          <w:lang w:val="en-US"/>
        </w:rPr>
        <w:t>2.7 Explainability, clinical utility, and equity</w:t>
      </w:r>
    </w:p>
    <w:p w14:paraId="46B52CE6" w14:textId="77777777" w:rsidR="003D02F5" w:rsidRPr="00B84E70" w:rsidRDefault="00000000">
      <w:pPr>
        <w:spacing w:after="160" w:line="300" w:lineRule="auto"/>
        <w:jc w:val="both"/>
        <w:rPr>
          <w:lang w:val="en-US"/>
        </w:rPr>
      </w:pPr>
      <w:r w:rsidRPr="00B84E70">
        <w:rPr>
          <w:lang w:val="en-US"/>
        </w:rPr>
        <w:t xml:space="preserve">Feature contributions used </w:t>
      </w:r>
      <w:proofErr w:type="spellStart"/>
      <w:r w:rsidRPr="00B84E70">
        <w:rPr>
          <w:lang w:val="en-US"/>
        </w:rPr>
        <w:t>TreeSHAP</w:t>
      </w:r>
      <w:proofErr w:type="spellEnd"/>
      <w:r w:rsidRPr="00B84E70">
        <w:rPr>
          <w:lang w:val="en-US"/>
        </w:rPr>
        <w:t>, with population importance summarized as the weighted mean absolute SHAP value; we interpret these as associational contributions to the model rather than causal effects, consistent with cautions about over-reading additive attributions.</w:t>
      </w:r>
      <w:r w:rsidRPr="00B84E70">
        <w:rPr>
          <w:vertAlign w:val="superscript"/>
          <w:lang w:val="en-US"/>
        </w:rPr>
        <w:t>21,22,23</w:t>
      </w:r>
      <w:r w:rsidRPr="00B84E70">
        <w:rPr>
          <w:lang w:val="en-US"/>
        </w:rPr>
        <w:t xml:space="preserve"> Clinical utility used decision-curve analysis: we computed weighted net benefit across threshold probabilities and compared the model with the prior-year-cost benchmark and the treat-all and treat-none references.</w:t>
      </w:r>
      <w:r w:rsidRPr="00B84E70">
        <w:rPr>
          <w:vertAlign w:val="superscript"/>
          <w:lang w:val="en-US"/>
        </w:rPr>
        <w:t>24</w:t>
      </w:r>
      <w:r w:rsidRPr="00B84E70">
        <w:rPr>
          <w:lang w:val="en-US"/>
        </w:rPr>
        <w:t xml:space="preserve"> Because both curves are estimated on the same persons, we report the paired difference in net benefit with cluster-bootstrap intervals, which is the appropriate comparison, alongside the marginal intervals for each curve.</w:t>
      </w:r>
      <w:r w:rsidRPr="00B84E70">
        <w:rPr>
          <w:vertAlign w:val="superscript"/>
          <w:lang w:val="en-US"/>
        </w:rPr>
        <w:t>25</w:t>
      </w:r>
      <w:r w:rsidRPr="00B84E70">
        <w:rPr>
          <w:lang w:val="en-US"/>
        </w:rPr>
        <w:t xml:space="preserve"> Motivated by evidence that cost-based algorithms can be inequitable,</w:t>
      </w:r>
      <w:r w:rsidRPr="00B84E70">
        <w:rPr>
          <w:vertAlign w:val="superscript"/>
          <w:lang w:val="en-US"/>
        </w:rPr>
        <w:t>2</w:t>
      </w:r>
      <w:r w:rsidRPr="00B84E70">
        <w:rPr>
          <w:lang w:val="en-US"/>
        </w:rPr>
        <w:t xml:space="preserve"> we audited weighted discrimination and calibration within income (poverty category) and race/ethnicity strata; subgroup calibration is the property most directly protective against the failure mode of interest.</w:t>
      </w:r>
      <w:r w:rsidRPr="00B84E70">
        <w:rPr>
          <w:vertAlign w:val="superscript"/>
          <w:lang w:val="en-US"/>
        </w:rPr>
        <w:t>26,27,28</w:t>
      </w:r>
    </w:p>
    <w:p w14:paraId="2F8843F4" w14:textId="77777777" w:rsidR="003D02F5" w:rsidRPr="00B84E70" w:rsidRDefault="00000000">
      <w:pPr>
        <w:pStyle w:val="Heading2"/>
        <w:spacing w:before="160" w:after="80"/>
        <w:rPr>
          <w:lang w:val="en-US"/>
        </w:rPr>
      </w:pPr>
      <w:r w:rsidRPr="00B84E70">
        <w:rPr>
          <w:b/>
          <w:bCs/>
          <w:i/>
          <w:iCs/>
          <w:sz w:val="23"/>
          <w:szCs w:val="23"/>
          <w:lang w:val="en-US"/>
        </w:rPr>
        <w:t>2.8 Secondary concordance, sensitivity, and reproducibility</w:t>
      </w:r>
    </w:p>
    <w:p w14:paraId="19A3BDA9" w14:textId="77777777" w:rsidR="003D02F5" w:rsidRPr="00B84E70" w:rsidRDefault="00000000">
      <w:pPr>
        <w:spacing w:after="160" w:line="300" w:lineRule="auto"/>
        <w:jc w:val="both"/>
        <w:rPr>
          <w:lang w:val="en-US"/>
        </w:rPr>
      </w:pPr>
      <w:r w:rsidRPr="00B84E70">
        <w:rPr>
          <w:lang w:val="en-US"/>
        </w:rPr>
        <w:t>As a clinically anchored secondary analysis we linked year-2 hospital inpatient stays to conditions (via the event–condition link files) and flagged admissions for heart failure (ICD-10-CM I50) or COPD (J40–J44, age ≥40), approximating AHRQ Prevention Quality Indicators #08 and #05.</w:t>
      </w:r>
      <w:r w:rsidRPr="00B84E70">
        <w:rPr>
          <w:vertAlign w:val="superscript"/>
          <w:lang w:val="en-US"/>
        </w:rPr>
        <w:t>29</w:t>
      </w:r>
      <w:r w:rsidRPr="00B84E70">
        <w:rPr>
          <w:lang w:val="en-US"/>
        </w:rPr>
        <w:t xml:space="preserve"> Because MEPS public files provide only three-digit ICD-10-CM codes and no principal-diagnosis ranking, this is a documented proxy rather than the exact specification. In a transition sensitivity </w:t>
      </w:r>
      <w:proofErr w:type="gramStart"/>
      <w:r w:rsidRPr="00B84E70">
        <w:rPr>
          <w:lang w:val="en-US"/>
        </w:rPr>
        <w:t>analysis</w:t>
      </w:r>
      <w:proofErr w:type="gramEnd"/>
      <w:r w:rsidRPr="00B84E70">
        <w:rPr>
          <w:lang w:val="en-US"/>
        </w:rPr>
        <w:t xml:space="preserve"> we restricted to persons not in the year-1 top decile and re-evaluated discrimination for incident high-cost status. Non-tree comparators </w:t>
      </w:r>
      <w:r w:rsidRPr="00B84E70">
        <w:rPr>
          <w:lang w:val="en-US"/>
        </w:rPr>
        <w:lastRenderedPageBreak/>
        <w:t>handled missingness under design-based multiple-imputation principles.</w:t>
      </w:r>
      <w:r w:rsidRPr="00B84E70">
        <w:rPr>
          <w:vertAlign w:val="superscript"/>
          <w:lang w:val="en-US"/>
        </w:rPr>
        <w:t>30,31</w:t>
      </w:r>
      <w:r w:rsidRPr="00B84E70">
        <w:rPr>
          <w:lang w:val="en-US"/>
        </w:rPr>
        <w:t xml:space="preserve"> Analyses used R 4.5 (survey, </w:t>
      </w:r>
      <w:proofErr w:type="spellStart"/>
      <w:r w:rsidRPr="00B84E70">
        <w:rPr>
          <w:lang w:val="en-US"/>
        </w:rPr>
        <w:t>srvyr</w:t>
      </w:r>
      <w:proofErr w:type="spellEnd"/>
      <w:r w:rsidRPr="00B84E70">
        <w:rPr>
          <w:lang w:val="en-US"/>
        </w:rPr>
        <w:t xml:space="preserve">, </w:t>
      </w:r>
      <w:proofErr w:type="spellStart"/>
      <w:r w:rsidRPr="00B84E70">
        <w:rPr>
          <w:lang w:val="en-US"/>
        </w:rPr>
        <w:t>lightgbm</w:t>
      </w:r>
      <w:proofErr w:type="spellEnd"/>
      <w:r w:rsidRPr="00B84E70">
        <w:rPr>
          <w:lang w:val="en-US"/>
        </w:rPr>
        <w:t xml:space="preserve">, </w:t>
      </w:r>
      <w:proofErr w:type="spellStart"/>
      <w:r w:rsidRPr="00B84E70">
        <w:rPr>
          <w:lang w:val="en-US"/>
        </w:rPr>
        <w:t>xgboost</w:t>
      </w:r>
      <w:proofErr w:type="spellEnd"/>
      <w:r w:rsidRPr="00B84E70">
        <w:rPr>
          <w:lang w:val="en-US"/>
        </w:rPr>
        <w:t xml:space="preserve">, </w:t>
      </w:r>
      <w:proofErr w:type="spellStart"/>
      <w:r w:rsidRPr="00B84E70">
        <w:rPr>
          <w:lang w:val="en-US"/>
        </w:rPr>
        <w:t>svyVarSel</w:t>
      </w:r>
      <w:proofErr w:type="spellEnd"/>
      <w:r w:rsidRPr="00B84E70">
        <w:rPr>
          <w:lang w:val="en-US"/>
        </w:rPr>
        <w:t xml:space="preserve">, </w:t>
      </w:r>
      <w:proofErr w:type="spellStart"/>
      <w:r w:rsidRPr="00B84E70">
        <w:rPr>
          <w:lang w:val="en-US"/>
        </w:rPr>
        <w:t>shapviz</w:t>
      </w:r>
      <w:proofErr w:type="spellEnd"/>
      <w:r w:rsidRPr="00B84E70">
        <w:rPr>
          <w:lang w:val="en-US"/>
        </w:rPr>
        <w:t>), with the environment pinned via renv.</w:t>
      </w:r>
      <w:r w:rsidRPr="00B84E70">
        <w:rPr>
          <w:vertAlign w:val="superscript"/>
          <w:lang w:val="en-US"/>
        </w:rPr>
        <w:t>32</w:t>
      </w:r>
    </w:p>
    <w:p w14:paraId="39AFC3F4" w14:textId="77777777" w:rsidR="003D02F5" w:rsidRPr="00B84E70" w:rsidRDefault="00000000">
      <w:pPr>
        <w:spacing w:after="160" w:line="300" w:lineRule="auto"/>
        <w:jc w:val="both"/>
        <w:rPr>
          <w:lang w:val="en-US"/>
        </w:rPr>
      </w:pPr>
      <w:r w:rsidRPr="00B84E70">
        <w:rPr>
          <w:b/>
          <w:bCs/>
          <w:lang w:val="en-US"/>
        </w:rPr>
        <w:t xml:space="preserve">Ethics. </w:t>
      </w:r>
      <w:r w:rsidRPr="00B84E70">
        <w:rPr>
          <w:lang w:val="en-US"/>
        </w:rPr>
        <w:t>This study analyzed only publicly available, de-identified MEPS data and was exempt from institutional review board approval; no informed consent was required.</w:t>
      </w:r>
    </w:p>
    <w:p w14:paraId="26FD2D07" w14:textId="77777777" w:rsidR="003D02F5" w:rsidRPr="00B84E70" w:rsidRDefault="00000000">
      <w:pPr>
        <w:pStyle w:val="Heading1"/>
        <w:spacing w:before="260" w:after="120"/>
        <w:rPr>
          <w:lang w:val="en-US"/>
        </w:rPr>
      </w:pPr>
      <w:r w:rsidRPr="00B84E70">
        <w:rPr>
          <w:b/>
          <w:bCs/>
          <w:sz w:val="26"/>
          <w:szCs w:val="26"/>
          <w:lang w:val="en-US"/>
        </w:rPr>
        <w:t>3. Results</w:t>
      </w:r>
    </w:p>
    <w:p w14:paraId="59B520A9" w14:textId="77777777" w:rsidR="003D02F5" w:rsidRPr="00B84E70" w:rsidRDefault="00000000">
      <w:pPr>
        <w:pStyle w:val="Heading2"/>
        <w:spacing w:before="160" w:after="80"/>
        <w:rPr>
          <w:lang w:val="en-US"/>
        </w:rPr>
      </w:pPr>
      <w:r w:rsidRPr="00B84E70">
        <w:rPr>
          <w:b/>
          <w:bCs/>
          <w:i/>
          <w:iCs/>
          <w:sz w:val="23"/>
          <w:szCs w:val="23"/>
          <w:lang w:val="en-US"/>
        </w:rPr>
        <w:t>3.1 Cohort characteristics</w:t>
      </w:r>
    </w:p>
    <w:p w14:paraId="14B2D94D" w14:textId="77777777" w:rsidR="003D02F5" w:rsidRPr="00B84E70" w:rsidRDefault="00000000">
      <w:pPr>
        <w:spacing w:after="160" w:line="300" w:lineRule="auto"/>
        <w:jc w:val="both"/>
        <w:rPr>
          <w:lang w:val="en-US"/>
        </w:rPr>
      </w:pPr>
      <w:r w:rsidRPr="00B84E70">
        <w:rPr>
          <w:lang w:val="en-US"/>
        </w:rPr>
        <w:t xml:space="preserve">The development and validation cohorts comprised 44,225 and 15,033 </w:t>
      </w:r>
      <w:proofErr w:type="gramStart"/>
      <w:r w:rsidRPr="00B84E70">
        <w:rPr>
          <w:lang w:val="en-US"/>
        </w:rPr>
        <w:t>persons</w:t>
      </w:r>
      <w:proofErr w:type="gramEnd"/>
      <w:r w:rsidRPr="00B84E70">
        <w:rPr>
          <w:lang w:val="en-US"/>
        </w:rPr>
        <w:t xml:space="preserve">, representing weighted average-annual populations of 330 and 338 million (Table 1). The cohorts were demographically similar and consistent with national benchmarks (validation: 50.6% female; 19.4% Hispanic, 57.7% non-Hispanic White, 12.4% non-Hispanic Black; 6.8% uninsured; 66.7% and 64.7% with any private coverage), and both carried the constructed 10.0% weighted top-decile rate. Median prior-year expenditure was modest ($1,095 and $1,392), so the outcome is not trivially recoverable from a high baseline in most </w:t>
      </w:r>
      <w:proofErr w:type="gramStart"/>
      <w:r w:rsidRPr="00B84E70">
        <w:rPr>
          <w:lang w:val="en-US"/>
        </w:rPr>
        <w:t>persons</w:t>
      </w:r>
      <w:proofErr w:type="gramEnd"/>
      <w:r w:rsidRPr="00B84E70">
        <w:rPr>
          <w:lang w:val="en-US"/>
        </w:rPr>
        <w:t>.</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900"/>
        <w:gridCol w:w="2900"/>
      </w:tblGrid>
      <w:tr w:rsidR="003D02F5" w14:paraId="07887318" w14:textId="77777777">
        <w:tblPrEx>
          <w:tblCellMar>
            <w:top w:w="0" w:type="dxa"/>
            <w:bottom w:w="0" w:type="dxa"/>
          </w:tblCellMar>
        </w:tblPrEx>
        <w:trPr>
          <w:tblHeader/>
        </w:trPr>
        <w:tc>
          <w:tcPr>
            <w:tcW w:w="3400" w:type="dxa"/>
            <w:shd w:val="clear" w:color="auto" w:fill="D9E2F3"/>
            <w:tcMar>
              <w:top w:w="40" w:type="dxa"/>
              <w:left w:w="80" w:type="dxa"/>
              <w:bottom w:w="40" w:type="dxa"/>
              <w:right w:w="80" w:type="dxa"/>
            </w:tcMar>
          </w:tcPr>
          <w:p w14:paraId="2C4713A6" w14:textId="77777777" w:rsidR="003D02F5" w:rsidRDefault="00000000">
            <w:proofErr w:type="spellStart"/>
            <w:r>
              <w:rPr>
                <w:b/>
                <w:bCs/>
                <w:sz w:val="18"/>
                <w:szCs w:val="18"/>
              </w:rPr>
              <w:t>Characteristic</w:t>
            </w:r>
            <w:proofErr w:type="spellEnd"/>
          </w:p>
        </w:tc>
        <w:tc>
          <w:tcPr>
            <w:tcW w:w="2900" w:type="dxa"/>
            <w:shd w:val="clear" w:color="auto" w:fill="D9E2F3"/>
            <w:tcMar>
              <w:top w:w="40" w:type="dxa"/>
              <w:left w:w="80" w:type="dxa"/>
              <w:bottom w:w="40" w:type="dxa"/>
              <w:right w:w="80" w:type="dxa"/>
            </w:tcMar>
          </w:tcPr>
          <w:p w14:paraId="3DC99561" w14:textId="77777777" w:rsidR="003D02F5" w:rsidRDefault="00000000">
            <w:r>
              <w:rPr>
                <w:b/>
                <w:bCs/>
                <w:sz w:val="18"/>
                <w:szCs w:val="18"/>
              </w:rPr>
              <w:t>Training (P21–23, 2016–19)</w:t>
            </w:r>
          </w:p>
        </w:tc>
        <w:tc>
          <w:tcPr>
            <w:tcW w:w="2900" w:type="dxa"/>
            <w:shd w:val="clear" w:color="auto" w:fill="D9E2F3"/>
            <w:tcMar>
              <w:top w:w="40" w:type="dxa"/>
              <w:left w:w="80" w:type="dxa"/>
              <w:bottom w:w="40" w:type="dxa"/>
              <w:right w:w="80" w:type="dxa"/>
            </w:tcMar>
          </w:tcPr>
          <w:p w14:paraId="79748E6A" w14:textId="77777777" w:rsidR="003D02F5" w:rsidRDefault="00000000">
            <w:proofErr w:type="spellStart"/>
            <w:r>
              <w:rPr>
                <w:b/>
                <w:bCs/>
                <w:sz w:val="18"/>
                <w:szCs w:val="18"/>
              </w:rPr>
              <w:t>Validation</w:t>
            </w:r>
            <w:proofErr w:type="spellEnd"/>
            <w:r>
              <w:rPr>
                <w:b/>
                <w:bCs/>
                <w:sz w:val="18"/>
                <w:szCs w:val="18"/>
              </w:rPr>
              <w:t xml:space="preserve"> (P26–27, 2021–23)</w:t>
            </w:r>
          </w:p>
        </w:tc>
      </w:tr>
      <w:tr w:rsidR="003D02F5" w14:paraId="3FF0FC9C" w14:textId="77777777">
        <w:tblPrEx>
          <w:tblCellMar>
            <w:top w:w="0" w:type="dxa"/>
            <w:bottom w:w="0" w:type="dxa"/>
          </w:tblCellMar>
        </w:tblPrEx>
        <w:tc>
          <w:tcPr>
            <w:tcW w:w="3400" w:type="dxa"/>
            <w:tcMar>
              <w:top w:w="40" w:type="dxa"/>
              <w:left w:w="80" w:type="dxa"/>
              <w:bottom w:w="40" w:type="dxa"/>
              <w:right w:w="80" w:type="dxa"/>
            </w:tcMar>
          </w:tcPr>
          <w:p w14:paraId="18B4197E" w14:textId="77777777" w:rsidR="003D02F5" w:rsidRDefault="00000000">
            <w:proofErr w:type="spellStart"/>
            <w:r>
              <w:rPr>
                <w:sz w:val="18"/>
                <w:szCs w:val="18"/>
              </w:rPr>
              <w:t>Persons</w:t>
            </w:r>
            <w:proofErr w:type="spellEnd"/>
            <w:r>
              <w:rPr>
                <w:sz w:val="18"/>
                <w:szCs w:val="18"/>
              </w:rPr>
              <w:t>, n (</w:t>
            </w:r>
            <w:proofErr w:type="spellStart"/>
            <w:r>
              <w:rPr>
                <w:sz w:val="18"/>
                <w:szCs w:val="18"/>
              </w:rPr>
              <w:t>unweighted</w:t>
            </w:r>
            <w:proofErr w:type="spellEnd"/>
            <w:r>
              <w:rPr>
                <w:sz w:val="18"/>
                <w:szCs w:val="18"/>
              </w:rPr>
              <w:t>)</w:t>
            </w:r>
          </w:p>
        </w:tc>
        <w:tc>
          <w:tcPr>
            <w:tcW w:w="2900" w:type="dxa"/>
            <w:tcMar>
              <w:top w:w="40" w:type="dxa"/>
              <w:left w:w="80" w:type="dxa"/>
              <w:bottom w:w="40" w:type="dxa"/>
              <w:right w:w="80" w:type="dxa"/>
            </w:tcMar>
          </w:tcPr>
          <w:p w14:paraId="5042ABF9" w14:textId="77777777" w:rsidR="003D02F5" w:rsidRDefault="00000000">
            <w:pPr>
              <w:jc w:val="center"/>
            </w:pPr>
            <w:r>
              <w:rPr>
                <w:sz w:val="18"/>
                <w:szCs w:val="18"/>
              </w:rPr>
              <w:t>44,225</w:t>
            </w:r>
          </w:p>
        </w:tc>
        <w:tc>
          <w:tcPr>
            <w:tcW w:w="2900" w:type="dxa"/>
            <w:tcMar>
              <w:top w:w="40" w:type="dxa"/>
              <w:left w:w="80" w:type="dxa"/>
              <w:bottom w:w="40" w:type="dxa"/>
              <w:right w:w="80" w:type="dxa"/>
            </w:tcMar>
          </w:tcPr>
          <w:p w14:paraId="28CC47F3" w14:textId="77777777" w:rsidR="003D02F5" w:rsidRDefault="00000000">
            <w:pPr>
              <w:jc w:val="center"/>
            </w:pPr>
            <w:r>
              <w:rPr>
                <w:sz w:val="18"/>
                <w:szCs w:val="18"/>
              </w:rPr>
              <w:t>15,033</w:t>
            </w:r>
          </w:p>
        </w:tc>
      </w:tr>
      <w:tr w:rsidR="003D02F5" w14:paraId="2EC6EC20" w14:textId="77777777">
        <w:tblPrEx>
          <w:tblCellMar>
            <w:top w:w="0" w:type="dxa"/>
            <w:bottom w:w="0" w:type="dxa"/>
          </w:tblCellMar>
        </w:tblPrEx>
        <w:tc>
          <w:tcPr>
            <w:tcW w:w="3400" w:type="dxa"/>
            <w:tcMar>
              <w:top w:w="40" w:type="dxa"/>
              <w:left w:w="80" w:type="dxa"/>
              <w:bottom w:w="40" w:type="dxa"/>
              <w:right w:w="80" w:type="dxa"/>
            </w:tcMar>
          </w:tcPr>
          <w:p w14:paraId="1B17C384" w14:textId="77777777" w:rsidR="003D02F5" w:rsidRDefault="00000000">
            <w:proofErr w:type="spellStart"/>
            <w:r>
              <w:rPr>
                <w:sz w:val="18"/>
                <w:szCs w:val="18"/>
              </w:rPr>
              <w:t>Weighted</w:t>
            </w:r>
            <w:proofErr w:type="spellEnd"/>
            <w:r>
              <w:rPr>
                <w:sz w:val="18"/>
                <w:szCs w:val="18"/>
              </w:rPr>
              <w:t xml:space="preserve"> </w:t>
            </w:r>
            <w:proofErr w:type="spellStart"/>
            <w:r>
              <w:rPr>
                <w:sz w:val="18"/>
                <w:szCs w:val="18"/>
              </w:rPr>
              <w:t>population</w:t>
            </w:r>
            <w:proofErr w:type="spellEnd"/>
            <w:r>
              <w:rPr>
                <w:sz w:val="18"/>
                <w:szCs w:val="18"/>
              </w:rPr>
              <w:t xml:space="preserve"> (</w:t>
            </w:r>
            <w:proofErr w:type="spellStart"/>
            <w:r>
              <w:rPr>
                <w:sz w:val="18"/>
                <w:szCs w:val="18"/>
              </w:rPr>
              <w:t>avg</w:t>
            </w:r>
            <w:proofErr w:type="spellEnd"/>
            <w:r>
              <w:rPr>
                <w:sz w:val="18"/>
                <w:szCs w:val="18"/>
              </w:rPr>
              <w:t xml:space="preserve">. </w:t>
            </w:r>
            <w:proofErr w:type="spellStart"/>
            <w:r>
              <w:rPr>
                <w:sz w:val="18"/>
                <w:szCs w:val="18"/>
              </w:rPr>
              <w:t>annual</w:t>
            </w:r>
            <w:proofErr w:type="spellEnd"/>
            <w:r>
              <w:rPr>
                <w:sz w:val="18"/>
                <w:szCs w:val="18"/>
              </w:rPr>
              <w:t>)</w:t>
            </w:r>
          </w:p>
        </w:tc>
        <w:tc>
          <w:tcPr>
            <w:tcW w:w="2900" w:type="dxa"/>
            <w:tcMar>
              <w:top w:w="40" w:type="dxa"/>
              <w:left w:w="80" w:type="dxa"/>
              <w:bottom w:w="40" w:type="dxa"/>
              <w:right w:w="80" w:type="dxa"/>
            </w:tcMar>
          </w:tcPr>
          <w:p w14:paraId="79B4666E" w14:textId="77777777" w:rsidR="003D02F5" w:rsidRDefault="00000000">
            <w:pPr>
              <w:jc w:val="center"/>
            </w:pPr>
            <w:r>
              <w:rPr>
                <w:sz w:val="18"/>
                <w:szCs w:val="18"/>
              </w:rPr>
              <w:t xml:space="preserve">329.7 </w:t>
            </w:r>
            <w:proofErr w:type="spellStart"/>
            <w:r>
              <w:rPr>
                <w:sz w:val="18"/>
                <w:szCs w:val="18"/>
              </w:rPr>
              <w:t>million</w:t>
            </w:r>
            <w:proofErr w:type="spellEnd"/>
          </w:p>
        </w:tc>
        <w:tc>
          <w:tcPr>
            <w:tcW w:w="2900" w:type="dxa"/>
            <w:tcMar>
              <w:top w:w="40" w:type="dxa"/>
              <w:left w:w="80" w:type="dxa"/>
              <w:bottom w:w="40" w:type="dxa"/>
              <w:right w:w="80" w:type="dxa"/>
            </w:tcMar>
          </w:tcPr>
          <w:p w14:paraId="18CA951B" w14:textId="77777777" w:rsidR="003D02F5" w:rsidRDefault="00000000">
            <w:pPr>
              <w:jc w:val="center"/>
            </w:pPr>
            <w:r>
              <w:rPr>
                <w:sz w:val="18"/>
                <w:szCs w:val="18"/>
              </w:rPr>
              <w:t xml:space="preserve">337.8 </w:t>
            </w:r>
            <w:proofErr w:type="spellStart"/>
            <w:r>
              <w:rPr>
                <w:sz w:val="18"/>
                <w:szCs w:val="18"/>
              </w:rPr>
              <w:t>million</w:t>
            </w:r>
            <w:proofErr w:type="spellEnd"/>
          </w:p>
        </w:tc>
      </w:tr>
      <w:tr w:rsidR="003D02F5" w14:paraId="71D3B598" w14:textId="77777777">
        <w:tblPrEx>
          <w:tblCellMar>
            <w:top w:w="0" w:type="dxa"/>
            <w:bottom w:w="0" w:type="dxa"/>
          </w:tblCellMar>
        </w:tblPrEx>
        <w:tc>
          <w:tcPr>
            <w:tcW w:w="3400" w:type="dxa"/>
            <w:tcMar>
              <w:top w:w="40" w:type="dxa"/>
              <w:left w:w="80" w:type="dxa"/>
              <w:bottom w:w="40" w:type="dxa"/>
              <w:right w:w="80" w:type="dxa"/>
            </w:tcMar>
          </w:tcPr>
          <w:p w14:paraId="205D4DC3" w14:textId="77777777" w:rsidR="003D02F5" w:rsidRPr="00B84E70" w:rsidRDefault="00000000">
            <w:pPr>
              <w:rPr>
                <w:lang w:val="en-US"/>
              </w:rPr>
            </w:pPr>
            <w:r w:rsidRPr="00B84E70">
              <w:rPr>
                <w:sz w:val="18"/>
                <w:szCs w:val="18"/>
                <w:lang w:val="en-US"/>
              </w:rPr>
              <w:t>Top-decile (high-cost) rate</w:t>
            </w:r>
          </w:p>
        </w:tc>
        <w:tc>
          <w:tcPr>
            <w:tcW w:w="2900" w:type="dxa"/>
            <w:tcMar>
              <w:top w:w="40" w:type="dxa"/>
              <w:left w:w="80" w:type="dxa"/>
              <w:bottom w:w="40" w:type="dxa"/>
              <w:right w:w="80" w:type="dxa"/>
            </w:tcMar>
          </w:tcPr>
          <w:p w14:paraId="367CE5EA" w14:textId="77777777" w:rsidR="003D02F5" w:rsidRDefault="00000000">
            <w:pPr>
              <w:jc w:val="center"/>
            </w:pPr>
            <w:r>
              <w:rPr>
                <w:sz w:val="18"/>
                <w:szCs w:val="18"/>
              </w:rPr>
              <w:t>10.0%</w:t>
            </w:r>
          </w:p>
        </w:tc>
        <w:tc>
          <w:tcPr>
            <w:tcW w:w="2900" w:type="dxa"/>
            <w:tcMar>
              <w:top w:w="40" w:type="dxa"/>
              <w:left w:w="80" w:type="dxa"/>
              <w:bottom w:w="40" w:type="dxa"/>
              <w:right w:w="80" w:type="dxa"/>
            </w:tcMar>
          </w:tcPr>
          <w:p w14:paraId="708D250F" w14:textId="77777777" w:rsidR="003D02F5" w:rsidRDefault="00000000">
            <w:pPr>
              <w:jc w:val="center"/>
            </w:pPr>
            <w:r>
              <w:rPr>
                <w:sz w:val="18"/>
                <w:szCs w:val="18"/>
              </w:rPr>
              <w:t>10.0%</w:t>
            </w:r>
          </w:p>
        </w:tc>
      </w:tr>
      <w:tr w:rsidR="003D02F5" w14:paraId="71A4F87B" w14:textId="77777777">
        <w:tblPrEx>
          <w:tblCellMar>
            <w:top w:w="0" w:type="dxa"/>
            <w:bottom w:w="0" w:type="dxa"/>
          </w:tblCellMar>
        </w:tblPrEx>
        <w:tc>
          <w:tcPr>
            <w:tcW w:w="3400" w:type="dxa"/>
            <w:tcMar>
              <w:top w:w="40" w:type="dxa"/>
              <w:left w:w="80" w:type="dxa"/>
              <w:bottom w:w="40" w:type="dxa"/>
              <w:right w:w="80" w:type="dxa"/>
            </w:tcMar>
          </w:tcPr>
          <w:p w14:paraId="61EA7FE1" w14:textId="77777777" w:rsidR="003D02F5" w:rsidRDefault="00000000">
            <w:r>
              <w:rPr>
                <w:sz w:val="18"/>
                <w:szCs w:val="18"/>
              </w:rPr>
              <w:t xml:space="preserve">Age, </w:t>
            </w:r>
            <w:proofErr w:type="spellStart"/>
            <w:r>
              <w:rPr>
                <w:sz w:val="18"/>
                <w:szCs w:val="18"/>
              </w:rPr>
              <w:t>mean</w:t>
            </w:r>
            <w:proofErr w:type="spellEnd"/>
            <w:r>
              <w:rPr>
                <w:sz w:val="18"/>
                <w:szCs w:val="18"/>
              </w:rPr>
              <w:t xml:space="preserve"> (</w:t>
            </w:r>
            <w:proofErr w:type="spellStart"/>
            <w:r>
              <w:rPr>
                <w:sz w:val="18"/>
                <w:szCs w:val="18"/>
              </w:rPr>
              <w:t>years</w:t>
            </w:r>
            <w:proofErr w:type="spellEnd"/>
            <w:r>
              <w:rPr>
                <w:sz w:val="18"/>
                <w:szCs w:val="18"/>
              </w:rPr>
              <w:t>)</w:t>
            </w:r>
          </w:p>
        </w:tc>
        <w:tc>
          <w:tcPr>
            <w:tcW w:w="2900" w:type="dxa"/>
            <w:tcMar>
              <w:top w:w="40" w:type="dxa"/>
              <w:left w:w="80" w:type="dxa"/>
              <w:bottom w:w="40" w:type="dxa"/>
              <w:right w:w="80" w:type="dxa"/>
            </w:tcMar>
          </w:tcPr>
          <w:p w14:paraId="7C38B7B9" w14:textId="77777777" w:rsidR="003D02F5" w:rsidRDefault="00000000">
            <w:pPr>
              <w:jc w:val="center"/>
            </w:pPr>
            <w:r>
              <w:rPr>
                <w:sz w:val="18"/>
                <w:szCs w:val="18"/>
              </w:rPr>
              <w:t>38.6</w:t>
            </w:r>
          </w:p>
        </w:tc>
        <w:tc>
          <w:tcPr>
            <w:tcW w:w="2900" w:type="dxa"/>
            <w:tcMar>
              <w:top w:w="40" w:type="dxa"/>
              <w:left w:w="80" w:type="dxa"/>
              <w:bottom w:w="40" w:type="dxa"/>
              <w:right w:w="80" w:type="dxa"/>
            </w:tcMar>
          </w:tcPr>
          <w:p w14:paraId="26ED1E02" w14:textId="77777777" w:rsidR="003D02F5" w:rsidRDefault="00000000">
            <w:pPr>
              <w:jc w:val="center"/>
            </w:pPr>
            <w:r>
              <w:rPr>
                <w:sz w:val="18"/>
                <w:szCs w:val="18"/>
              </w:rPr>
              <w:t>39.4</w:t>
            </w:r>
          </w:p>
        </w:tc>
      </w:tr>
      <w:tr w:rsidR="003D02F5" w14:paraId="2EED44F8" w14:textId="77777777">
        <w:tblPrEx>
          <w:tblCellMar>
            <w:top w:w="0" w:type="dxa"/>
            <w:bottom w:w="0" w:type="dxa"/>
          </w:tblCellMar>
        </w:tblPrEx>
        <w:tc>
          <w:tcPr>
            <w:tcW w:w="3400" w:type="dxa"/>
            <w:tcMar>
              <w:top w:w="40" w:type="dxa"/>
              <w:left w:w="80" w:type="dxa"/>
              <w:bottom w:w="40" w:type="dxa"/>
              <w:right w:w="80" w:type="dxa"/>
            </w:tcMar>
          </w:tcPr>
          <w:p w14:paraId="60DD8B01" w14:textId="77777777" w:rsidR="003D02F5" w:rsidRDefault="00000000">
            <w:proofErr w:type="spellStart"/>
            <w:r>
              <w:rPr>
                <w:sz w:val="18"/>
                <w:szCs w:val="18"/>
              </w:rPr>
              <w:t>Female</w:t>
            </w:r>
            <w:proofErr w:type="spellEnd"/>
          </w:p>
        </w:tc>
        <w:tc>
          <w:tcPr>
            <w:tcW w:w="2900" w:type="dxa"/>
            <w:tcMar>
              <w:top w:w="40" w:type="dxa"/>
              <w:left w:w="80" w:type="dxa"/>
              <w:bottom w:w="40" w:type="dxa"/>
              <w:right w:w="80" w:type="dxa"/>
            </w:tcMar>
          </w:tcPr>
          <w:p w14:paraId="2E2A9D2D" w14:textId="77777777" w:rsidR="003D02F5" w:rsidRDefault="00000000">
            <w:pPr>
              <w:jc w:val="center"/>
            </w:pPr>
            <w:r>
              <w:rPr>
                <w:sz w:val="18"/>
                <w:szCs w:val="18"/>
              </w:rPr>
              <w:t>51.0%</w:t>
            </w:r>
          </w:p>
        </w:tc>
        <w:tc>
          <w:tcPr>
            <w:tcW w:w="2900" w:type="dxa"/>
            <w:tcMar>
              <w:top w:w="40" w:type="dxa"/>
              <w:left w:w="80" w:type="dxa"/>
              <w:bottom w:w="40" w:type="dxa"/>
              <w:right w:w="80" w:type="dxa"/>
            </w:tcMar>
          </w:tcPr>
          <w:p w14:paraId="33DC8BD5" w14:textId="77777777" w:rsidR="003D02F5" w:rsidRDefault="00000000">
            <w:pPr>
              <w:jc w:val="center"/>
            </w:pPr>
            <w:r>
              <w:rPr>
                <w:sz w:val="18"/>
                <w:szCs w:val="18"/>
              </w:rPr>
              <w:t>50.6%</w:t>
            </w:r>
          </w:p>
        </w:tc>
      </w:tr>
      <w:tr w:rsidR="003D02F5" w14:paraId="0BC3F21C" w14:textId="77777777">
        <w:tblPrEx>
          <w:tblCellMar>
            <w:top w:w="0" w:type="dxa"/>
            <w:bottom w:w="0" w:type="dxa"/>
          </w:tblCellMar>
        </w:tblPrEx>
        <w:tc>
          <w:tcPr>
            <w:tcW w:w="3400" w:type="dxa"/>
            <w:tcMar>
              <w:top w:w="40" w:type="dxa"/>
              <w:left w:w="80" w:type="dxa"/>
              <w:bottom w:w="40" w:type="dxa"/>
              <w:right w:w="80" w:type="dxa"/>
            </w:tcMar>
          </w:tcPr>
          <w:p w14:paraId="5F7BA8B9" w14:textId="77777777" w:rsidR="003D02F5" w:rsidRDefault="00000000">
            <w:proofErr w:type="spellStart"/>
            <w:r>
              <w:rPr>
                <w:sz w:val="18"/>
                <w:szCs w:val="18"/>
              </w:rPr>
              <w:t>Hispanic</w:t>
            </w:r>
            <w:proofErr w:type="spellEnd"/>
          </w:p>
        </w:tc>
        <w:tc>
          <w:tcPr>
            <w:tcW w:w="2900" w:type="dxa"/>
            <w:tcMar>
              <w:top w:w="40" w:type="dxa"/>
              <w:left w:w="80" w:type="dxa"/>
              <w:bottom w:w="40" w:type="dxa"/>
              <w:right w:w="80" w:type="dxa"/>
            </w:tcMar>
          </w:tcPr>
          <w:p w14:paraId="260497C0" w14:textId="77777777" w:rsidR="003D02F5" w:rsidRDefault="00000000">
            <w:pPr>
              <w:jc w:val="center"/>
            </w:pPr>
            <w:r>
              <w:rPr>
                <w:sz w:val="18"/>
                <w:szCs w:val="18"/>
              </w:rPr>
              <w:t>18.4%</w:t>
            </w:r>
          </w:p>
        </w:tc>
        <w:tc>
          <w:tcPr>
            <w:tcW w:w="2900" w:type="dxa"/>
            <w:tcMar>
              <w:top w:w="40" w:type="dxa"/>
              <w:left w:w="80" w:type="dxa"/>
              <w:bottom w:w="40" w:type="dxa"/>
              <w:right w:w="80" w:type="dxa"/>
            </w:tcMar>
          </w:tcPr>
          <w:p w14:paraId="193E72B9" w14:textId="77777777" w:rsidR="003D02F5" w:rsidRDefault="00000000">
            <w:pPr>
              <w:jc w:val="center"/>
            </w:pPr>
            <w:r>
              <w:rPr>
                <w:sz w:val="18"/>
                <w:szCs w:val="18"/>
              </w:rPr>
              <w:t>19.4%</w:t>
            </w:r>
          </w:p>
        </w:tc>
      </w:tr>
      <w:tr w:rsidR="003D02F5" w14:paraId="15EDC57F" w14:textId="77777777">
        <w:tblPrEx>
          <w:tblCellMar>
            <w:top w:w="0" w:type="dxa"/>
            <w:bottom w:w="0" w:type="dxa"/>
          </w:tblCellMar>
        </w:tblPrEx>
        <w:tc>
          <w:tcPr>
            <w:tcW w:w="3400" w:type="dxa"/>
            <w:tcMar>
              <w:top w:w="40" w:type="dxa"/>
              <w:left w:w="80" w:type="dxa"/>
              <w:bottom w:w="40" w:type="dxa"/>
              <w:right w:w="80" w:type="dxa"/>
            </w:tcMar>
          </w:tcPr>
          <w:p w14:paraId="772BD9E9" w14:textId="77777777" w:rsidR="003D02F5" w:rsidRDefault="00000000">
            <w:r>
              <w:rPr>
                <w:sz w:val="18"/>
                <w:szCs w:val="18"/>
              </w:rPr>
              <w:t>Non-</w:t>
            </w:r>
            <w:proofErr w:type="spellStart"/>
            <w:r>
              <w:rPr>
                <w:sz w:val="18"/>
                <w:szCs w:val="18"/>
              </w:rPr>
              <w:t>Hispanic</w:t>
            </w:r>
            <w:proofErr w:type="spellEnd"/>
            <w:r>
              <w:rPr>
                <w:sz w:val="18"/>
                <w:szCs w:val="18"/>
              </w:rPr>
              <w:t xml:space="preserve"> White</w:t>
            </w:r>
          </w:p>
        </w:tc>
        <w:tc>
          <w:tcPr>
            <w:tcW w:w="2900" w:type="dxa"/>
            <w:tcMar>
              <w:top w:w="40" w:type="dxa"/>
              <w:left w:w="80" w:type="dxa"/>
              <w:bottom w:w="40" w:type="dxa"/>
              <w:right w:w="80" w:type="dxa"/>
            </w:tcMar>
          </w:tcPr>
          <w:p w14:paraId="6853B342" w14:textId="77777777" w:rsidR="003D02F5" w:rsidRDefault="00000000">
            <w:pPr>
              <w:jc w:val="center"/>
            </w:pPr>
            <w:r>
              <w:rPr>
                <w:sz w:val="18"/>
                <w:szCs w:val="18"/>
              </w:rPr>
              <w:t>59.8%</w:t>
            </w:r>
          </w:p>
        </w:tc>
        <w:tc>
          <w:tcPr>
            <w:tcW w:w="2900" w:type="dxa"/>
            <w:tcMar>
              <w:top w:w="40" w:type="dxa"/>
              <w:left w:w="80" w:type="dxa"/>
              <w:bottom w:w="40" w:type="dxa"/>
              <w:right w:w="80" w:type="dxa"/>
            </w:tcMar>
          </w:tcPr>
          <w:p w14:paraId="6E10CF4E" w14:textId="77777777" w:rsidR="003D02F5" w:rsidRDefault="00000000">
            <w:pPr>
              <w:jc w:val="center"/>
            </w:pPr>
            <w:r>
              <w:rPr>
                <w:sz w:val="18"/>
                <w:szCs w:val="18"/>
              </w:rPr>
              <w:t>57.7%</w:t>
            </w:r>
          </w:p>
        </w:tc>
      </w:tr>
      <w:tr w:rsidR="003D02F5" w14:paraId="08FEDDCE" w14:textId="77777777">
        <w:tblPrEx>
          <w:tblCellMar>
            <w:top w:w="0" w:type="dxa"/>
            <w:bottom w:w="0" w:type="dxa"/>
          </w:tblCellMar>
        </w:tblPrEx>
        <w:tc>
          <w:tcPr>
            <w:tcW w:w="3400" w:type="dxa"/>
            <w:tcMar>
              <w:top w:w="40" w:type="dxa"/>
              <w:left w:w="80" w:type="dxa"/>
              <w:bottom w:w="40" w:type="dxa"/>
              <w:right w:w="80" w:type="dxa"/>
            </w:tcMar>
          </w:tcPr>
          <w:p w14:paraId="5DBE4AD0" w14:textId="77777777" w:rsidR="003D02F5" w:rsidRDefault="00000000">
            <w:r>
              <w:rPr>
                <w:sz w:val="18"/>
                <w:szCs w:val="18"/>
              </w:rPr>
              <w:t>Non-</w:t>
            </w:r>
            <w:proofErr w:type="spellStart"/>
            <w:r>
              <w:rPr>
                <w:sz w:val="18"/>
                <w:szCs w:val="18"/>
              </w:rPr>
              <w:t>Hispanic</w:t>
            </w:r>
            <w:proofErr w:type="spellEnd"/>
            <w:r>
              <w:rPr>
                <w:sz w:val="18"/>
                <w:szCs w:val="18"/>
              </w:rPr>
              <w:t xml:space="preserve"> Black</w:t>
            </w:r>
          </w:p>
        </w:tc>
        <w:tc>
          <w:tcPr>
            <w:tcW w:w="2900" w:type="dxa"/>
            <w:tcMar>
              <w:top w:w="40" w:type="dxa"/>
              <w:left w:w="80" w:type="dxa"/>
              <w:bottom w:w="40" w:type="dxa"/>
              <w:right w:w="80" w:type="dxa"/>
            </w:tcMar>
          </w:tcPr>
          <w:p w14:paraId="6848F7CF" w14:textId="77777777" w:rsidR="003D02F5" w:rsidRDefault="00000000">
            <w:pPr>
              <w:jc w:val="center"/>
            </w:pPr>
            <w:r>
              <w:rPr>
                <w:sz w:val="18"/>
                <w:szCs w:val="18"/>
              </w:rPr>
              <w:t>12.3%</w:t>
            </w:r>
          </w:p>
        </w:tc>
        <w:tc>
          <w:tcPr>
            <w:tcW w:w="2900" w:type="dxa"/>
            <w:tcMar>
              <w:top w:w="40" w:type="dxa"/>
              <w:left w:w="80" w:type="dxa"/>
              <w:bottom w:w="40" w:type="dxa"/>
              <w:right w:w="80" w:type="dxa"/>
            </w:tcMar>
          </w:tcPr>
          <w:p w14:paraId="5257AFC4" w14:textId="77777777" w:rsidR="003D02F5" w:rsidRDefault="00000000">
            <w:pPr>
              <w:jc w:val="center"/>
            </w:pPr>
            <w:r>
              <w:rPr>
                <w:sz w:val="18"/>
                <w:szCs w:val="18"/>
              </w:rPr>
              <w:t>12.4%</w:t>
            </w:r>
          </w:p>
        </w:tc>
      </w:tr>
      <w:tr w:rsidR="003D02F5" w14:paraId="2E38B322" w14:textId="77777777">
        <w:tblPrEx>
          <w:tblCellMar>
            <w:top w:w="0" w:type="dxa"/>
            <w:bottom w:w="0" w:type="dxa"/>
          </w:tblCellMar>
        </w:tblPrEx>
        <w:tc>
          <w:tcPr>
            <w:tcW w:w="3400" w:type="dxa"/>
            <w:tcMar>
              <w:top w:w="40" w:type="dxa"/>
              <w:left w:w="80" w:type="dxa"/>
              <w:bottom w:w="40" w:type="dxa"/>
              <w:right w:w="80" w:type="dxa"/>
            </w:tcMar>
          </w:tcPr>
          <w:p w14:paraId="348FD505" w14:textId="77777777" w:rsidR="003D02F5" w:rsidRDefault="00000000">
            <w:r>
              <w:rPr>
                <w:sz w:val="18"/>
                <w:szCs w:val="18"/>
              </w:rPr>
              <w:t>Non-</w:t>
            </w:r>
            <w:proofErr w:type="spellStart"/>
            <w:r>
              <w:rPr>
                <w:sz w:val="18"/>
                <w:szCs w:val="18"/>
              </w:rPr>
              <w:t>Hispanic</w:t>
            </w:r>
            <w:proofErr w:type="spellEnd"/>
            <w:r>
              <w:rPr>
                <w:sz w:val="18"/>
                <w:szCs w:val="18"/>
              </w:rPr>
              <w:t xml:space="preserve"> </w:t>
            </w:r>
            <w:proofErr w:type="spellStart"/>
            <w:r>
              <w:rPr>
                <w:sz w:val="18"/>
                <w:szCs w:val="18"/>
              </w:rPr>
              <w:t>Asian</w:t>
            </w:r>
            <w:proofErr w:type="spellEnd"/>
          </w:p>
        </w:tc>
        <w:tc>
          <w:tcPr>
            <w:tcW w:w="2900" w:type="dxa"/>
            <w:tcMar>
              <w:top w:w="40" w:type="dxa"/>
              <w:left w:w="80" w:type="dxa"/>
              <w:bottom w:w="40" w:type="dxa"/>
              <w:right w:w="80" w:type="dxa"/>
            </w:tcMar>
          </w:tcPr>
          <w:p w14:paraId="0CEBE89A" w14:textId="77777777" w:rsidR="003D02F5" w:rsidRDefault="00000000">
            <w:pPr>
              <w:jc w:val="center"/>
            </w:pPr>
            <w:r>
              <w:rPr>
                <w:sz w:val="18"/>
                <w:szCs w:val="18"/>
              </w:rPr>
              <w:t>5.9%</w:t>
            </w:r>
          </w:p>
        </w:tc>
        <w:tc>
          <w:tcPr>
            <w:tcW w:w="2900" w:type="dxa"/>
            <w:tcMar>
              <w:top w:w="40" w:type="dxa"/>
              <w:left w:w="80" w:type="dxa"/>
              <w:bottom w:w="40" w:type="dxa"/>
              <w:right w:w="80" w:type="dxa"/>
            </w:tcMar>
          </w:tcPr>
          <w:p w14:paraId="51470FDF" w14:textId="77777777" w:rsidR="003D02F5" w:rsidRDefault="00000000">
            <w:pPr>
              <w:jc w:val="center"/>
            </w:pPr>
            <w:r>
              <w:rPr>
                <w:sz w:val="18"/>
                <w:szCs w:val="18"/>
              </w:rPr>
              <w:t>6.3%</w:t>
            </w:r>
          </w:p>
        </w:tc>
      </w:tr>
      <w:tr w:rsidR="003D02F5" w14:paraId="65461D6D" w14:textId="77777777">
        <w:tblPrEx>
          <w:tblCellMar>
            <w:top w:w="0" w:type="dxa"/>
            <w:bottom w:w="0" w:type="dxa"/>
          </w:tblCellMar>
        </w:tblPrEx>
        <w:tc>
          <w:tcPr>
            <w:tcW w:w="3400" w:type="dxa"/>
            <w:tcMar>
              <w:top w:w="40" w:type="dxa"/>
              <w:left w:w="80" w:type="dxa"/>
              <w:bottom w:w="40" w:type="dxa"/>
              <w:right w:w="80" w:type="dxa"/>
            </w:tcMar>
          </w:tcPr>
          <w:p w14:paraId="503CE004" w14:textId="77777777" w:rsidR="003D02F5" w:rsidRDefault="00000000">
            <w:proofErr w:type="spellStart"/>
            <w:r>
              <w:rPr>
                <w:sz w:val="18"/>
                <w:szCs w:val="18"/>
              </w:rPr>
              <w:t>Any</w:t>
            </w:r>
            <w:proofErr w:type="spellEnd"/>
            <w:r>
              <w:rPr>
                <w:sz w:val="18"/>
                <w:szCs w:val="18"/>
              </w:rPr>
              <w:t xml:space="preserve"> </w:t>
            </w:r>
            <w:proofErr w:type="spellStart"/>
            <w:r>
              <w:rPr>
                <w:sz w:val="18"/>
                <w:szCs w:val="18"/>
              </w:rPr>
              <w:t>private</w:t>
            </w:r>
            <w:proofErr w:type="spellEnd"/>
            <w:r>
              <w:rPr>
                <w:sz w:val="18"/>
                <w:szCs w:val="18"/>
              </w:rPr>
              <w:t xml:space="preserve"> </w:t>
            </w:r>
            <w:proofErr w:type="spellStart"/>
            <w:r>
              <w:rPr>
                <w:sz w:val="18"/>
                <w:szCs w:val="18"/>
              </w:rPr>
              <w:t>insurance</w:t>
            </w:r>
            <w:proofErr w:type="spellEnd"/>
          </w:p>
        </w:tc>
        <w:tc>
          <w:tcPr>
            <w:tcW w:w="2900" w:type="dxa"/>
            <w:tcMar>
              <w:top w:w="40" w:type="dxa"/>
              <w:left w:w="80" w:type="dxa"/>
              <w:bottom w:w="40" w:type="dxa"/>
              <w:right w:w="80" w:type="dxa"/>
            </w:tcMar>
          </w:tcPr>
          <w:p w14:paraId="4A6AC9ED" w14:textId="77777777" w:rsidR="003D02F5" w:rsidRDefault="00000000">
            <w:pPr>
              <w:jc w:val="center"/>
            </w:pPr>
            <w:r>
              <w:rPr>
                <w:sz w:val="18"/>
                <w:szCs w:val="18"/>
              </w:rPr>
              <w:t>66.7%</w:t>
            </w:r>
          </w:p>
        </w:tc>
        <w:tc>
          <w:tcPr>
            <w:tcW w:w="2900" w:type="dxa"/>
            <w:tcMar>
              <w:top w:w="40" w:type="dxa"/>
              <w:left w:w="80" w:type="dxa"/>
              <w:bottom w:w="40" w:type="dxa"/>
              <w:right w:w="80" w:type="dxa"/>
            </w:tcMar>
          </w:tcPr>
          <w:p w14:paraId="7DD16615" w14:textId="77777777" w:rsidR="003D02F5" w:rsidRDefault="00000000">
            <w:pPr>
              <w:jc w:val="center"/>
            </w:pPr>
            <w:r>
              <w:rPr>
                <w:sz w:val="18"/>
                <w:szCs w:val="18"/>
              </w:rPr>
              <w:t>64.7%</w:t>
            </w:r>
          </w:p>
        </w:tc>
      </w:tr>
      <w:tr w:rsidR="003D02F5" w14:paraId="2CC3C744" w14:textId="77777777">
        <w:tblPrEx>
          <w:tblCellMar>
            <w:top w:w="0" w:type="dxa"/>
            <w:bottom w:w="0" w:type="dxa"/>
          </w:tblCellMar>
        </w:tblPrEx>
        <w:tc>
          <w:tcPr>
            <w:tcW w:w="3400" w:type="dxa"/>
            <w:tcMar>
              <w:top w:w="40" w:type="dxa"/>
              <w:left w:w="80" w:type="dxa"/>
              <w:bottom w:w="40" w:type="dxa"/>
              <w:right w:w="80" w:type="dxa"/>
            </w:tcMar>
          </w:tcPr>
          <w:p w14:paraId="4DE3CAB8" w14:textId="77777777" w:rsidR="003D02F5" w:rsidRDefault="00000000">
            <w:proofErr w:type="spellStart"/>
            <w:r>
              <w:rPr>
                <w:sz w:val="18"/>
                <w:szCs w:val="18"/>
              </w:rPr>
              <w:t>Public</w:t>
            </w:r>
            <w:proofErr w:type="spellEnd"/>
            <w:r>
              <w:rPr>
                <w:sz w:val="18"/>
                <w:szCs w:val="18"/>
              </w:rPr>
              <w:t xml:space="preserve"> </w:t>
            </w:r>
            <w:proofErr w:type="spellStart"/>
            <w:r>
              <w:rPr>
                <w:sz w:val="18"/>
                <w:szCs w:val="18"/>
              </w:rPr>
              <w:t>coverage</w:t>
            </w:r>
            <w:proofErr w:type="spellEnd"/>
            <w:r>
              <w:rPr>
                <w:sz w:val="18"/>
                <w:szCs w:val="18"/>
              </w:rPr>
              <w:t xml:space="preserve"> </w:t>
            </w:r>
            <w:proofErr w:type="spellStart"/>
            <w:r>
              <w:rPr>
                <w:sz w:val="18"/>
                <w:szCs w:val="18"/>
              </w:rPr>
              <w:t>only</w:t>
            </w:r>
            <w:proofErr w:type="spellEnd"/>
          </w:p>
        </w:tc>
        <w:tc>
          <w:tcPr>
            <w:tcW w:w="2900" w:type="dxa"/>
            <w:tcMar>
              <w:top w:w="40" w:type="dxa"/>
              <w:left w:w="80" w:type="dxa"/>
              <w:bottom w:w="40" w:type="dxa"/>
              <w:right w:w="80" w:type="dxa"/>
            </w:tcMar>
          </w:tcPr>
          <w:p w14:paraId="36E4D2CE" w14:textId="77777777" w:rsidR="003D02F5" w:rsidRDefault="00000000">
            <w:pPr>
              <w:jc w:val="center"/>
            </w:pPr>
            <w:r>
              <w:rPr>
                <w:sz w:val="18"/>
                <w:szCs w:val="18"/>
              </w:rPr>
              <w:t>26.3%</w:t>
            </w:r>
          </w:p>
        </w:tc>
        <w:tc>
          <w:tcPr>
            <w:tcW w:w="2900" w:type="dxa"/>
            <w:tcMar>
              <w:top w:w="40" w:type="dxa"/>
              <w:left w:w="80" w:type="dxa"/>
              <w:bottom w:w="40" w:type="dxa"/>
              <w:right w:w="80" w:type="dxa"/>
            </w:tcMar>
          </w:tcPr>
          <w:p w14:paraId="0377FA23" w14:textId="77777777" w:rsidR="003D02F5" w:rsidRDefault="00000000">
            <w:pPr>
              <w:jc w:val="center"/>
            </w:pPr>
            <w:r>
              <w:rPr>
                <w:sz w:val="18"/>
                <w:szCs w:val="18"/>
              </w:rPr>
              <w:t>28.5%</w:t>
            </w:r>
          </w:p>
        </w:tc>
      </w:tr>
      <w:tr w:rsidR="003D02F5" w14:paraId="367F6F93" w14:textId="77777777">
        <w:tblPrEx>
          <w:tblCellMar>
            <w:top w:w="0" w:type="dxa"/>
            <w:bottom w:w="0" w:type="dxa"/>
          </w:tblCellMar>
        </w:tblPrEx>
        <w:tc>
          <w:tcPr>
            <w:tcW w:w="3400" w:type="dxa"/>
            <w:tcMar>
              <w:top w:w="40" w:type="dxa"/>
              <w:left w:w="80" w:type="dxa"/>
              <w:bottom w:w="40" w:type="dxa"/>
              <w:right w:w="80" w:type="dxa"/>
            </w:tcMar>
          </w:tcPr>
          <w:p w14:paraId="6DC0382B" w14:textId="77777777" w:rsidR="003D02F5" w:rsidRDefault="00000000">
            <w:proofErr w:type="spellStart"/>
            <w:r>
              <w:rPr>
                <w:sz w:val="18"/>
                <w:szCs w:val="18"/>
              </w:rPr>
              <w:t>Uninsured</w:t>
            </w:r>
            <w:proofErr w:type="spellEnd"/>
          </w:p>
        </w:tc>
        <w:tc>
          <w:tcPr>
            <w:tcW w:w="2900" w:type="dxa"/>
            <w:tcMar>
              <w:top w:w="40" w:type="dxa"/>
              <w:left w:w="80" w:type="dxa"/>
              <w:bottom w:w="40" w:type="dxa"/>
              <w:right w:w="80" w:type="dxa"/>
            </w:tcMar>
          </w:tcPr>
          <w:p w14:paraId="0237B9DE" w14:textId="77777777" w:rsidR="003D02F5" w:rsidRDefault="00000000">
            <w:pPr>
              <w:jc w:val="center"/>
            </w:pPr>
            <w:r>
              <w:rPr>
                <w:sz w:val="18"/>
                <w:szCs w:val="18"/>
              </w:rPr>
              <w:t>7.0%</w:t>
            </w:r>
          </w:p>
        </w:tc>
        <w:tc>
          <w:tcPr>
            <w:tcW w:w="2900" w:type="dxa"/>
            <w:tcMar>
              <w:top w:w="40" w:type="dxa"/>
              <w:left w:w="80" w:type="dxa"/>
              <w:bottom w:w="40" w:type="dxa"/>
              <w:right w:w="80" w:type="dxa"/>
            </w:tcMar>
          </w:tcPr>
          <w:p w14:paraId="2EE23106" w14:textId="77777777" w:rsidR="003D02F5" w:rsidRDefault="00000000">
            <w:pPr>
              <w:jc w:val="center"/>
            </w:pPr>
            <w:r>
              <w:rPr>
                <w:sz w:val="18"/>
                <w:szCs w:val="18"/>
              </w:rPr>
              <w:t>6.8%</w:t>
            </w:r>
          </w:p>
        </w:tc>
      </w:tr>
      <w:tr w:rsidR="003D02F5" w14:paraId="52ED0103" w14:textId="77777777">
        <w:tblPrEx>
          <w:tblCellMar>
            <w:top w:w="0" w:type="dxa"/>
            <w:bottom w:w="0" w:type="dxa"/>
          </w:tblCellMar>
        </w:tblPrEx>
        <w:tc>
          <w:tcPr>
            <w:tcW w:w="3400" w:type="dxa"/>
            <w:tcMar>
              <w:top w:w="40" w:type="dxa"/>
              <w:left w:w="80" w:type="dxa"/>
              <w:bottom w:w="40" w:type="dxa"/>
              <w:right w:w="80" w:type="dxa"/>
            </w:tcMar>
          </w:tcPr>
          <w:p w14:paraId="51E83451" w14:textId="77777777" w:rsidR="003D02F5" w:rsidRDefault="00000000">
            <w:proofErr w:type="spellStart"/>
            <w:r>
              <w:rPr>
                <w:sz w:val="18"/>
                <w:szCs w:val="18"/>
              </w:rPr>
              <w:t>Poor</w:t>
            </w:r>
            <w:proofErr w:type="spellEnd"/>
            <w:r>
              <w:rPr>
                <w:sz w:val="18"/>
                <w:szCs w:val="18"/>
              </w:rPr>
              <w:t xml:space="preserve"> / </w:t>
            </w:r>
            <w:proofErr w:type="spellStart"/>
            <w:r>
              <w:rPr>
                <w:sz w:val="18"/>
                <w:szCs w:val="18"/>
              </w:rPr>
              <w:t>near-poor</w:t>
            </w:r>
            <w:proofErr w:type="spellEnd"/>
          </w:p>
        </w:tc>
        <w:tc>
          <w:tcPr>
            <w:tcW w:w="2900" w:type="dxa"/>
            <w:tcMar>
              <w:top w:w="40" w:type="dxa"/>
              <w:left w:w="80" w:type="dxa"/>
              <w:bottom w:w="40" w:type="dxa"/>
              <w:right w:w="80" w:type="dxa"/>
            </w:tcMar>
          </w:tcPr>
          <w:p w14:paraId="542BE011" w14:textId="77777777" w:rsidR="003D02F5" w:rsidRDefault="00000000">
            <w:pPr>
              <w:jc w:val="center"/>
            </w:pPr>
            <w:r>
              <w:rPr>
                <w:sz w:val="18"/>
                <w:szCs w:val="18"/>
              </w:rPr>
              <w:t>17.3%</w:t>
            </w:r>
          </w:p>
        </w:tc>
        <w:tc>
          <w:tcPr>
            <w:tcW w:w="2900" w:type="dxa"/>
            <w:tcMar>
              <w:top w:w="40" w:type="dxa"/>
              <w:left w:w="80" w:type="dxa"/>
              <w:bottom w:w="40" w:type="dxa"/>
              <w:right w:w="80" w:type="dxa"/>
            </w:tcMar>
          </w:tcPr>
          <w:p w14:paraId="323FC172" w14:textId="77777777" w:rsidR="003D02F5" w:rsidRDefault="00000000">
            <w:pPr>
              <w:jc w:val="center"/>
            </w:pPr>
            <w:r>
              <w:rPr>
                <w:sz w:val="18"/>
                <w:szCs w:val="18"/>
              </w:rPr>
              <w:t>16.3%</w:t>
            </w:r>
          </w:p>
        </w:tc>
      </w:tr>
      <w:tr w:rsidR="003D02F5" w14:paraId="122B456B" w14:textId="77777777">
        <w:tblPrEx>
          <w:tblCellMar>
            <w:top w:w="0" w:type="dxa"/>
            <w:bottom w:w="0" w:type="dxa"/>
          </w:tblCellMar>
        </w:tblPrEx>
        <w:tc>
          <w:tcPr>
            <w:tcW w:w="3400" w:type="dxa"/>
            <w:tcMar>
              <w:top w:w="40" w:type="dxa"/>
              <w:left w:w="80" w:type="dxa"/>
              <w:bottom w:w="40" w:type="dxa"/>
              <w:right w:w="80" w:type="dxa"/>
            </w:tcMar>
          </w:tcPr>
          <w:p w14:paraId="694CBEAF" w14:textId="77777777" w:rsidR="003D02F5" w:rsidRDefault="00000000">
            <w:r>
              <w:rPr>
                <w:sz w:val="18"/>
                <w:szCs w:val="18"/>
              </w:rPr>
              <w:t>High income</w:t>
            </w:r>
          </w:p>
        </w:tc>
        <w:tc>
          <w:tcPr>
            <w:tcW w:w="2900" w:type="dxa"/>
            <w:tcMar>
              <w:top w:w="40" w:type="dxa"/>
              <w:left w:w="80" w:type="dxa"/>
              <w:bottom w:w="40" w:type="dxa"/>
              <w:right w:w="80" w:type="dxa"/>
            </w:tcMar>
          </w:tcPr>
          <w:p w14:paraId="403C1D4F" w14:textId="77777777" w:rsidR="003D02F5" w:rsidRDefault="00000000">
            <w:pPr>
              <w:jc w:val="center"/>
            </w:pPr>
            <w:r>
              <w:rPr>
                <w:sz w:val="18"/>
                <w:szCs w:val="18"/>
              </w:rPr>
              <w:t>39.8%</w:t>
            </w:r>
          </w:p>
        </w:tc>
        <w:tc>
          <w:tcPr>
            <w:tcW w:w="2900" w:type="dxa"/>
            <w:tcMar>
              <w:top w:w="40" w:type="dxa"/>
              <w:left w:w="80" w:type="dxa"/>
              <w:bottom w:w="40" w:type="dxa"/>
              <w:right w:w="80" w:type="dxa"/>
            </w:tcMar>
          </w:tcPr>
          <w:p w14:paraId="5D3D4274" w14:textId="77777777" w:rsidR="003D02F5" w:rsidRDefault="00000000">
            <w:pPr>
              <w:jc w:val="center"/>
            </w:pPr>
            <w:r>
              <w:rPr>
                <w:sz w:val="18"/>
                <w:szCs w:val="18"/>
              </w:rPr>
              <w:t>42.8%</w:t>
            </w:r>
          </w:p>
        </w:tc>
      </w:tr>
      <w:tr w:rsidR="003D02F5" w14:paraId="72A0ABA0" w14:textId="77777777">
        <w:tblPrEx>
          <w:tblCellMar>
            <w:top w:w="0" w:type="dxa"/>
            <w:bottom w:w="0" w:type="dxa"/>
          </w:tblCellMar>
        </w:tblPrEx>
        <w:tc>
          <w:tcPr>
            <w:tcW w:w="3400" w:type="dxa"/>
            <w:tcMar>
              <w:top w:w="40" w:type="dxa"/>
              <w:left w:w="80" w:type="dxa"/>
              <w:bottom w:w="40" w:type="dxa"/>
              <w:right w:w="80" w:type="dxa"/>
            </w:tcMar>
          </w:tcPr>
          <w:p w14:paraId="2112D537" w14:textId="77777777" w:rsidR="003D02F5" w:rsidRPr="00B84E70" w:rsidRDefault="00000000">
            <w:pPr>
              <w:rPr>
                <w:lang w:val="en-US"/>
              </w:rPr>
            </w:pPr>
            <w:r w:rsidRPr="00B84E70">
              <w:rPr>
                <w:sz w:val="18"/>
                <w:szCs w:val="18"/>
                <w:lang w:val="en-US"/>
              </w:rPr>
              <w:t>Prior-year total expenditure, median</w:t>
            </w:r>
          </w:p>
        </w:tc>
        <w:tc>
          <w:tcPr>
            <w:tcW w:w="2900" w:type="dxa"/>
            <w:tcMar>
              <w:top w:w="40" w:type="dxa"/>
              <w:left w:w="80" w:type="dxa"/>
              <w:bottom w:w="40" w:type="dxa"/>
              <w:right w:w="80" w:type="dxa"/>
            </w:tcMar>
          </w:tcPr>
          <w:p w14:paraId="6A8A736C" w14:textId="77777777" w:rsidR="003D02F5" w:rsidRDefault="00000000">
            <w:pPr>
              <w:jc w:val="center"/>
            </w:pPr>
            <w:r>
              <w:rPr>
                <w:sz w:val="18"/>
                <w:szCs w:val="18"/>
              </w:rPr>
              <w:t>$1,095</w:t>
            </w:r>
          </w:p>
        </w:tc>
        <w:tc>
          <w:tcPr>
            <w:tcW w:w="2900" w:type="dxa"/>
            <w:tcMar>
              <w:top w:w="40" w:type="dxa"/>
              <w:left w:w="80" w:type="dxa"/>
              <w:bottom w:w="40" w:type="dxa"/>
              <w:right w:w="80" w:type="dxa"/>
            </w:tcMar>
          </w:tcPr>
          <w:p w14:paraId="5C7AEB45" w14:textId="77777777" w:rsidR="003D02F5" w:rsidRDefault="00000000">
            <w:pPr>
              <w:jc w:val="center"/>
            </w:pPr>
            <w:r>
              <w:rPr>
                <w:sz w:val="18"/>
                <w:szCs w:val="18"/>
              </w:rPr>
              <w:t>$1,392</w:t>
            </w:r>
          </w:p>
        </w:tc>
      </w:tr>
      <w:tr w:rsidR="003D02F5" w14:paraId="14C769A3" w14:textId="77777777">
        <w:tblPrEx>
          <w:tblCellMar>
            <w:top w:w="0" w:type="dxa"/>
            <w:bottom w:w="0" w:type="dxa"/>
          </w:tblCellMar>
        </w:tblPrEx>
        <w:tc>
          <w:tcPr>
            <w:tcW w:w="3400" w:type="dxa"/>
            <w:tcMar>
              <w:top w:w="40" w:type="dxa"/>
              <w:left w:w="80" w:type="dxa"/>
              <w:bottom w:w="40" w:type="dxa"/>
              <w:right w:w="80" w:type="dxa"/>
            </w:tcMar>
          </w:tcPr>
          <w:p w14:paraId="18E5191B" w14:textId="77777777" w:rsidR="003D02F5" w:rsidRPr="00B84E70" w:rsidRDefault="00000000">
            <w:pPr>
              <w:rPr>
                <w:lang w:val="en-US"/>
              </w:rPr>
            </w:pPr>
            <w:r w:rsidRPr="00B84E70">
              <w:rPr>
                <w:sz w:val="18"/>
                <w:szCs w:val="18"/>
                <w:lang w:val="en-US"/>
              </w:rPr>
              <w:t>Prior-year prescription fills, mean</w:t>
            </w:r>
          </w:p>
        </w:tc>
        <w:tc>
          <w:tcPr>
            <w:tcW w:w="2900" w:type="dxa"/>
            <w:tcMar>
              <w:top w:w="40" w:type="dxa"/>
              <w:left w:w="80" w:type="dxa"/>
              <w:bottom w:w="40" w:type="dxa"/>
              <w:right w:w="80" w:type="dxa"/>
            </w:tcMar>
          </w:tcPr>
          <w:p w14:paraId="2800DD94" w14:textId="77777777" w:rsidR="003D02F5" w:rsidRDefault="00000000">
            <w:pPr>
              <w:jc w:val="center"/>
            </w:pPr>
            <w:r>
              <w:rPr>
                <w:sz w:val="18"/>
                <w:szCs w:val="18"/>
              </w:rPr>
              <w:t>9.5</w:t>
            </w:r>
          </w:p>
        </w:tc>
        <w:tc>
          <w:tcPr>
            <w:tcW w:w="2900" w:type="dxa"/>
            <w:tcMar>
              <w:top w:w="40" w:type="dxa"/>
              <w:left w:w="80" w:type="dxa"/>
              <w:bottom w:w="40" w:type="dxa"/>
              <w:right w:w="80" w:type="dxa"/>
            </w:tcMar>
          </w:tcPr>
          <w:p w14:paraId="44413628" w14:textId="77777777" w:rsidR="003D02F5" w:rsidRDefault="00000000">
            <w:pPr>
              <w:jc w:val="center"/>
            </w:pPr>
            <w:r>
              <w:rPr>
                <w:sz w:val="18"/>
                <w:szCs w:val="18"/>
              </w:rPr>
              <w:t>8.4</w:t>
            </w:r>
          </w:p>
        </w:tc>
      </w:tr>
    </w:tbl>
    <w:p w14:paraId="412C422B" w14:textId="77777777" w:rsidR="003D02F5" w:rsidRPr="00B84E70" w:rsidRDefault="00000000">
      <w:pPr>
        <w:spacing w:after="200"/>
        <w:rPr>
          <w:lang w:val="en-US"/>
        </w:rPr>
      </w:pPr>
      <w:r w:rsidRPr="00B84E70">
        <w:rPr>
          <w:i/>
          <w:iCs/>
          <w:sz w:val="18"/>
          <w:szCs w:val="18"/>
          <w:lang w:val="en-US"/>
        </w:rPr>
        <w:t>Table 1. Survey-weighted characteristics of the development and external-validation cohorts. Populations are averaged over the panels pooled in each cohort.</w:t>
      </w:r>
    </w:p>
    <w:p w14:paraId="59F34F0D" w14:textId="77777777" w:rsidR="003D02F5" w:rsidRPr="00B84E70" w:rsidRDefault="003D02F5">
      <w:pPr>
        <w:spacing w:after="160" w:line="300" w:lineRule="auto"/>
        <w:jc w:val="both"/>
        <w:rPr>
          <w:lang w:val="en-US"/>
        </w:rPr>
      </w:pPr>
    </w:p>
    <w:p w14:paraId="662C80FC" w14:textId="77777777" w:rsidR="003D02F5" w:rsidRPr="00B84E70" w:rsidRDefault="00000000">
      <w:pPr>
        <w:pStyle w:val="Heading2"/>
        <w:spacing w:before="160" w:after="80"/>
        <w:rPr>
          <w:lang w:val="en-US"/>
        </w:rPr>
      </w:pPr>
      <w:r w:rsidRPr="00B84E70">
        <w:rPr>
          <w:b/>
          <w:bCs/>
          <w:i/>
          <w:iCs/>
          <w:sz w:val="23"/>
          <w:szCs w:val="23"/>
          <w:lang w:val="en-US"/>
        </w:rPr>
        <w:t>3.2 Feature selection</w:t>
      </w:r>
    </w:p>
    <w:p w14:paraId="545D2687" w14:textId="77777777" w:rsidR="003D02F5" w:rsidRPr="00B84E70" w:rsidRDefault="00000000">
      <w:pPr>
        <w:spacing w:after="160" w:line="300" w:lineRule="auto"/>
        <w:jc w:val="both"/>
        <w:rPr>
          <w:lang w:val="en-US"/>
        </w:rPr>
      </w:pPr>
      <w:r w:rsidRPr="00B84E70">
        <w:rPr>
          <w:lang w:val="en-US"/>
        </w:rPr>
        <w:t>The design-based pipeline reduced 685 candidate year-1 variables to a final set of 62 features (685 to 176 after structural exclusion and the round-based allowlist; 79 after weighted filtering; 72 after the Rao–Scott screen; 62 after the survey-weighted LASSO). The retained features spanned prior spending and utilization, self-reported physical and mental health, functional limitation, chronic-condition diagnoses, and sociodemographic and insurance characteristics, and were applied identically across all five panels.</w:t>
      </w:r>
    </w:p>
    <w:p w14:paraId="149BE0DD" w14:textId="77777777" w:rsidR="003D02F5" w:rsidRPr="00B84E70" w:rsidRDefault="00000000">
      <w:pPr>
        <w:pStyle w:val="Heading2"/>
        <w:spacing w:before="160" w:after="80"/>
        <w:rPr>
          <w:lang w:val="en-US"/>
        </w:rPr>
      </w:pPr>
      <w:r w:rsidRPr="00B84E70">
        <w:rPr>
          <w:b/>
          <w:bCs/>
          <w:i/>
          <w:iCs/>
          <w:sz w:val="23"/>
          <w:szCs w:val="23"/>
          <w:lang w:val="en-US"/>
        </w:rPr>
        <w:lastRenderedPageBreak/>
        <w:t>3.3 Discrimination, operating characteristics, and calibration</w:t>
      </w:r>
    </w:p>
    <w:p w14:paraId="3B0E2D44" w14:textId="77777777" w:rsidR="003D02F5" w:rsidRPr="00B84E70" w:rsidRDefault="00000000">
      <w:pPr>
        <w:spacing w:after="160" w:line="300" w:lineRule="auto"/>
        <w:jc w:val="both"/>
        <w:rPr>
          <w:lang w:val="en-US"/>
        </w:rPr>
      </w:pPr>
      <w:r w:rsidRPr="00B84E70">
        <w:rPr>
          <w:lang w:val="en-US"/>
        </w:rPr>
        <w:t xml:space="preserve">In external temporal validation the model achieved a weighted AUC of 0.857 (95% CI 0.842–0.869), with essentially identical performance in the two validation panels a year apart (panel 26, 0.856; panel 27, 0.857), indicating temporal stability across the pandemic period. Discrimination exceeded survey-weighted </w:t>
      </w:r>
      <w:proofErr w:type="spellStart"/>
      <w:r w:rsidRPr="00B84E70">
        <w:rPr>
          <w:lang w:val="en-US"/>
        </w:rPr>
        <w:t>XGBoost</w:t>
      </w:r>
      <w:proofErr w:type="spellEnd"/>
      <w:r w:rsidRPr="00B84E70">
        <w:rPr>
          <w:lang w:val="en-US"/>
        </w:rPr>
        <w:t xml:space="preserve"> (0.851), survey logistic regression (0.846), and the prior-year-cost model (0.813) (Table 2). At a fixed-capacity operating point that flags the top decile of predicted risk, the model captured 48.9% of persons who became high-cost the following year, at a positive predictive value of 48.9% and an approximately five-fold enrichment over the 10% base rate. Sensitivity and positive predictive value coincide here because the flag rate (the top decile) equals the event rate (10%); this is an arithmetic consequence of the operating point, not a coincidence. Calibration was close to ideal (slope 0.93; mean predicted 0.106 vs. observed 0.100; Brier 0.068), with predicted and observed risks tracking the identity line across the full range (Figure 1).</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000"/>
      </w:tblGrid>
      <w:tr w:rsidR="003D02F5" w14:paraId="762AC03D" w14:textId="77777777">
        <w:tblPrEx>
          <w:tblCellMar>
            <w:top w:w="0" w:type="dxa"/>
            <w:bottom w:w="0" w:type="dxa"/>
          </w:tblCellMar>
        </w:tblPrEx>
        <w:trPr>
          <w:tblHeader/>
        </w:trPr>
        <w:tc>
          <w:tcPr>
            <w:tcW w:w="5200" w:type="dxa"/>
            <w:shd w:val="clear" w:color="auto" w:fill="D9E2F3"/>
            <w:tcMar>
              <w:top w:w="40" w:type="dxa"/>
              <w:left w:w="80" w:type="dxa"/>
              <w:bottom w:w="40" w:type="dxa"/>
              <w:right w:w="80" w:type="dxa"/>
            </w:tcMar>
          </w:tcPr>
          <w:p w14:paraId="29EB5F46" w14:textId="77777777" w:rsidR="003D02F5" w:rsidRDefault="00000000">
            <w:r>
              <w:rPr>
                <w:b/>
                <w:bCs/>
                <w:sz w:val="18"/>
                <w:szCs w:val="18"/>
              </w:rPr>
              <w:t xml:space="preserve">Model / </w:t>
            </w:r>
            <w:proofErr w:type="spellStart"/>
            <w:r>
              <w:rPr>
                <w:b/>
                <w:bCs/>
                <w:sz w:val="18"/>
                <w:szCs w:val="18"/>
              </w:rPr>
              <w:t>metric</w:t>
            </w:r>
            <w:proofErr w:type="spellEnd"/>
          </w:p>
        </w:tc>
        <w:tc>
          <w:tcPr>
            <w:tcW w:w="3000" w:type="dxa"/>
            <w:shd w:val="clear" w:color="auto" w:fill="D9E2F3"/>
            <w:tcMar>
              <w:top w:w="40" w:type="dxa"/>
              <w:left w:w="80" w:type="dxa"/>
              <w:bottom w:w="40" w:type="dxa"/>
              <w:right w:w="80" w:type="dxa"/>
            </w:tcMar>
          </w:tcPr>
          <w:p w14:paraId="45B2C48A" w14:textId="77777777" w:rsidR="003D02F5" w:rsidRDefault="00000000">
            <w:proofErr w:type="spellStart"/>
            <w:r>
              <w:rPr>
                <w:b/>
                <w:bCs/>
                <w:sz w:val="18"/>
                <w:szCs w:val="18"/>
              </w:rPr>
              <w:t>Value</w:t>
            </w:r>
            <w:proofErr w:type="spellEnd"/>
          </w:p>
        </w:tc>
      </w:tr>
      <w:tr w:rsidR="003D02F5" w14:paraId="5E192AE4" w14:textId="77777777">
        <w:tblPrEx>
          <w:tblCellMar>
            <w:top w:w="0" w:type="dxa"/>
            <w:bottom w:w="0" w:type="dxa"/>
          </w:tblCellMar>
        </w:tblPrEx>
        <w:tc>
          <w:tcPr>
            <w:tcW w:w="5200" w:type="dxa"/>
            <w:tcMar>
              <w:top w:w="40" w:type="dxa"/>
              <w:left w:w="80" w:type="dxa"/>
              <w:bottom w:w="40" w:type="dxa"/>
              <w:right w:w="80" w:type="dxa"/>
            </w:tcMar>
          </w:tcPr>
          <w:p w14:paraId="611DE9C1" w14:textId="77777777" w:rsidR="003D02F5" w:rsidRDefault="00000000">
            <w:proofErr w:type="spellStart"/>
            <w:r>
              <w:rPr>
                <w:sz w:val="18"/>
                <w:szCs w:val="18"/>
              </w:rPr>
              <w:t>LightGBM</w:t>
            </w:r>
            <w:proofErr w:type="spellEnd"/>
            <w:r>
              <w:rPr>
                <w:sz w:val="18"/>
                <w:szCs w:val="18"/>
              </w:rPr>
              <w:t xml:space="preserve"> AUC (95% CI)</w:t>
            </w:r>
          </w:p>
        </w:tc>
        <w:tc>
          <w:tcPr>
            <w:tcW w:w="3000" w:type="dxa"/>
            <w:tcMar>
              <w:top w:w="40" w:type="dxa"/>
              <w:left w:w="80" w:type="dxa"/>
              <w:bottom w:w="40" w:type="dxa"/>
              <w:right w:w="80" w:type="dxa"/>
            </w:tcMar>
          </w:tcPr>
          <w:p w14:paraId="539D8C38" w14:textId="77777777" w:rsidR="003D02F5" w:rsidRDefault="00000000">
            <w:pPr>
              <w:jc w:val="center"/>
            </w:pPr>
            <w:r>
              <w:rPr>
                <w:sz w:val="18"/>
                <w:szCs w:val="18"/>
              </w:rPr>
              <w:t>0.857 (0.842–0.869)</w:t>
            </w:r>
          </w:p>
        </w:tc>
      </w:tr>
      <w:tr w:rsidR="003D02F5" w14:paraId="715653BB" w14:textId="77777777">
        <w:tblPrEx>
          <w:tblCellMar>
            <w:top w:w="0" w:type="dxa"/>
            <w:bottom w:w="0" w:type="dxa"/>
          </w:tblCellMar>
        </w:tblPrEx>
        <w:tc>
          <w:tcPr>
            <w:tcW w:w="5200" w:type="dxa"/>
            <w:tcMar>
              <w:top w:w="40" w:type="dxa"/>
              <w:left w:w="80" w:type="dxa"/>
              <w:bottom w:w="40" w:type="dxa"/>
              <w:right w:w="80" w:type="dxa"/>
            </w:tcMar>
          </w:tcPr>
          <w:p w14:paraId="068F51E9" w14:textId="77777777" w:rsidR="003D02F5" w:rsidRDefault="00000000">
            <w:r>
              <w:rPr>
                <w:sz w:val="18"/>
                <w:szCs w:val="18"/>
              </w:rPr>
              <w:t xml:space="preserve">AUC, </w:t>
            </w:r>
            <w:proofErr w:type="spellStart"/>
            <w:r>
              <w:rPr>
                <w:sz w:val="18"/>
                <w:szCs w:val="18"/>
              </w:rPr>
              <w:t>panel</w:t>
            </w:r>
            <w:proofErr w:type="spellEnd"/>
            <w:r>
              <w:rPr>
                <w:sz w:val="18"/>
                <w:szCs w:val="18"/>
              </w:rPr>
              <w:t xml:space="preserve"> 26 / </w:t>
            </w:r>
            <w:proofErr w:type="spellStart"/>
            <w:r>
              <w:rPr>
                <w:sz w:val="18"/>
                <w:szCs w:val="18"/>
              </w:rPr>
              <w:t>panel</w:t>
            </w:r>
            <w:proofErr w:type="spellEnd"/>
            <w:r>
              <w:rPr>
                <w:sz w:val="18"/>
                <w:szCs w:val="18"/>
              </w:rPr>
              <w:t xml:space="preserve"> 27</w:t>
            </w:r>
          </w:p>
        </w:tc>
        <w:tc>
          <w:tcPr>
            <w:tcW w:w="3000" w:type="dxa"/>
            <w:tcMar>
              <w:top w:w="40" w:type="dxa"/>
              <w:left w:w="80" w:type="dxa"/>
              <w:bottom w:w="40" w:type="dxa"/>
              <w:right w:w="80" w:type="dxa"/>
            </w:tcMar>
          </w:tcPr>
          <w:p w14:paraId="43460C65" w14:textId="77777777" w:rsidR="003D02F5" w:rsidRDefault="00000000">
            <w:pPr>
              <w:jc w:val="center"/>
            </w:pPr>
            <w:r>
              <w:rPr>
                <w:sz w:val="18"/>
                <w:szCs w:val="18"/>
              </w:rPr>
              <w:t>0.856 / 0.857</w:t>
            </w:r>
          </w:p>
        </w:tc>
      </w:tr>
      <w:tr w:rsidR="003D02F5" w14:paraId="0710E906" w14:textId="77777777">
        <w:tblPrEx>
          <w:tblCellMar>
            <w:top w:w="0" w:type="dxa"/>
            <w:bottom w:w="0" w:type="dxa"/>
          </w:tblCellMar>
        </w:tblPrEx>
        <w:tc>
          <w:tcPr>
            <w:tcW w:w="5200" w:type="dxa"/>
            <w:tcMar>
              <w:top w:w="40" w:type="dxa"/>
              <w:left w:w="80" w:type="dxa"/>
              <w:bottom w:w="40" w:type="dxa"/>
              <w:right w:w="80" w:type="dxa"/>
            </w:tcMar>
          </w:tcPr>
          <w:p w14:paraId="17D7335C" w14:textId="77777777" w:rsidR="003D02F5" w:rsidRDefault="00000000">
            <w:proofErr w:type="spellStart"/>
            <w:r>
              <w:rPr>
                <w:sz w:val="18"/>
                <w:szCs w:val="18"/>
              </w:rPr>
              <w:t>XGBoost</w:t>
            </w:r>
            <w:proofErr w:type="spellEnd"/>
            <w:r>
              <w:rPr>
                <w:sz w:val="18"/>
                <w:szCs w:val="18"/>
              </w:rPr>
              <w:t xml:space="preserve"> AUC</w:t>
            </w:r>
          </w:p>
        </w:tc>
        <w:tc>
          <w:tcPr>
            <w:tcW w:w="3000" w:type="dxa"/>
            <w:tcMar>
              <w:top w:w="40" w:type="dxa"/>
              <w:left w:w="80" w:type="dxa"/>
              <w:bottom w:w="40" w:type="dxa"/>
              <w:right w:w="80" w:type="dxa"/>
            </w:tcMar>
          </w:tcPr>
          <w:p w14:paraId="35D9FECE" w14:textId="77777777" w:rsidR="003D02F5" w:rsidRDefault="00000000">
            <w:pPr>
              <w:jc w:val="center"/>
            </w:pPr>
            <w:r>
              <w:rPr>
                <w:sz w:val="18"/>
                <w:szCs w:val="18"/>
              </w:rPr>
              <w:t>0.851</w:t>
            </w:r>
          </w:p>
        </w:tc>
      </w:tr>
      <w:tr w:rsidR="003D02F5" w14:paraId="0BE9D262" w14:textId="77777777">
        <w:tblPrEx>
          <w:tblCellMar>
            <w:top w:w="0" w:type="dxa"/>
            <w:bottom w:w="0" w:type="dxa"/>
          </w:tblCellMar>
        </w:tblPrEx>
        <w:tc>
          <w:tcPr>
            <w:tcW w:w="5200" w:type="dxa"/>
            <w:tcMar>
              <w:top w:w="40" w:type="dxa"/>
              <w:left w:w="80" w:type="dxa"/>
              <w:bottom w:w="40" w:type="dxa"/>
              <w:right w:w="80" w:type="dxa"/>
            </w:tcMar>
          </w:tcPr>
          <w:p w14:paraId="2EC849E5" w14:textId="77777777" w:rsidR="003D02F5" w:rsidRDefault="00000000">
            <w:proofErr w:type="spellStart"/>
            <w:r>
              <w:rPr>
                <w:sz w:val="18"/>
                <w:szCs w:val="18"/>
              </w:rPr>
              <w:t>Survey</w:t>
            </w:r>
            <w:proofErr w:type="spellEnd"/>
            <w:r>
              <w:rPr>
                <w:sz w:val="18"/>
                <w:szCs w:val="18"/>
              </w:rPr>
              <w:t xml:space="preserve"> </w:t>
            </w:r>
            <w:proofErr w:type="spellStart"/>
            <w:r>
              <w:rPr>
                <w:sz w:val="18"/>
                <w:szCs w:val="18"/>
              </w:rPr>
              <w:t>logistic</w:t>
            </w:r>
            <w:proofErr w:type="spellEnd"/>
            <w:r>
              <w:rPr>
                <w:sz w:val="18"/>
                <w:szCs w:val="18"/>
              </w:rPr>
              <w:t xml:space="preserve"> </w:t>
            </w:r>
            <w:proofErr w:type="spellStart"/>
            <w:r>
              <w:rPr>
                <w:sz w:val="18"/>
                <w:szCs w:val="18"/>
              </w:rPr>
              <w:t>regression</w:t>
            </w:r>
            <w:proofErr w:type="spellEnd"/>
            <w:r>
              <w:rPr>
                <w:sz w:val="18"/>
                <w:szCs w:val="18"/>
              </w:rPr>
              <w:t xml:space="preserve"> AUC</w:t>
            </w:r>
          </w:p>
        </w:tc>
        <w:tc>
          <w:tcPr>
            <w:tcW w:w="3000" w:type="dxa"/>
            <w:tcMar>
              <w:top w:w="40" w:type="dxa"/>
              <w:left w:w="80" w:type="dxa"/>
              <w:bottom w:w="40" w:type="dxa"/>
              <w:right w:w="80" w:type="dxa"/>
            </w:tcMar>
          </w:tcPr>
          <w:p w14:paraId="54C7B14E" w14:textId="77777777" w:rsidR="003D02F5" w:rsidRDefault="00000000">
            <w:pPr>
              <w:jc w:val="center"/>
            </w:pPr>
            <w:r>
              <w:rPr>
                <w:sz w:val="18"/>
                <w:szCs w:val="18"/>
              </w:rPr>
              <w:t>0.846</w:t>
            </w:r>
          </w:p>
        </w:tc>
      </w:tr>
      <w:tr w:rsidR="003D02F5" w14:paraId="64DC8A80" w14:textId="77777777">
        <w:tblPrEx>
          <w:tblCellMar>
            <w:top w:w="0" w:type="dxa"/>
            <w:bottom w:w="0" w:type="dxa"/>
          </w:tblCellMar>
        </w:tblPrEx>
        <w:tc>
          <w:tcPr>
            <w:tcW w:w="5200" w:type="dxa"/>
            <w:tcMar>
              <w:top w:w="40" w:type="dxa"/>
              <w:left w:w="80" w:type="dxa"/>
              <w:bottom w:w="40" w:type="dxa"/>
              <w:right w:w="80" w:type="dxa"/>
            </w:tcMar>
          </w:tcPr>
          <w:p w14:paraId="2438B34C" w14:textId="77777777" w:rsidR="003D02F5" w:rsidRPr="00B84E70" w:rsidRDefault="00000000">
            <w:pPr>
              <w:rPr>
                <w:lang w:val="en-US"/>
              </w:rPr>
            </w:pPr>
            <w:r w:rsidRPr="00B84E70">
              <w:rPr>
                <w:sz w:val="18"/>
                <w:szCs w:val="18"/>
                <w:lang w:val="en-US"/>
              </w:rPr>
              <w:t>Prior-year cost only AUC</w:t>
            </w:r>
          </w:p>
        </w:tc>
        <w:tc>
          <w:tcPr>
            <w:tcW w:w="3000" w:type="dxa"/>
            <w:tcMar>
              <w:top w:w="40" w:type="dxa"/>
              <w:left w:w="80" w:type="dxa"/>
              <w:bottom w:w="40" w:type="dxa"/>
              <w:right w:w="80" w:type="dxa"/>
            </w:tcMar>
          </w:tcPr>
          <w:p w14:paraId="2E433F34" w14:textId="77777777" w:rsidR="003D02F5" w:rsidRDefault="00000000">
            <w:pPr>
              <w:jc w:val="center"/>
            </w:pPr>
            <w:r>
              <w:rPr>
                <w:sz w:val="18"/>
                <w:szCs w:val="18"/>
              </w:rPr>
              <w:t>0.813</w:t>
            </w:r>
          </w:p>
        </w:tc>
      </w:tr>
      <w:tr w:rsidR="003D02F5" w14:paraId="35AE91E8" w14:textId="77777777">
        <w:tblPrEx>
          <w:tblCellMar>
            <w:top w:w="0" w:type="dxa"/>
            <w:bottom w:w="0" w:type="dxa"/>
          </w:tblCellMar>
        </w:tblPrEx>
        <w:tc>
          <w:tcPr>
            <w:tcW w:w="5200" w:type="dxa"/>
            <w:tcMar>
              <w:top w:w="40" w:type="dxa"/>
              <w:left w:w="80" w:type="dxa"/>
              <w:bottom w:w="40" w:type="dxa"/>
              <w:right w:w="80" w:type="dxa"/>
            </w:tcMar>
          </w:tcPr>
          <w:p w14:paraId="7BBA3DD1" w14:textId="77777777" w:rsidR="003D02F5" w:rsidRDefault="00000000">
            <w:proofErr w:type="spellStart"/>
            <w:r>
              <w:rPr>
                <w:sz w:val="18"/>
                <w:szCs w:val="18"/>
              </w:rPr>
              <w:t>Calibration</w:t>
            </w:r>
            <w:proofErr w:type="spellEnd"/>
            <w:r>
              <w:rPr>
                <w:sz w:val="18"/>
                <w:szCs w:val="18"/>
              </w:rPr>
              <w:t xml:space="preserve"> </w:t>
            </w:r>
            <w:proofErr w:type="spellStart"/>
            <w:r>
              <w:rPr>
                <w:sz w:val="18"/>
                <w:szCs w:val="18"/>
              </w:rPr>
              <w:t>slope</w:t>
            </w:r>
            <w:proofErr w:type="spellEnd"/>
          </w:p>
        </w:tc>
        <w:tc>
          <w:tcPr>
            <w:tcW w:w="3000" w:type="dxa"/>
            <w:tcMar>
              <w:top w:w="40" w:type="dxa"/>
              <w:left w:w="80" w:type="dxa"/>
              <w:bottom w:w="40" w:type="dxa"/>
              <w:right w:w="80" w:type="dxa"/>
            </w:tcMar>
          </w:tcPr>
          <w:p w14:paraId="32E27BA7" w14:textId="77777777" w:rsidR="003D02F5" w:rsidRDefault="00000000">
            <w:pPr>
              <w:jc w:val="center"/>
            </w:pPr>
            <w:r>
              <w:rPr>
                <w:sz w:val="18"/>
                <w:szCs w:val="18"/>
              </w:rPr>
              <w:t>0.93</w:t>
            </w:r>
          </w:p>
        </w:tc>
      </w:tr>
      <w:tr w:rsidR="003D02F5" w14:paraId="0C639FA2" w14:textId="77777777">
        <w:tblPrEx>
          <w:tblCellMar>
            <w:top w:w="0" w:type="dxa"/>
            <w:bottom w:w="0" w:type="dxa"/>
          </w:tblCellMar>
        </w:tblPrEx>
        <w:tc>
          <w:tcPr>
            <w:tcW w:w="5200" w:type="dxa"/>
            <w:tcMar>
              <w:top w:w="40" w:type="dxa"/>
              <w:left w:w="80" w:type="dxa"/>
              <w:bottom w:w="40" w:type="dxa"/>
              <w:right w:w="80" w:type="dxa"/>
            </w:tcMar>
          </w:tcPr>
          <w:p w14:paraId="05203BC4" w14:textId="77777777" w:rsidR="003D02F5" w:rsidRPr="00B84E70" w:rsidRDefault="00000000">
            <w:pPr>
              <w:rPr>
                <w:lang w:val="en-US"/>
              </w:rPr>
            </w:pPr>
            <w:r w:rsidRPr="00B84E70">
              <w:rPr>
                <w:sz w:val="18"/>
                <w:szCs w:val="18"/>
                <w:lang w:val="en-US"/>
              </w:rPr>
              <w:t xml:space="preserve">Calibration-in-the-large (pred / </w:t>
            </w:r>
            <w:proofErr w:type="spellStart"/>
            <w:r w:rsidRPr="00B84E70">
              <w:rPr>
                <w:sz w:val="18"/>
                <w:szCs w:val="18"/>
                <w:lang w:val="en-US"/>
              </w:rPr>
              <w:t>obs</w:t>
            </w:r>
            <w:proofErr w:type="spellEnd"/>
            <w:r w:rsidRPr="00B84E70">
              <w:rPr>
                <w:sz w:val="18"/>
                <w:szCs w:val="18"/>
                <w:lang w:val="en-US"/>
              </w:rPr>
              <w:t>)</w:t>
            </w:r>
          </w:p>
        </w:tc>
        <w:tc>
          <w:tcPr>
            <w:tcW w:w="3000" w:type="dxa"/>
            <w:tcMar>
              <w:top w:w="40" w:type="dxa"/>
              <w:left w:w="80" w:type="dxa"/>
              <w:bottom w:w="40" w:type="dxa"/>
              <w:right w:w="80" w:type="dxa"/>
            </w:tcMar>
          </w:tcPr>
          <w:p w14:paraId="40A17072" w14:textId="77777777" w:rsidR="003D02F5" w:rsidRDefault="00000000">
            <w:pPr>
              <w:jc w:val="center"/>
            </w:pPr>
            <w:r>
              <w:rPr>
                <w:sz w:val="18"/>
                <w:szCs w:val="18"/>
              </w:rPr>
              <w:t>0.106 / 0.100</w:t>
            </w:r>
          </w:p>
        </w:tc>
      </w:tr>
      <w:tr w:rsidR="003D02F5" w14:paraId="479AB0E2" w14:textId="77777777">
        <w:tblPrEx>
          <w:tblCellMar>
            <w:top w:w="0" w:type="dxa"/>
            <w:bottom w:w="0" w:type="dxa"/>
          </w:tblCellMar>
        </w:tblPrEx>
        <w:tc>
          <w:tcPr>
            <w:tcW w:w="5200" w:type="dxa"/>
            <w:tcMar>
              <w:top w:w="40" w:type="dxa"/>
              <w:left w:w="80" w:type="dxa"/>
              <w:bottom w:w="40" w:type="dxa"/>
              <w:right w:w="80" w:type="dxa"/>
            </w:tcMar>
          </w:tcPr>
          <w:p w14:paraId="64EFB1A3" w14:textId="77777777" w:rsidR="003D02F5" w:rsidRDefault="00000000">
            <w:proofErr w:type="spellStart"/>
            <w:r>
              <w:rPr>
                <w:sz w:val="18"/>
                <w:szCs w:val="18"/>
              </w:rPr>
              <w:t>Brier</w:t>
            </w:r>
            <w:proofErr w:type="spellEnd"/>
            <w:r>
              <w:rPr>
                <w:sz w:val="18"/>
                <w:szCs w:val="18"/>
              </w:rPr>
              <w:t xml:space="preserve"> score</w:t>
            </w:r>
          </w:p>
        </w:tc>
        <w:tc>
          <w:tcPr>
            <w:tcW w:w="3000" w:type="dxa"/>
            <w:tcMar>
              <w:top w:w="40" w:type="dxa"/>
              <w:left w:w="80" w:type="dxa"/>
              <w:bottom w:w="40" w:type="dxa"/>
              <w:right w:w="80" w:type="dxa"/>
            </w:tcMar>
          </w:tcPr>
          <w:p w14:paraId="5A7EA55C" w14:textId="77777777" w:rsidR="003D02F5" w:rsidRDefault="00000000">
            <w:pPr>
              <w:jc w:val="center"/>
            </w:pPr>
            <w:r>
              <w:rPr>
                <w:sz w:val="18"/>
                <w:szCs w:val="18"/>
              </w:rPr>
              <w:t>0.068</w:t>
            </w:r>
          </w:p>
        </w:tc>
      </w:tr>
      <w:tr w:rsidR="003D02F5" w14:paraId="431F265E" w14:textId="77777777">
        <w:tblPrEx>
          <w:tblCellMar>
            <w:top w:w="0" w:type="dxa"/>
            <w:bottom w:w="0" w:type="dxa"/>
          </w:tblCellMar>
        </w:tblPrEx>
        <w:tc>
          <w:tcPr>
            <w:tcW w:w="5200" w:type="dxa"/>
            <w:tcMar>
              <w:top w:w="40" w:type="dxa"/>
              <w:left w:w="80" w:type="dxa"/>
              <w:bottom w:w="40" w:type="dxa"/>
              <w:right w:w="80" w:type="dxa"/>
            </w:tcMar>
          </w:tcPr>
          <w:p w14:paraId="1480AE9D" w14:textId="77777777" w:rsidR="003D02F5" w:rsidRPr="00B84E70" w:rsidRDefault="00000000">
            <w:pPr>
              <w:rPr>
                <w:lang w:val="en-US"/>
              </w:rPr>
            </w:pPr>
            <w:r w:rsidRPr="00B84E70">
              <w:rPr>
                <w:sz w:val="18"/>
                <w:szCs w:val="18"/>
                <w:lang w:val="en-US"/>
              </w:rPr>
              <w:t>Sensitivity at top-decile flag</w:t>
            </w:r>
          </w:p>
        </w:tc>
        <w:tc>
          <w:tcPr>
            <w:tcW w:w="3000" w:type="dxa"/>
            <w:tcMar>
              <w:top w:w="40" w:type="dxa"/>
              <w:left w:w="80" w:type="dxa"/>
              <w:bottom w:w="40" w:type="dxa"/>
              <w:right w:w="80" w:type="dxa"/>
            </w:tcMar>
          </w:tcPr>
          <w:p w14:paraId="27B76EB7" w14:textId="77777777" w:rsidR="003D02F5" w:rsidRDefault="00000000">
            <w:pPr>
              <w:jc w:val="center"/>
            </w:pPr>
            <w:r>
              <w:rPr>
                <w:sz w:val="18"/>
                <w:szCs w:val="18"/>
              </w:rPr>
              <w:t>48.9%</w:t>
            </w:r>
          </w:p>
        </w:tc>
      </w:tr>
      <w:tr w:rsidR="003D02F5" w14:paraId="5627ADCA" w14:textId="77777777">
        <w:tblPrEx>
          <w:tblCellMar>
            <w:top w:w="0" w:type="dxa"/>
            <w:bottom w:w="0" w:type="dxa"/>
          </w:tblCellMar>
        </w:tblPrEx>
        <w:tc>
          <w:tcPr>
            <w:tcW w:w="5200" w:type="dxa"/>
            <w:tcMar>
              <w:top w:w="40" w:type="dxa"/>
              <w:left w:w="80" w:type="dxa"/>
              <w:bottom w:w="40" w:type="dxa"/>
              <w:right w:w="80" w:type="dxa"/>
            </w:tcMar>
          </w:tcPr>
          <w:p w14:paraId="1D0FAD5B" w14:textId="77777777" w:rsidR="003D02F5" w:rsidRPr="00B84E70" w:rsidRDefault="00000000">
            <w:pPr>
              <w:rPr>
                <w:lang w:val="en-US"/>
              </w:rPr>
            </w:pPr>
            <w:r w:rsidRPr="00B84E70">
              <w:rPr>
                <w:sz w:val="18"/>
                <w:szCs w:val="18"/>
                <w:lang w:val="en-US"/>
              </w:rPr>
              <w:t>Specificity at top-decile flag</w:t>
            </w:r>
          </w:p>
        </w:tc>
        <w:tc>
          <w:tcPr>
            <w:tcW w:w="3000" w:type="dxa"/>
            <w:tcMar>
              <w:top w:w="40" w:type="dxa"/>
              <w:left w:w="80" w:type="dxa"/>
              <w:bottom w:w="40" w:type="dxa"/>
              <w:right w:w="80" w:type="dxa"/>
            </w:tcMar>
          </w:tcPr>
          <w:p w14:paraId="7D7A414A" w14:textId="77777777" w:rsidR="003D02F5" w:rsidRDefault="00000000">
            <w:pPr>
              <w:jc w:val="center"/>
            </w:pPr>
            <w:r>
              <w:rPr>
                <w:sz w:val="18"/>
                <w:szCs w:val="18"/>
              </w:rPr>
              <w:t>94.3%</w:t>
            </w:r>
          </w:p>
        </w:tc>
      </w:tr>
      <w:tr w:rsidR="003D02F5" w14:paraId="590308E3" w14:textId="77777777">
        <w:tblPrEx>
          <w:tblCellMar>
            <w:top w:w="0" w:type="dxa"/>
            <w:bottom w:w="0" w:type="dxa"/>
          </w:tblCellMar>
        </w:tblPrEx>
        <w:tc>
          <w:tcPr>
            <w:tcW w:w="5200" w:type="dxa"/>
            <w:tcMar>
              <w:top w:w="40" w:type="dxa"/>
              <w:left w:w="80" w:type="dxa"/>
              <w:bottom w:w="40" w:type="dxa"/>
              <w:right w:w="80" w:type="dxa"/>
            </w:tcMar>
          </w:tcPr>
          <w:p w14:paraId="4B430C9A" w14:textId="77777777" w:rsidR="003D02F5" w:rsidRDefault="00000000">
            <w:r>
              <w:rPr>
                <w:sz w:val="18"/>
                <w:szCs w:val="18"/>
              </w:rPr>
              <w:t xml:space="preserve">Positive </w:t>
            </w:r>
            <w:proofErr w:type="spellStart"/>
            <w:r>
              <w:rPr>
                <w:sz w:val="18"/>
                <w:szCs w:val="18"/>
              </w:rPr>
              <w:t>predictive</w:t>
            </w:r>
            <w:proofErr w:type="spellEnd"/>
            <w:r>
              <w:rPr>
                <w:sz w:val="18"/>
                <w:szCs w:val="18"/>
              </w:rPr>
              <w:t xml:space="preserve"> </w:t>
            </w:r>
            <w:proofErr w:type="spellStart"/>
            <w:r>
              <w:rPr>
                <w:sz w:val="18"/>
                <w:szCs w:val="18"/>
              </w:rPr>
              <w:t>value</w:t>
            </w:r>
            <w:proofErr w:type="spellEnd"/>
          </w:p>
        </w:tc>
        <w:tc>
          <w:tcPr>
            <w:tcW w:w="3000" w:type="dxa"/>
            <w:tcMar>
              <w:top w:w="40" w:type="dxa"/>
              <w:left w:w="80" w:type="dxa"/>
              <w:bottom w:w="40" w:type="dxa"/>
              <w:right w:w="80" w:type="dxa"/>
            </w:tcMar>
          </w:tcPr>
          <w:p w14:paraId="66475133" w14:textId="77777777" w:rsidR="003D02F5" w:rsidRDefault="00000000">
            <w:pPr>
              <w:jc w:val="center"/>
            </w:pPr>
            <w:r>
              <w:rPr>
                <w:sz w:val="18"/>
                <w:szCs w:val="18"/>
              </w:rPr>
              <w:t>48.9%</w:t>
            </w:r>
          </w:p>
        </w:tc>
      </w:tr>
    </w:tbl>
    <w:p w14:paraId="6478D3DD" w14:textId="77777777" w:rsidR="003D02F5" w:rsidRPr="00B84E70" w:rsidRDefault="00000000">
      <w:pPr>
        <w:spacing w:after="200"/>
        <w:rPr>
          <w:lang w:val="en-US"/>
        </w:rPr>
      </w:pPr>
      <w:r w:rsidRPr="00B84E70">
        <w:rPr>
          <w:i/>
          <w:iCs/>
          <w:sz w:val="18"/>
          <w:szCs w:val="18"/>
          <w:lang w:val="en-US"/>
        </w:rPr>
        <w:t>Table 2. External-validation performance (survey-weighted). Confidence interval from a design-based cluster bootstrap over primary sampling units (400 replicates). The operating point flags the top decile of predicted risk; sensitivity and positive predictive value coincide because the flag rate equals the event rate.</w:t>
      </w:r>
    </w:p>
    <w:p w14:paraId="0A64B89A" w14:textId="77777777" w:rsidR="003D02F5" w:rsidRDefault="00000000">
      <w:pPr>
        <w:spacing w:before="120" w:after="80"/>
        <w:jc w:val="center"/>
      </w:pPr>
      <w:r>
        <w:rPr>
          <w:noProof/>
        </w:rPr>
        <w:lastRenderedPageBreak/>
        <w:drawing>
          <wp:inline distT="0" distB="0" distL="0" distR="0" wp14:anchorId="040735C9" wp14:editId="23A708EF">
            <wp:extent cx="3657600" cy="3867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57600" cy="3867150"/>
                    </a:xfrm>
                    <a:prstGeom prst="rect">
                      <a:avLst/>
                    </a:prstGeom>
                  </pic:spPr>
                </pic:pic>
              </a:graphicData>
            </a:graphic>
          </wp:inline>
        </w:drawing>
      </w:r>
    </w:p>
    <w:p w14:paraId="550AB453" w14:textId="77777777" w:rsidR="003D02F5" w:rsidRPr="00B84E70" w:rsidRDefault="00000000">
      <w:pPr>
        <w:spacing w:after="220"/>
        <w:rPr>
          <w:lang w:val="en-US"/>
        </w:rPr>
      </w:pPr>
      <w:r w:rsidRPr="00B84E70">
        <w:rPr>
          <w:b/>
          <w:bCs/>
          <w:sz w:val="20"/>
          <w:szCs w:val="20"/>
          <w:lang w:val="en-US"/>
        </w:rPr>
        <w:t xml:space="preserve">Figure 1. </w:t>
      </w:r>
      <w:r w:rsidRPr="00B84E70">
        <w:rPr>
          <w:sz w:val="20"/>
          <w:szCs w:val="20"/>
          <w:lang w:val="en-US"/>
        </w:rPr>
        <w:t>Survey-weighted reliability curve in external temporal validation (panels 26–27; n = 15,033). Points are decile bins of predicted risk with 95% cluster-bootstrap intervals; the dashed line denotes perfect calibration. The lower panel shows the weighted distribution of predicted risk.</w:t>
      </w:r>
    </w:p>
    <w:p w14:paraId="16B4BFD4" w14:textId="77777777" w:rsidR="003D02F5" w:rsidRPr="00B84E70" w:rsidRDefault="00000000">
      <w:pPr>
        <w:pStyle w:val="Heading2"/>
        <w:spacing w:before="160" w:after="80"/>
        <w:rPr>
          <w:lang w:val="en-US"/>
        </w:rPr>
      </w:pPr>
      <w:r w:rsidRPr="00B84E70">
        <w:rPr>
          <w:b/>
          <w:bCs/>
          <w:i/>
          <w:iCs/>
          <w:sz w:val="23"/>
          <w:szCs w:val="23"/>
          <w:lang w:val="en-US"/>
        </w:rPr>
        <w:t>3.4 Feature contributions</w:t>
      </w:r>
    </w:p>
    <w:p w14:paraId="2F2FDC2B" w14:textId="77777777" w:rsidR="003D02F5" w:rsidRPr="00B84E70" w:rsidRDefault="00000000">
      <w:pPr>
        <w:spacing w:after="160" w:line="300" w:lineRule="auto"/>
        <w:jc w:val="both"/>
        <w:rPr>
          <w:lang w:val="en-US"/>
        </w:rPr>
      </w:pPr>
      <w:r w:rsidRPr="00B84E70">
        <w:rPr>
          <w:lang w:val="en-US"/>
        </w:rPr>
        <w:t xml:space="preserve">Prior-year total expenditure was the dominant contributor, followed by prescription-fill count, age, family size, ambulatory-visit count, out-of-pocket spending, and self-reported physical health (Figure 2). The </w:t>
      </w:r>
      <w:proofErr w:type="gramStart"/>
      <w:r w:rsidRPr="00B84E70">
        <w:rPr>
          <w:lang w:val="en-US"/>
        </w:rPr>
        <w:t>importance</w:t>
      </w:r>
      <w:proofErr w:type="gramEnd"/>
      <w:r w:rsidRPr="00B84E70">
        <w:rPr>
          <w:lang w:val="en-US"/>
        </w:rPr>
        <w:t xml:space="preserve"> profile is clinically coherent: prior utilization and health status, not identifiers or payment artifacts, drive predictions, and it is consistent with the leakage controls and structural exclusions imposed during selection.</w:t>
      </w:r>
    </w:p>
    <w:p w14:paraId="5A1E2148" w14:textId="77777777" w:rsidR="003D02F5" w:rsidRDefault="00000000">
      <w:pPr>
        <w:spacing w:before="120" w:after="80"/>
        <w:jc w:val="center"/>
      </w:pPr>
      <w:r>
        <w:rPr>
          <w:noProof/>
        </w:rPr>
        <w:lastRenderedPageBreak/>
        <w:drawing>
          <wp:inline distT="0" distB="0" distL="0" distR="0" wp14:anchorId="5A0E730B" wp14:editId="77604C01">
            <wp:extent cx="4305300" cy="3248025"/>
            <wp:effectExtent l="0" t="0" r="0" b="0"/>
            <wp:docPr id="920409637" name="Picture 92040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05300" cy="3248025"/>
                    </a:xfrm>
                    <a:prstGeom prst="rect">
                      <a:avLst/>
                    </a:prstGeom>
                  </pic:spPr>
                </pic:pic>
              </a:graphicData>
            </a:graphic>
          </wp:inline>
        </w:drawing>
      </w:r>
    </w:p>
    <w:p w14:paraId="50EFA1D2" w14:textId="77777777" w:rsidR="003D02F5" w:rsidRPr="00B84E70" w:rsidRDefault="00000000">
      <w:pPr>
        <w:spacing w:after="220"/>
        <w:rPr>
          <w:lang w:val="en-US"/>
        </w:rPr>
      </w:pPr>
      <w:r w:rsidRPr="00B84E70">
        <w:rPr>
          <w:b/>
          <w:bCs/>
          <w:sz w:val="20"/>
          <w:szCs w:val="20"/>
          <w:lang w:val="en-US"/>
        </w:rPr>
        <w:t xml:space="preserve">Figure 2. </w:t>
      </w:r>
      <w:r w:rsidRPr="00B84E70">
        <w:rPr>
          <w:sz w:val="20"/>
          <w:szCs w:val="20"/>
          <w:lang w:val="en-US"/>
        </w:rPr>
        <w:t xml:space="preserve">SHAP </w:t>
      </w:r>
      <w:proofErr w:type="spellStart"/>
      <w:r w:rsidRPr="00B84E70">
        <w:rPr>
          <w:sz w:val="20"/>
          <w:szCs w:val="20"/>
          <w:lang w:val="en-US"/>
        </w:rPr>
        <w:t>beeswarm</w:t>
      </w:r>
      <w:proofErr w:type="spellEnd"/>
      <w:r w:rsidRPr="00B84E70">
        <w:rPr>
          <w:sz w:val="20"/>
          <w:szCs w:val="20"/>
          <w:lang w:val="en-US"/>
        </w:rPr>
        <w:t xml:space="preserve"> in external validation (n = 15,033; the 15 most important features, ordered by mean absolute SHAP value). Each point is a validation participant; horizontal position is the feature’s SHAP contribution to the predicted log-odds of high cost, and </w:t>
      </w:r>
      <w:proofErr w:type="spellStart"/>
      <w:r w:rsidRPr="00B84E70">
        <w:rPr>
          <w:sz w:val="20"/>
          <w:szCs w:val="20"/>
          <w:lang w:val="en-US"/>
        </w:rPr>
        <w:t>colour</w:t>
      </w:r>
      <w:proofErr w:type="spellEnd"/>
      <w:r w:rsidRPr="00B84E70">
        <w:rPr>
          <w:sz w:val="20"/>
          <w:szCs w:val="20"/>
          <w:lang w:val="en-US"/>
        </w:rPr>
        <w:t xml:space="preserve"> encodes the feature value from low to high.</w:t>
      </w:r>
    </w:p>
    <w:p w14:paraId="141FC6E4" w14:textId="77777777" w:rsidR="003D02F5" w:rsidRPr="00B84E70" w:rsidRDefault="00000000">
      <w:pPr>
        <w:pStyle w:val="Heading2"/>
        <w:spacing w:before="160" w:after="80"/>
        <w:rPr>
          <w:lang w:val="en-US"/>
        </w:rPr>
      </w:pPr>
      <w:r w:rsidRPr="00B84E70">
        <w:rPr>
          <w:b/>
          <w:bCs/>
          <w:i/>
          <w:iCs/>
          <w:sz w:val="23"/>
          <w:szCs w:val="23"/>
          <w:lang w:val="en-US"/>
        </w:rPr>
        <w:t>3.5 Clinical utility</w:t>
      </w:r>
    </w:p>
    <w:p w14:paraId="221DC4E3" w14:textId="77777777" w:rsidR="003D02F5" w:rsidRPr="00B84E70" w:rsidRDefault="00000000">
      <w:pPr>
        <w:spacing w:after="160" w:line="300" w:lineRule="auto"/>
        <w:jc w:val="both"/>
        <w:rPr>
          <w:lang w:val="en-US"/>
        </w:rPr>
      </w:pPr>
      <w:r w:rsidRPr="00B84E70">
        <w:rPr>
          <w:lang w:val="en-US"/>
        </w:rPr>
        <w:t xml:space="preserve">Across the actionable range of threshold </w:t>
      </w:r>
      <w:proofErr w:type="gramStart"/>
      <w:r w:rsidRPr="00B84E70">
        <w:rPr>
          <w:lang w:val="en-US"/>
        </w:rPr>
        <w:t>probabilities</w:t>
      </w:r>
      <w:proofErr w:type="gramEnd"/>
      <w:r w:rsidRPr="00B84E70">
        <w:rPr>
          <w:lang w:val="en-US"/>
        </w:rPr>
        <w:t xml:space="preserve"> the model produced higher weighted net benefit than the prior-year-cost benchmark and the treat-all and treat-</w:t>
      </w:r>
      <w:proofErr w:type="gramStart"/>
      <w:r w:rsidRPr="00B84E70">
        <w:rPr>
          <w:lang w:val="en-US"/>
        </w:rPr>
        <w:t>none</w:t>
      </w:r>
      <w:proofErr w:type="gramEnd"/>
      <w:r w:rsidRPr="00B84E70">
        <w:rPr>
          <w:lang w:val="en-US"/>
        </w:rPr>
        <w:t xml:space="preserve"> strategies (Figure 3). At a 10% threshold, net benefit was 0.0561 (95% CI 0.0505–0.0616) for the model and 0.0472 (0.0415–0.0527) for prior-year cost; because both are estimated on the same persons, the paired difference is the appropriate comparison, and it was 0.0089 (95% CI 0.0067–0.0111), with the model superior in every bootstrap replicate. The paired advantage excluded zero at every threshold from 5% to 30% (minimum difference 0.0066). In practical terms this is the additional future high-cost patients identified at no additional false-positive cost, the decision-analytic quantity most relevant to allocating a fixed care-management capacity.</w:t>
      </w:r>
      <w:r w:rsidRPr="00B84E70">
        <w:rPr>
          <w:vertAlign w:val="superscript"/>
          <w:lang w:val="en-US"/>
        </w:rPr>
        <w:t>24</w:t>
      </w:r>
    </w:p>
    <w:p w14:paraId="6B170ACF" w14:textId="77777777" w:rsidR="003D02F5" w:rsidRDefault="00000000">
      <w:pPr>
        <w:spacing w:before="120" w:after="80"/>
        <w:jc w:val="center"/>
      </w:pPr>
      <w:r>
        <w:rPr>
          <w:noProof/>
        </w:rPr>
        <w:lastRenderedPageBreak/>
        <w:drawing>
          <wp:inline distT="0" distB="0" distL="0" distR="0" wp14:anchorId="4450A87E" wp14:editId="655CB36D">
            <wp:extent cx="4305300" cy="3171825"/>
            <wp:effectExtent l="0" t="0" r="0" b="0"/>
            <wp:docPr id="639426063" name="Picture 639426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05300" cy="3171825"/>
                    </a:xfrm>
                    <a:prstGeom prst="rect">
                      <a:avLst/>
                    </a:prstGeom>
                  </pic:spPr>
                </pic:pic>
              </a:graphicData>
            </a:graphic>
          </wp:inline>
        </w:drawing>
      </w:r>
    </w:p>
    <w:p w14:paraId="6E0698F0" w14:textId="77777777" w:rsidR="003D02F5" w:rsidRPr="00B84E70" w:rsidRDefault="00000000">
      <w:pPr>
        <w:spacing w:after="220"/>
        <w:rPr>
          <w:lang w:val="en-US"/>
        </w:rPr>
      </w:pPr>
      <w:r w:rsidRPr="00B84E70">
        <w:rPr>
          <w:b/>
          <w:bCs/>
          <w:sz w:val="20"/>
          <w:szCs w:val="20"/>
          <w:lang w:val="en-US"/>
        </w:rPr>
        <w:t xml:space="preserve">Figure 3. </w:t>
      </w:r>
      <w:r w:rsidRPr="00B84E70">
        <w:rPr>
          <w:sz w:val="20"/>
          <w:szCs w:val="20"/>
          <w:lang w:val="en-US"/>
        </w:rPr>
        <w:t>Decision-curve analysis in external validation. Weighted net benefit for the model, the prior-year-cost benchmark, and the treat-all and treat-none references, clipped to the actionable threshold range. Bands are 95% confidence intervals from a design-based cluster bootstrap (400 replicates).</w:t>
      </w:r>
    </w:p>
    <w:p w14:paraId="0E262534" w14:textId="77777777" w:rsidR="003D02F5" w:rsidRPr="00B84E70" w:rsidRDefault="00000000">
      <w:pPr>
        <w:pStyle w:val="Heading2"/>
        <w:spacing w:before="160" w:after="80"/>
        <w:rPr>
          <w:lang w:val="en-US"/>
        </w:rPr>
      </w:pPr>
      <w:r w:rsidRPr="00B84E70">
        <w:rPr>
          <w:b/>
          <w:bCs/>
          <w:i/>
          <w:iCs/>
          <w:sz w:val="23"/>
          <w:szCs w:val="23"/>
          <w:lang w:val="en-US"/>
        </w:rPr>
        <w:t>3.6 Subgroup calibration and equity</w:t>
      </w:r>
    </w:p>
    <w:p w14:paraId="686DF2A9" w14:textId="77777777" w:rsidR="003D02F5" w:rsidRPr="00B84E70" w:rsidRDefault="00000000">
      <w:pPr>
        <w:spacing w:after="160" w:line="300" w:lineRule="auto"/>
        <w:jc w:val="both"/>
        <w:rPr>
          <w:lang w:val="en-US"/>
        </w:rPr>
      </w:pPr>
      <w:r w:rsidRPr="00B84E70">
        <w:rPr>
          <w:lang w:val="en-US"/>
        </w:rPr>
        <w:t>Calibration was broadly stable across income and race/ethnicity strata, with predicted risks close to observed rates in every group (Table 3). Discrimination varied modestly, from 0.84 to 0.91 across income categories and 0.84 to 0.89 across race/ethnicity, a between-group range of about 0.05 that we do not regard as negligible. Calibration also held in the lowest-observed-rate stratum (Hispanic persons: predicted 5.9% vs. observed 4.6%), the configuration in which cost-based targeting is most prone to systematic error.</w:t>
      </w:r>
      <w:r w:rsidRPr="00B84E70">
        <w:rPr>
          <w:vertAlign w:val="superscript"/>
          <w:lang w:val="en-US"/>
        </w:rPr>
        <w:t>2</w:t>
      </w:r>
      <w:r w:rsidRPr="00B84E70">
        <w:rPr>
          <w:lang w:val="en-US"/>
        </w:rPr>
        <w:t xml:space="preserve"> A small group of 119 validation participants (0.8%) had missing or unclassified income; they are reported as a separate row, and their subgroup AUC is not estimable with reliability given the few events.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900"/>
        <w:gridCol w:w="1900"/>
        <w:gridCol w:w="1400"/>
      </w:tblGrid>
      <w:tr w:rsidR="003D02F5" w14:paraId="1C72CF39" w14:textId="77777777">
        <w:tblPrEx>
          <w:tblCellMar>
            <w:top w:w="0" w:type="dxa"/>
            <w:bottom w:w="0" w:type="dxa"/>
          </w:tblCellMar>
        </w:tblPrEx>
        <w:trPr>
          <w:tblHeader/>
        </w:trPr>
        <w:tc>
          <w:tcPr>
            <w:tcW w:w="3000" w:type="dxa"/>
            <w:shd w:val="clear" w:color="auto" w:fill="D9E2F3"/>
            <w:tcMar>
              <w:top w:w="40" w:type="dxa"/>
              <w:left w:w="80" w:type="dxa"/>
              <w:bottom w:w="40" w:type="dxa"/>
              <w:right w:w="80" w:type="dxa"/>
            </w:tcMar>
          </w:tcPr>
          <w:p w14:paraId="5D033521" w14:textId="77777777" w:rsidR="003D02F5" w:rsidRDefault="00000000">
            <w:proofErr w:type="spellStart"/>
            <w:r>
              <w:rPr>
                <w:b/>
                <w:bCs/>
                <w:sz w:val="18"/>
                <w:szCs w:val="18"/>
              </w:rPr>
              <w:t>Subgroup</w:t>
            </w:r>
            <w:proofErr w:type="spellEnd"/>
          </w:p>
        </w:tc>
        <w:tc>
          <w:tcPr>
            <w:tcW w:w="1200" w:type="dxa"/>
            <w:shd w:val="clear" w:color="auto" w:fill="D9E2F3"/>
            <w:tcMar>
              <w:top w:w="40" w:type="dxa"/>
              <w:left w:w="80" w:type="dxa"/>
              <w:bottom w:w="40" w:type="dxa"/>
              <w:right w:w="80" w:type="dxa"/>
            </w:tcMar>
          </w:tcPr>
          <w:p w14:paraId="5F1A16DE" w14:textId="77777777" w:rsidR="003D02F5" w:rsidRDefault="00000000">
            <w:r>
              <w:rPr>
                <w:b/>
                <w:bCs/>
                <w:sz w:val="18"/>
                <w:szCs w:val="18"/>
              </w:rPr>
              <w:t>n</w:t>
            </w:r>
          </w:p>
        </w:tc>
        <w:tc>
          <w:tcPr>
            <w:tcW w:w="1900" w:type="dxa"/>
            <w:shd w:val="clear" w:color="auto" w:fill="D9E2F3"/>
            <w:tcMar>
              <w:top w:w="40" w:type="dxa"/>
              <w:left w:w="80" w:type="dxa"/>
              <w:bottom w:w="40" w:type="dxa"/>
              <w:right w:w="80" w:type="dxa"/>
            </w:tcMar>
          </w:tcPr>
          <w:p w14:paraId="06EC215D" w14:textId="77777777" w:rsidR="003D02F5" w:rsidRDefault="00000000">
            <w:proofErr w:type="spellStart"/>
            <w:r>
              <w:rPr>
                <w:b/>
                <w:bCs/>
                <w:sz w:val="18"/>
                <w:szCs w:val="18"/>
              </w:rPr>
              <w:t>Observed</w:t>
            </w:r>
            <w:proofErr w:type="spellEnd"/>
          </w:p>
        </w:tc>
        <w:tc>
          <w:tcPr>
            <w:tcW w:w="1900" w:type="dxa"/>
            <w:shd w:val="clear" w:color="auto" w:fill="D9E2F3"/>
            <w:tcMar>
              <w:top w:w="40" w:type="dxa"/>
              <w:left w:w="80" w:type="dxa"/>
              <w:bottom w:w="40" w:type="dxa"/>
              <w:right w:w="80" w:type="dxa"/>
            </w:tcMar>
          </w:tcPr>
          <w:p w14:paraId="2BC890AD" w14:textId="77777777" w:rsidR="003D02F5" w:rsidRDefault="00000000">
            <w:proofErr w:type="spellStart"/>
            <w:r>
              <w:rPr>
                <w:b/>
                <w:bCs/>
                <w:sz w:val="18"/>
                <w:szCs w:val="18"/>
              </w:rPr>
              <w:t>Predicted</w:t>
            </w:r>
            <w:proofErr w:type="spellEnd"/>
          </w:p>
        </w:tc>
        <w:tc>
          <w:tcPr>
            <w:tcW w:w="1400" w:type="dxa"/>
            <w:shd w:val="clear" w:color="auto" w:fill="D9E2F3"/>
            <w:tcMar>
              <w:top w:w="40" w:type="dxa"/>
              <w:left w:w="80" w:type="dxa"/>
              <w:bottom w:w="40" w:type="dxa"/>
              <w:right w:w="80" w:type="dxa"/>
            </w:tcMar>
          </w:tcPr>
          <w:p w14:paraId="486316E9" w14:textId="77777777" w:rsidR="003D02F5" w:rsidRDefault="00000000">
            <w:r>
              <w:rPr>
                <w:b/>
                <w:bCs/>
                <w:sz w:val="18"/>
                <w:szCs w:val="18"/>
              </w:rPr>
              <w:t>AUC</w:t>
            </w:r>
          </w:p>
        </w:tc>
      </w:tr>
      <w:tr w:rsidR="003D02F5" w14:paraId="4A8CB0D1" w14:textId="77777777">
        <w:tblPrEx>
          <w:tblCellMar>
            <w:top w:w="0" w:type="dxa"/>
            <w:bottom w:w="0" w:type="dxa"/>
          </w:tblCellMar>
        </w:tblPrEx>
        <w:tc>
          <w:tcPr>
            <w:tcW w:w="3000" w:type="dxa"/>
            <w:tcMar>
              <w:top w:w="40" w:type="dxa"/>
              <w:left w:w="80" w:type="dxa"/>
              <w:bottom w:w="40" w:type="dxa"/>
              <w:right w:w="80" w:type="dxa"/>
            </w:tcMar>
          </w:tcPr>
          <w:p w14:paraId="7B848ABB" w14:textId="77777777" w:rsidR="003D02F5" w:rsidRDefault="00000000">
            <w:r>
              <w:rPr>
                <w:sz w:val="18"/>
                <w:szCs w:val="18"/>
              </w:rPr>
              <w:t xml:space="preserve">Income – </w:t>
            </w:r>
            <w:proofErr w:type="spellStart"/>
            <w:r>
              <w:rPr>
                <w:sz w:val="18"/>
                <w:szCs w:val="18"/>
              </w:rPr>
              <w:t>poor</w:t>
            </w:r>
            <w:proofErr w:type="spellEnd"/>
            <w:r>
              <w:rPr>
                <w:sz w:val="18"/>
                <w:szCs w:val="18"/>
              </w:rPr>
              <w:t>/negative</w:t>
            </w:r>
          </w:p>
        </w:tc>
        <w:tc>
          <w:tcPr>
            <w:tcW w:w="1200" w:type="dxa"/>
            <w:tcMar>
              <w:top w:w="40" w:type="dxa"/>
              <w:left w:w="80" w:type="dxa"/>
              <w:bottom w:w="40" w:type="dxa"/>
              <w:right w:w="80" w:type="dxa"/>
            </w:tcMar>
          </w:tcPr>
          <w:p w14:paraId="26CB1DA6" w14:textId="77777777" w:rsidR="003D02F5" w:rsidRDefault="00000000">
            <w:pPr>
              <w:jc w:val="center"/>
            </w:pPr>
            <w:r>
              <w:rPr>
                <w:sz w:val="18"/>
                <w:szCs w:val="18"/>
              </w:rPr>
              <w:t>2,215</w:t>
            </w:r>
          </w:p>
        </w:tc>
        <w:tc>
          <w:tcPr>
            <w:tcW w:w="1900" w:type="dxa"/>
            <w:tcMar>
              <w:top w:w="40" w:type="dxa"/>
              <w:left w:w="80" w:type="dxa"/>
              <w:bottom w:w="40" w:type="dxa"/>
              <w:right w:w="80" w:type="dxa"/>
            </w:tcMar>
          </w:tcPr>
          <w:p w14:paraId="593D2A91" w14:textId="77777777" w:rsidR="003D02F5" w:rsidRDefault="00000000">
            <w:pPr>
              <w:jc w:val="center"/>
            </w:pPr>
            <w:r>
              <w:rPr>
                <w:sz w:val="18"/>
                <w:szCs w:val="18"/>
              </w:rPr>
              <w:t>9.9%</w:t>
            </w:r>
          </w:p>
        </w:tc>
        <w:tc>
          <w:tcPr>
            <w:tcW w:w="1900" w:type="dxa"/>
            <w:tcMar>
              <w:top w:w="40" w:type="dxa"/>
              <w:left w:w="80" w:type="dxa"/>
              <w:bottom w:w="40" w:type="dxa"/>
              <w:right w:w="80" w:type="dxa"/>
            </w:tcMar>
          </w:tcPr>
          <w:p w14:paraId="1A96DE89" w14:textId="77777777" w:rsidR="003D02F5" w:rsidRDefault="00000000">
            <w:pPr>
              <w:jc w:val="center"/>
            </w:pPr>
            <w:r>
              <w:rPr>
                <w:sz w:val="18"/>
                <w:szCs w:val="18"/>
              </w:rPr>
              <w:t>11.0%</w:t>
            </w:r>
          </w:p>
        </w:tc>
        <w:tc>
          <w:tcPr>
            <w:tcW w:w="1400" w:type="dxa"/>
            <w:tcMar>
              <w:top w:w="40" w:type="dxa"/>
              <w:left w:w="80" w:type="dxa"/>
              <w:bottom w:w="40" w:type="dxa"/>
              <w:right w:w="80" w:type="dxa"/>
            </w:tcMar>
          </w:tcPr>
          <w:p w14:paraId="28E3E9CA" w14:textId="77777777" w:rsidR="003D02F5" w:rsidRDefault="00000000">
            <w:pPr>
              <w:jc w:val="center"/>
            </w:pPr>
            <w:r>
              <w:rPr>
                <w:sz w:val="18"/>
                <w:szCs w:val="18"/>
              </w:rPr>
              <w:t>0.886</w:t>
            </w:r>
          </w:p>
        </w:tc>
      </w:tr>
      <w:tr w:rsidR="003D02F5" w14:paraId="2A9F19CF" w14:textId="77777777">
        <w:tblPrEx>
          <w:tblCellMar>
            <w:top w:w="0" w:type="dxa"/>
            <w:bottom w:w="0" w:type="dxa"/>
          </w:tblCellMar>
        </w:tblPrEx>
        <w:tc>
          <w:tcPr>
            <w:tcW w:w="3000" w:type="dxa"/>
            <w:tcMar>
              <w:top w:w="40" w:type="dxa"/>
              <w:left w:w="80" w:type="dxa"/>
              <w:bottom w:w="40" w:type="dxa"/>
              <w:right w:w="80" w:type="dxa"/>
            </w:tcMar>
          </w:tcPr>
          <w:p w14:paraId="126811E1" w14:textId="77777777" w:rsidR="003D02F5" w:rsidRDefault="00000000">
            <w:r>
              <w:rPr>
                <w:sz w:val="18"/>
                <w:szCs w:val="18"/>
              </w:rPr>
              <w:t xml:space="preserve">Income – </w:t>
            </w:r>
            <w:proofErr w:type="spellStart"/>
            <w:r>
              <w:rPr>
                <w:sz w:val="18"/>
                <w:szCs w:val="18"/>
              </w:rPr>
              <w:t>near</w:t>
            </w:r>
            <w:proofErr w:type="spellEnd"/>
            <w:r>
              <w:rPr>
                <w:sz w:val="18"/>
                <w:szCs w:val="18"/>
              </w:rPr>
              <w:t xml:space="preserve"> </w:t>
            </w:r>
            <w:proofErr w:type="spellStart"/>
            <w:r>
              <w:rPr>
                <w:sz w:val="18"/>
                <w:szCs w:val="18"/>
              </w:rPr>
              <w:t>poor</w:t>
            </w:r>
            <w:proofErr w:type="spellEnd"/>
          </w:p>
        </w:tc>
        <w:tc>
          <w:tcPr>
            <w:tcW w:w="1200" w:type="dxa"/>
            <w:tcMar>
              <w:top w:w="40" w:type="dxa"/>
              <w:left w:w="80" w:type="dxa"/>
              <w:bottom w:w="40" w:type="dxa"/>
              <w:right w:w="80" w:type="dxa"/>
            </w:tcMar>
          </w:tcPr>
          <w:p w14:paraId="3D8290F2" w14:textId="77777777" w:rsidR="003D02F5" w:rsidRDefault="00000000">
            <w:pPr>
              <w:jc w:val="center"/>
            </w:pPr>
            <w:r>
              <w:rPr>
                <w:sz w:val="18"/>
                <w:szCs w:val="18"/>
              </w:rPr>
              <w:t>734</w:t>
            </w:r>
          </w:p>
        </w:tc>
        <w:tc>
          <w:tcPr>
            <w:tcW w:w="1900" w:type="dxa"/>
            <w:tcMar>
              <w:top w:w="40" w:type="dxa"/>
              <w:left w:w="80" w:type="dxa"/>
              <w:bottom w:w="40" w:type="dxa"/>
              <w:right w:w="80" w:type="dxa"/>
            </w:tcMar>
          </w:tcPr>
          <w:p w14:paraId="54FF7432" w14:textId="77777777" w:rsidR="003D02F5" w:rsidRDefault="00000000">
            <w:pPr>
              <w:jc w:val="center"/>
            </w:pPr>
            <w:r>
              <w:rPr>
                <w:sz w:val="18"/>
                <w:szCs w:val="18"/>
              </w:rPr>
              <w:t>14.0%</w:t>
            </w:r>
          </w:p>
        </w:tc>
        <w:tc>
          <w:tcPr>
            <w:tcW w:w="1900" w:type="dxa"/>
            <w:tcMar>
              <w:top w:w="40" w:type="dxa"/>
              <w:left w:w="80" w:type="dxa"/>
              <w:bottom w:w="40" w:type="dxa"/>
              <w:right w:w="80" w:type="dxa"/>
            </w:tcMar>
          </w:tcPr>
          <w:p w14:paraId="67198BA9" w14:textId="77777777" w:rsidR="003D02F5" w:rsidRDefault="00000000">
            <w:pPr>
              <w:jc w:val="center"/>
            </w:pPr>
            <w:r>
              <w:rPr>
                <w:sz w:val="18"/>
                <w:szCs w:val="18"/>
              </w:rPr>
              <w:t>12.8%</w:t>
            </w:r>
          </w:p>
        </w:tc>
        <w:tc>
          <w:tcPr>
            <w:tcW w:w="1400" w:type="dxa"/>
            <w:tcMar>
              <w:top w:w="40" w:type="dxa"/>
              <w:left w:w="80" w:type="dxa"/>
              <w:bottom w:w="40" w:type="dxa"/>
              <w:right w:w="80" w:type="dxa"/>
            </w:tcMar>
          </w:tcPr>
          <w:p w14:paraId="5A0FC901" w14:textId="77777777" w:rsidR="003D02F5" w:rsidRDefault="00000000">
            <w:pPr>
              <w:jc w:val="center"/>
            </w:pPr>
            <w:r>
              <w:rPr>
                <w:sz w:val="18"/>
                <w:szCs w:val="18"/>
              </w:rPr>
              <w:t>0.912</w:t>
            </w:r>
          </w:p>
        </w:tc>
      </w:tr>
      <w:tr w:rsidR="003D02F5" w14:paraId="64E334CC" w14:textId="77777777">
        <w:tblPrEx>
          <w:tblCellMar>
            <w:top w:w="0" w:type="dxa"/>
            <w:bottom w:w="0" w:type="dxa"/>
          </w:tblCellMar>
        </w:tblPrEx>
        <w:tc>
          <w:tcPr>
            <w:tcW w:w="3000" w:type="dxa"/>
            <w:tcMar>
              <w:top w:w="40" w:type="dxa"/>
              <w:left w:w="80" w:type="dxa"/>
              <w:bottom w:w="40" w:type="dxa"/>
              <w:right w:w="80" w:type="dxa"/>
            </w:tcMar>
          </w:tcPr>
          <w:p w14:paraId="34ADEA00" w14:textId="77777777" w:rsidR="003D02F5" w:rsidRDefault="00000000">
            <w:r>
              <w:rPr>
                <w:sz w:val="18"/>
                <w:szCs w:val="18"/>
              </w:rPr>
              <w:t xml:space="preserve">Income – </w:t>
            </w:r>
            <w:proofErr w:type="spellStart"/>
            <w:r>
              <w:rPr>
                <w:sz w:val="18"/>
                <w:szCs w:val="18"/>
              </w:rPr>
              <w:t>low</w:t>
            </w:r>
            <w:proofErr w:type="spellEnd"/>
          </w:p>
        </w:tc>
        <w:tc>
          <w:tcPr>
            <w:tcW w:w="1200" w:type="dxa"/>
            <w:tcMar>
              <w:top w:w="40" w:type="dxa"/>
              <w:left w:w="80" w:type="dxa"/>
              <w:bottom w:w="40" w:type="dxa"/>
              <w:right w:w="80" w:type="dxa"/>
            </w:tcMar>
          </w:tcPr>
          <w:p w14:paraId="0EF6C6A3" w14:textId="77777777" w:rsidR="003D02F5" w:rsidRDefault="00000000">
            <w:pPr>
              <w:jc w:val="center"/>
            </w:pPr>
            <w:r>
              <w:rPr>
                <w:sz w:val="18"/>
                <w:szCs w:val="18"/>
              </w:rPr>
              <w:t>2,028</w:t>
            </w:r>
          </w:p>
        </w:tc>
        <w:tc>
          <w:tcPr>
            <w:tcW w:w="1900" w:type="dxa"/>
            <w:tcMar>
              <w:top w:w="40" w:type="dxa"/>
              <w:left w:w="80" w:type="dxa"/>
              <w:bottom w:w="40" w:type="dxa"/>
              <w:right w:w="80" w:type="dxa"/>
            </w:tcMar>
          </w:tcPr>
          <w:p w14:paraId="2C2F1D61" w14:textId="77777777" w:rsidR="003D02F5" w:rsidRDefault="00000000">
            <w:pPr>
              <w:jc w:val="center"/>
            </w:pPr>
            <w:r>
              <w:rPr>
                <w:sz w:val="18"/>
                <w:szCs w:val="18"/>
              </w:rPr>
              <w:t>10.7%</w:t>
            </w:r>
          </w:p>
        </w:tc>
        <w:tc>
          <w:tcPr>
            <w:tcW w:w="1900" w:type="dxa"/>
            <w:tcMar>
              <w:top w:w="40" w:type="dxa"/>
              <w:left w:w="80" w:type="dxa"/>
              <w:bottom w:w="40" w:type="dxa"/>
              <w:right w:w="80" w:type="dxa"/>
            </w:tcMar>
          </w:tcPr>
          <w:p w14:paraId="2686D4A0" w14:textId="77777777" w:rsidR="003D02F5" w:rsidRDefault="00000000">
            <w:pPr>
              <w:jc w:val="center"/>
            </w:pPr>
            <w:r>
              <w:rPr>
                <w:sz w:val="18"/>
                <w:szCs w:val="18"/>
              </w:rPr>
              <w:t>10.3%</w:t>
            </w:r>
          </w:p>
        </w:tc>
        <w:tc>
          <w:tcPr>
            <w:tcW w:w="1400" w:type="dxa"/>
            <w:tcMar>
              <w:top w:w="40" w:type="dxa"/>
              <w:left w:w="80" w:type="dxa"/>
              <w:bottom w:w="40" w:type="dxa"/>
              <w:right w:w="80" w:type="dxa"/>
            </w:tcMar>
          </w:tcPr>
          <w:p w14:paraId="1D97D56B" w14:textId="77777777" w:rsidR="003D02F5" w:rsidRDefault="00000000">
            <w:pPr>
              <w:jc w:val="center"/>
            </w:pPr>
            <w:r>
              <w:rPr>
                <w:sz w:val="18"/>
                <w:szCs w:val="18"/>
              </w:rPr>
              <w:t>0.865</w:t>
            </w:r>
          </w:p>
        </w:tc>
      </w:tr>
      <w:tr w:rsidR="003D02F5" w14:paraId="3C0DC6B0" w14:textId="77777777">
        <w:tblPrEx>
          <w:tblCellMar>
            <w:top w:w="0" w:type="dxa"/>
            <w:bottom w:w="0" w:type="dxa"/>
          </w:tblCellMar>
        </w:tblPrEx>
        <w:tc>
          <w:tcPr>
            <w:tcW w:w="3000" w:type="dxa"/>
            <w:tcMar>
              <w:top w:w="40" w:type="dxa"/>
              <w:left w:w="80" w:type="dxa"/>
              <w:bottom w:w="40" w:type="dxa"/>
              <w:right w:w="80" w:type="dxa"/>
            </w:tcMar>
          </w:tcPr>
          <w:p w14:paraId="7B6D6886" w14:textId="77777777" w:rsidR="003D02F5" w:rsidRDefault="00000000">
            <w:r>
              <w:rPr>
                <w:sz w:val="18"/>
                <w:szCs w:val="18"/>
              </w:rPr>
              <w:t xml:space="preserve">Income – </w:t>
            </w:r>
            <w:proofErr w:type="spellStart"/>
            <w:r>
              <w:rPr>
                <w:sz w:val="18"/>
                <w:szCs w:val="18"/>
              </w:rPr>
              <w:t>middle</w:t>
            </w:r>
            <w:proofErr w:type="spellEnd"/>
          </w:p>
        </w:tc>
        <w:tc>
          <w:tcPr>
            <w:tcW w:w="1200" w:type="dxa"/>
            <w:tcMar>
              <w:top w:w="40" w:type="dxa"/>
              <w:left w:w="80" w:type="dxa"/>
              <w:bottom w:w="40" w:type="dxa"/>
              <w:right w:w="80" w:type="dxa"/>
            </w:tcMar>
          </w:tcPr>
          <w:p w14:paraId="2F4FC488" w14:textId="77777777" w:rsidR="003D02F5" w:rsidRDefault="00000000">
            <w:pPr>
              <w:jc w:val="center"/>
            </w:pPr>
            <w:r>
              <w:rPr>
                <w:sz w:val="18"/>
                <w:szCs w:val="18"/>
              </w:rPr>
              <w:t>4,124</w:t>
            </w:r>
          </w:p>
        </w:tc>
        <w:tc>
          <w:tcPr>
            <w:tcW w:w="1900" w:type="dxa"/>
            <w:tcMar>
              <w:top w:w="40" w:type="dxa"/>
              <w:left w:w="80" w:type="dxa"/>
              <w:bottom w:w="40" w:type="dxa"/>
              <w:right w:w="80" w:type="dxa"/>
            </w:tcMar>
          </w:tcPr>
          <w:p w14:paraId="223365F5" w14:textId="77777777" w:rsidR="003D02F5" w:rsidRDefault="00000000">
            <w:pPr>
              <w:jc w:val="center"/>
            </w:pPr>
            <w:r>
              <w:rPr>
                <w:sz w:val="18"/>
                <w:szCs w:val="18"/>
              </w:rPr>
              <w:t>9.2%</w:t>
            </w:r>
          </w:p>
        </w:tc>
        <w:tc>
          <w:tcPr>
            <w:tcW w:w="1900" w:type="dxa"/>
            <w:tcMar>
              <w:top w:w="40" w:type="dxa"/>
              <w:left w:w="80" w:type="dxa"/>
              <w:bottom w:w="40" w:type="dxa"/>
              <w:right w:w="80" w:type="dxa"/>
            </w:tcMar>
          </w:tcPr>
          <w:p w14:paraId="28DB2599" w14:textId="77777777" w:rsidR="003D02F5" w:rsidRDefault="00000000">
            <w:pPr>
              <w:jc w:val="center"/>
            </w:pPr>
            <w:r>
              <w:rPr>
                <w:sz w:val="18"/>
                <w:szCs w:val="18"/>
              </w:rPr>
              <w:t>9.4%</w:t>
            </w:r>
          </w:p>
        </w:tc>
        <w:tc>
          <w:tcPr>
            <w:tcW w:w="1400" w:type="dxa"/>
            <w:tcMar>
              <w:top w:w="40" w:type="dxa"/>
              <w:left w:w="80" w:type="dxa"/>
              <w:bottom w:w="40" w:type="dxa"/>
              <w:right w:w="80" w:type="dxa"/>
            </w:tcMar>
          </w:tcPr>
          <w:p w14:paraId="7A3E1DE5" w14:textId="77777777" w:rsidR="003D02F5" w:rsidRDefault="00000000">
            <w:pPr>
              <w:jc w:val="center"/>
            </w:pPr>
            <w:r>
              <w:rPr>
                <w:sz w:val="18"/>
                <w:szCs w:val="18"/>
              </w:rPr>
              <w:t>0.864</w:t>
            </w:r>
          </w:p>
        </w:tc>
      </w:tr>
      <w:tr w:rsidR="003D02F5" w14:paraId="515FA3E4" w14:textId="77777777">
        <w:tblPrEx>
          <w:tblCellMar>
            <w:top w:w="0" w:type="dxa"/>
            <w:bottom w:w="0" w:type="dxa"/>
          </w:tblCellMar>
        </w:tblPrEx>
        <w:tc>
          <w:tcPr>
            <w:tcW w:w="3000" w:type="dxa"/>
            <w:tcMar>
              <w:top w:w="40" w:type="dxa"/>
              <w:left w:w="80" w:type="dxa"/>
              <w:bottom w:w="40" w:type="dxa"/>
              <w:right w:w="80" w:type="dxa"/>
            </w:tcMar>
          </w:tcPr>
          <w:p w14:paraId="778C285F" w14:textId="77777777" w:rsidR="003D02F5" w:rsidRDefault="00000000">
            <w:r>
              <w:rPr>
                <w:sz w:val="18"/>
                <w:szCs w:val="18"/>
              </w:rPr>
              <w:t>Income – high</w:t>
            </w:r>
          </w:p>
        </w:tc>
        <w:tc>
          <w:tcPr>
            <w:tcW w:w="1200" w:type="dxa"/>
            <w:tcMar>
              <w:top w:w="40" w:type="dxa"/>
              <w:left w:w="80" w:type="dxa"/>
              <w:bottom w:w="40" w:type="dxa"/>
              <w:right w:w="80" w:type="dxa"/>
            </w:tcMar>
          </w:tcPr>
          <w:p w14:paraId="56F5CDEE" w14:textId="77777777" w:rsidR="003D02F5" w:rsidRDefault="00000000">
            <w:pPr>
              <w:jc w:val="center"/>
            </w:pPr>
            <w:r>
              <w:rPr>
                <w:sz w:val="18"/>
                <w:szCs w:val="18"/>
              </w:rPr>
              <w:t>5,813</w:t>
            </w:r>
          </w:p>
        </w:tc>
        <w:tc>
          <w:tcPr>
            <w:tcW w:w="1900" w:type="dxa"/>
            <w:tcMar>
              <w:top w:w="40" w:type="dxa"/>
              <w:left w:w="80" w:type="dxa"/>
              <w:bottom w:w="40" w:type="dxa"/>
              <w:right w:w="80" w:type="dxa"/>
            </w:tcMar>
          </w:tcPr>
          <w:p w14:paraId="2EEA0265" w14:textId="77777777" w:rsidR="003D02F5" w:rsidRDefault="00000000">
            <w:pPr>
              <w:jc w:val="center"/>
            </w:pPr>
            <w:r>
              <w:rPr>
                <w:sz w:val="18"/>
                <w:szCs w:val="18"/>
              </w:rPr>
              <w:t>10.1%</w:t>
            </w:r>
          </w:p>
        </w:tc>
        <w:tc>
          <w:tcPr>
            <w:tcW w:w="1900" w:type="dxa"/>
            <w:tcMar>
              <w:top w:w="40" w:type="dxa"/>
              <w:left w:w="80" w:type="dxa"/>
              <w:bottom w:w="40" w:type="dxa"/>
              <w:right w:w="80" w:type="dxa"/>
            </w:tcMar>
          </w:tcPr>
          <w:p w14:paraId="626ABBD9" w14:textId="77777777" w:rsidR="003D02F5" w:rsidRDefault="00000000">
            <w:pPr>
              <w:jc w:val="center"/>
            </w:pPr>
            <w:r>
              <w:rPr>
                <w:sz w:val="18"/>
                <w:szCs w:val="18"/>
              </w:rPr>
              <w:t>11.2%</w:t>
            </w:r>
          </w:p>
        </w:tc>
        <w:tc>
          <w:tcPr>
            <w:tcW w:w="1400" w:type="dxa"/>
            <w:tcMar>
              <w:top w:w="40" w:type="dxa"/>
              <w:left w:w="80" w:type="dxa"/>
              <w:bottom w:w="40" w:type="dxa"/>
              <w:right w:w="80" w:type="dxa"/>
            </w:tcMar>
          </w:tcPr>
          <w:p w14:paraId="33B567E6" w14:textId="77777777" w:rsidR="003D02F5" w:rsidRDefault="00000000">
            <w:pPr>
              <w:jc w:val="center"/>
            </w:pPr>
            <w:r>
              <w:rPr>
                <w:sz w:val="18"/>
                <w:szCs w:val="18"/>
              </w:rPr>
              <w:t>0.838</w:t>
            </w:r>
          </w:p>
        </w:tc>
      </w:tr>
      <w:tr w:rsidR="003D02F5" w14:paraId="0C360B9B" w14:textId="77777777">
        <w:tblPrEx>
          <w:tblCellMar>
            <w:top w:w="0" w:type="dxa"/>
            <w:bottom w:w="0" w:type="dxa"/>
          </w:tblCellMar>
        </w:tblPrEx>
        <w:tc>
          <w:tcPr>
            <w:tcW w:w="3000" w:type="dxa"/>
            <w:tcMar>
              <w:top w:w="40" w:type="dxa"/>
              <w:left w:w="80" w:type="dxa"/>
              <w:bottom w:w="40" w:type="dxa"/>
              <w:right w:w="80" w:type="dxa"/>
            </w:tcMar>
          </w:tcPr>
          <w:p w14:paraId="5D1F4AA7" w14:textId="77777777" w:rsidR="003D02F5" w:rsidRDefault="00000000">
            <w:r>
              <w:rPr>
                <w:sz w:val="18"/>
                <w:szCs w:val="18"/>
              </w:rPr>
              <w:t xml:space="preserve">Income – </w:t>
            </w:r>
            <w:proofErr w:type="spellStart"/>
            <w:r>
              <w:rPr>
                <w:sz w:val="18"/>
                <w:szCs w:val="18"/>
              </w:rPr>
              <w:t>missing</w:t>
            </w:r>
            <w:proofErr w:type="spellEnd"/>
            <w:r>
              <w:rPr>
                <w:sz w:val="18"/>
                <w:szCs w:val="18"/>
              </w:rPr>
              <w:t>/</w:t>
            </w:r>
            <w:proofErr w:type="spellStart"/>
            <w:r>
              <w:rPr>
                <w:sz w:val="18"/>
                <w:szCs w:val="18"/>
              </w:rPr>
              <w:t>unclassified</w:t>
            </w:r>
            <w:proofErr w:type="spellEnd"/>
          </w:p>
        </w:tc>
        <w:tc>
          <w:tcPr>
            <w:tcW w:w="1200" w:type="dxa"/>
            <w:tcMar>
              <w:top w:w="40" w:type="dxa"/>
              <w:left w:w="80" w:type="dxa"/>
              <w:bottom w:w="40" w:type="dxa"/>
              <w:right w:w="80" w:type="dxa"/>
            </w:tcMar>
          </w:tcPr>
          <w:p w14:paraId="147FC6EE" w14:textId="77777777" w:rsidR="003D02F5" w:rsidRDefault="00000000">
            <w:pPr>
              <w:jc w:val="center"/>
            </w:pPr>
            <w:r>
              <w:rPr>
                <w:sz w:val="18"/>
                <w:szCs w:val="18"/>
              </w:rPr>
              <w:t>119</w:t>
            </w:r>
          </w:p>
        </w:tc>
        <w:tc>
          <w:tcPr>
            <w:tcW w:w="1900" w:type="dxa"/>
            <w:tcMar>
              <w:top w:w="40" w:type="dxa"/>
              <w:left w:w="80" w:type="dxa"/>
              <w:bottom w:w="40" w:type="dxa"/>
              <w:right w:w="80" w:type="dxa"/>
            </w:tcMar>
          </w:tcPr>
          <w:p w14:paraId="04FF5F46" w14:textId="77777777" w:rsidR="003D02F5" w:rsidRDefault="00000000">
            <w:pPr>
              <w:jc w:val="center"/>
            </w:pPr>
            <w:r>
              <w:rPr>
                <w:sz w:val="18"/>
                <w:szCs w:val="18"/>
              </w:rPr>
              <w:t>7.6%</w:t>
            </w:r>
          </w:p>
        </w:tc>
        <w:tc>
          <w:tcPr>
            <w:tcW w:w="1900" w:type="dxa"/>
            <w:tcMar>
              <w:top w:w="40" w:type="dxa"/>
              <w:left w:w="80" w:type="dxa"/>
              <w:bottom w:w="40" w:type="dxa"/>
              <w:right w:w="80" w:type="dxa"/>
            </w:tcMar>
          </w:tcPr>
          <w:p w14:paraId="53F6A67E" w14:textId="77777777" w:rsidR="003D02F5" w:rsidRDefault="00000000">
            <w:pPr>
              <w:jc w:val="center"/>
            </w:pPr>
            <w:r>
              <w:rPr>
                <w:sz w:val="18"/>
                <w:szCs w:val="18"/>
              </w:rPr>
              <w:t>6.8%</w:t>
            </w:r>
          </w:p>
        </w:tc>
        <w:tc>
          <w:tcPr>
            <w:tcW w:w="1400" w:type="dxa"/>
            <w:tcMar>
              <w:top w:w="40" w:type="dxa"/>
              <w:left w:w="80" w:type="dxa"/>
              <w:bottom w:w="40" w:type="dxa"/>
              <w:right w:w="80" w:type="dxa"/>
            </w:tcMar>
          </w:tcPr>
          <w:p w14:paraId="385E141A" w14:textId="77777777" w:rsidR="003D02F5" w:rsidRDefault="00000000">
            <w:pPr>
              <w:jc w:val="center"/>
            </w:pPr>
            <w:proofErr w:type="spellStart"/>
            <w:r>
              <w:rPr>
                <w:sz w:val="18"/>
                <w:szCs w:val="18"/>
              </w:rPr>
              <w:t>not</w:t>
            </w:r>
            <w:proofErr w:type="spellEnd"/>
            <w:r>
              <w:rPr>
                <w:sz w:val="18"/>
                <w:szCs w:val="18"/>
              </w:rPr>
              <w:t xml:space="preserve"> </w:t>
            </w:r>
            <w:proofErr w:type="spellStart"/>
            <w:r>
              <w:rPr>
                <w:sz w:val="18"/>
                <w:szCs w:val="18"/>
              </w:rPr>
              <w:t>estimable</w:t>
            </w:r>
            <w:proofErr w:type="spellEnd"/>
          </w:p>
        </w:tc>
      </w:tr>
      <w:tr w:rsidR="003D02F5" w14:paraId="6CF76568" w14:textId="77777777">
        <w:tblPrEx>
          <w:tblCellMar>
            <w:top w:w="0" w:type="dxa"/>
            <w:bottom w:w="0" w:type="dxa"/>
          </w:tblCellMar>
        </w:tblPrEx>
        <w:tc>
          <w:tcPr>
            <w:tcW w:w="3000" w:type="dxa"/>
            <w:tcMar>
              <w:top w:w="40" w:type="dxa"/>
              <w:left w:w="80" w:type="dxa"/>
              <w:bottom w:w="40" w:type="dxa"/>
              <w:right w:w="80" w:type="dxa"/>
            </w:tcMar>
          </w:tcPr>
          <w:p w14:paraId="1067EAD7" w14:textId="77777777" w:rsidR="003D02F5" w:rsidRDefault="00000000">
            <w:proofErr w:type="spellStart"/>
            <w:r>
              <w:rPr>
                <w:sz w:val="18"/>
                <w:szCs w:val="18"/>
              </w:rPr>
              <w:t>Race</w:t>
            </w:r>
            <w:proofErr w:type="spellEnd"/>
            <w:r>
              <w:rPr>
                <w:sz w:val="18"/>
                <w:szCs w:val="18"/>
              </w:rPr>
              <w:t>/</w:t>
            </w:r>
            <w:proofErr w:type="spellStart"/>
            <w:r>
              <w:rPr>
                <w:sz w:val="18"/>
                <w:szCs w:val="18"/>
              </w:rPr>
              <w:t>eth</w:t>
            </w:r>
            <w:proofErr w:type="spellEnd"/>
            <w:r>
              <w:rPr>
                <w:sz w:val="18"/>
                <w:szCs w:val="18"/>
              </w:rPr>
              <w:t xml:space="preserve"> – </w:t>
            </w:r>
            <w:proofErr w:type="spellStart"/>
            <w:r>
              <w:rPr>
                <w:sz w:val="18"/>
                <w:szCs w:val="18"/>
              </w:rPr>
              <w:t>Hispanic</w:t>
            </w:r>
            <w:proofErr w:type="spellEnd"/>
          </w:p>
        </w:tc>
        <w:tc>
          <w:tcPr>
            <w:tcW w:w="1200" w:type="dxa"/>
            <w:tcMar>
              <w:top w:w="40" w:type="dxa"/>
              <w:left w:w="80" w:type="dxa"/>
              <w:bottom w:w="40" w:type="dxa"/>
              <w:right w:w="80" w:type="dxa"/>
            </w:tcMar>
          </w:tcPr>
          <w:p w14:paraId="7DA8F00D" w14:textId="77777777" w:rsidR="003D02F5" w:rsidRDefault="00000000">
            <w:pPr>
              <w:jc w:val="center"/>
            </w:pPr>
            <w:r>
              <w:rPr>
                <w:sz w:val="18"/>
                <w:szCs w:val="18"/>
              </w:rPr>
              <w:t>3,106</w:t>
            </w:r>
          </w:p>
        </w:tc>
        <w:tc>
          <w:tcPr>
            <w:tcW w:w="1900" w:type="dxa"/>
            <w:tcMar>
              <w:top w:w="40" w:type="dxa"/>
              <w:left w:w="80" w:type="dxa"/>
              <w:bottom w:w="40" w:type="dxa"/>
              <w:right w:w="80" w:type="dxa"/>
            </w:tcMar>
          </w:tcPr>
          <w:p w14:paraId="550E1A88" w14:textId="77777777" w:rsidR="003D02F5" w:rsidRDefault="00000000">
            <w:pPr>
              <w:jc w:val="center"/>
            </w:pPr>
            <w:r>
              <w:rPr>
                <w:sz w:val="18"/>
                <w:szCs w:val="18"/>
              </w:rPr>
              <w:t>4.6%</w:t>
            </w:r>
          </w:p>
        </w:tc>
        <w:tc>
          <w:tcPr>
            <w:tcW w:w="1900" w:type="dxa"/>
            <w:tcMar>
              <w:top w:w="40" w:type="dxa"/>
              <w:left w:w="80" w:type="dxa"/>
              <w:bottom w:w="40" w:type="dxa"/>
              <w:right w:w="80" w:type="dxa"/>
            </w:tcMar>
          </w:tcPr>
          <w:p w14:paraId="191CBE55" w14:textId="77777777" w:rsidR="003D02F5" w:rsidRDefault="00000000">
            <w:pPr>
              <w:jc w:val="center"/>
            </w:pPr>
            <w:r>
              <w:rPr>
                <w:sz w:val="18"/>
                <w:szCs w:val="18"/>
              </w:rPr>
              <w:t>5.9%</w:t>
            </w:r>
          </w:p>
        </w:tc>
        <w:tc>
          <w:tcPr>
            <w:tcW w:w="1400" w:type="dxa"/>
            <w:tcMar>
              <w:top w:w="40" w:type="dxa"/>
              <w:left w:w="80" w:type="dxa"/>
              <w:bottom w:w="40" w:type="dxa"/>
              <w:right w:w="80" w:type="dxa"/>
            </w:tcMar>
          </w:tcPr>
          <w:p w14:paraId="7EBE7E12" w14:textId="77777777" w:rsidR="003D02F5" w:rsidRDefault="00000000">
            <w:pPr>
              <w:jc w:val="center"/>
            </w:pPr>
            <w:r>
              <w:rPr>
                <w:sz w:val="18"/>
                <w:szCs w:val="18"/>
              </w:rPr>
              <w:t>0.891</w:t>
            </w:r>
          </w:p>
        </w:tc>
      </w:tr>
      <w:tr w:rsidR="003D02F5" w14:paraId="48EBA53A" w14:textId="77777777">
        <w:tblPrEx>
          <w:tblCellMar>
            <w:top w:w="0" w:type="dxa"/>
            <w:bottom w:w="0" w:type="dxa"/>
          </w:tblCellMar>
        </w:tblPrEx>
        <w:tc>
          <w:tcPr>
            <w:tcW w:w="3000" w:type="dxa"/>
            <w:tcMar>
              <w:top w:w="40" w:type="dxa"/>
              <w:left w:w="80" w:type="dxa"/>
              <w:bottom w:w="40" w:type="dxa"/>
              <w:right w:w="80" w:type="dxa"/>
            </w:tcMar>
          </w:tcPr>
          <w:p w14:paraId="69FA4422" w14:textId="77777777" w:rsidR="003D02F5" w:rsidRDefault="00000000">
            <w:proofErr w:type="spellStart"/>
            <w:r>
              <w:rPr>
                <w:sz w:val="18"/>
                <w:szCs w:val="18"/>
              </w:rPr>
              <w:t>Race</w:t>
            </w:r>
            <w:proofErr w:type="spellEnd"/>
            <w:r>
              <w:rPr>
                <w:sz w:val="18"/>
                <w:szCs w:val="18"/>
              </w:rPr>
              <w:t>/</w:t>
            </w:r>
            <w:proofErr w:type="spellStart"/>
            <w:r>
              <w:rPr>
                <w:sz w:val="18"/>
                <w:szCs w:val="18"/>
              </w:rPr>
              <w:t>eth</w:t>
            </w:r>
            <w:proofErr w:type="spellEnd"/>
            <w:r>
              <w:rPr>
                <w:sz w:val="18"/>
                <w:szCs w:val="18"/>
              </w:rPr>
              <w:t xml:space="preserve"> – NH White</w:t>
            </w:r>
          </w:p>
        </w:tc>
        <w:tc>
          <w:tcPr>
            <w:tcW w:w="1200" w:type="dxa"/>
            <w:tcMar>
              <w:top w:w="40" w:type="dxa"/>
              <w:left w:w="80" w:type="dxa"/>
              <w:bottom w:w="40" w:type="dxa"/>
              <w:right w:w="80" w:type="dxa"/>
            </w:tcMar>
          </w:tcPr>
          <w:p w14:paraId="4114C835" w14:textId="77777777" w:rsidR="003D02F5" w:rsidRDefault="00000000">
            <w:pPr>
              <w:jc w:val="center"/>
            </w:pPr>
            <w:r>
              <w:rPr>
                <w:sz w:val="18"/>
                <w:szCs w:val="18"/>
              </w:rPr>
              <w:t>8,396</w:t>
            </w:r>
          </w:p>
        </w:tc>
        <w:tc>
          <w:tcPr>
            <w:tcW w:w="1900" w:type="dxa"/>
            <w:tcMar>
              <w:top w:w="40" w:type="dxa"/>
              <w:left w:w="80" w:type="dxa"/>
              <w:bottom w:w="40" w:type="dxa"/>
              <w:right w:w="80" w:type="dxa"/>
            </w:tcMar>
          </w:tcPr>
          <w:p w14:paraId="55517CC2" w14:textId="77777777" w:rsidR="003D02F5" w:rsidRDefault="00000000">
            <w:pPr>
              <w:jc w:val="center"/>
            </w:pPr>
            <w:r>
              <w:rPr>
                <w:sz w:val="18"/>
                <w:szCs w:val="18"/>
              </w:rPr>
              <w:t>12.5%</w:t>
            </w:r>
          </w:p>
        </w:tc>
        <w:tc>
          <w:tcPr>
            <w:tcW w:w="1900" w:type="dxa"/>
            <w:tcMar>
              <w:top w:w="40" w:type="dxa"/>
              <w:left w:w="80" w:type="dxa"/>
              <w:bottom w:w="40" w:type="dxa"/>
              <w:right w:w="80" w:type="dxa"/>
            </w:tcMar>
          </w:tcPr>
          <w:p w14:paraId="322C00B5" w14:textId="77777777" w:rsidR="003D02F5" w:rsidRDefault="00000000">
            <w:pPr>
              <w:jc w:val="center"/>
            </w:pPr>
            <w:r>
              <w:rPr>
                <w:sz w:val="18"/>
                <w:szCs w:val="18"/>
              </w:rPr>
              <w:t>13.1%</w:t>
            </w:r>
          </w:p>
        </w:tc>
        <w:tc>
          <w:tcPr>
            <w:tcW w:w="1400" w:type="dxa"/>
            <w:tcMar>
              <w:top w:w="40" w:type="dxa"/>
              <w:left w:w="80" w:type="dxa"/>
              <w:bottom w:w="40" w:type="dxa"/>
              <w:right w:w="80" w:type="dxa"/>
            </w:tcMar>
          </w:tcPr>
          <w:p w14:paraId="5D23FE9D" w14:textId="77777777" w:rsidR="003D02F5" w:rsidRDefault="00000000">
            <w:pPr>
              <w:jc w:val="center"/>
            </w:pPr>
            <w:r>
              <w:rPr>
                <w:sz w:val="18"/>
                <w:szCs w:val="18"/>
              </w:rPr>
              <w:t>0.839</w:t>
            </w:r>
          </w:p>
        </w:tc>
      </w:tr>
      <w:tr w:rsidR="003D02F5" w14:paraId="3D90A481" w14:textId="77777777">
        <w:tblPrEx>
          <w:tblCellMar>
            <w:top w:w="0" w:type="dxa"/>
            <w:bottom w:w="0" w:type="dxa"/>
          </w:tblCellMar>
        </w:tblPrEx>
        <w:tc>
          <w:tcPr>
            <w:tcW w:w="3000" w:type="dxa"/>
            <w:tcMar>
              <w:top w:w="40" w:type="dxa"/>
              <w:left w:w="80" w:type="dxa"/>
              <w:bottom w:w="40" w:type="dxa"/>
              <w:right w:w="80" w:type="dxa"/>
            </w:tcMar>
          </w:tcPr>
          <w:p w14:paraId="132E73E5" w14:textId="77777777" w:rsidR="003D02F5" w:rsidRDefault="00000000">
            <w:proofErr w:type="spellStart"/>
            <w:r>
              <w:rPr>
                <w:sz w:val="18"/>
                <w:szCs w:val="18"/>
              </w:rPr>
              <w:t>Race</w:t>
            </w:r>
            <w:proofErr w:type="spellEnd"/>
            <w:r>
              <w:rPr>
                <w:sz w:val="18"/>
                <w:szCs w:val="18"/>
              </w:rPr>
              <w:t>/</w:t>
            </w:r>
            <w:proofErr w:type="spellStart"/>
            <w:r>
              <w:rPr>
                <w:sz w:val="18"/>
                <w:szCs w:val="18"/>
              </w:rPr>
              <w:t>eth</w:t>
            </w:r>
            <w:proofErr w:type="spellEnd"/>
            <w:r>
              <w:rPr>
                <w:sz w:val="18"/>
                <w:szCs w:val="18"/>
              </w:rPr>
              <w:t xml:space="preserve"> – NH Black</w:t>
            </w:r>
          </w:p>
        </w:tc>
        <w:tc>
          <w:tcPr>
            <w:tcW w:w="1200" w:type="dxa"/>
            <w:tcMar>
              <w:top w:w="40" w:type="dxa"/>
              <w:left w:w="80" w:type="dxa"/>
              <w:bottom w:w="40" w:type="dxa"/>
              <w:right w:w="80" w:type="dxa"/>
            </w:tcMar>
          </w:tcPr>
          <w:p w14:paraId="7820D927" w14:textId="77777777" w:rsidR="003D02F5" w:rsidRDefault="00000000">
            <w:pPr>
              <w:jc w:val="center"/>
            </w:pPr>
            <w:r>
              <w:rPr>
                <w:sz w:val="18"/>
                <w:szCs w:val="18"/>
              </w:rPr>
              <w:t>2,120</w:t>
            </w:r>
          </w:p>
        </w:tc>
        <w:tc>
          <w:tcPr>
            <w:tcW w:w="1900" w:type="dxa"/>
            <w:tcMar>
              <w:top w:w="40" w:type="dxa"/>
              <w:left w:w="80" w:type="dxa"/>
              <w:bottom w:w="40" w:type="dxa"/>
              <w:right w:w="80" w:type="dxa"/>
            </w:tcMar>
          </w:tcPr>
          <w:p w14:paraId="1F379984" w14:textId="77777777" w:rsidR="003D02F5" w:rsidRDefault="00000000">
            <w:pPr>
              <w:jc w:val="center"/>
            </w:pPr>
            <w:r>
              <w:rPr>
                <w:sz w:val="18"/>
                <w:szCs w:val="18"/>
              </w:rPr>
              <w:t>9.5%</w:t>
            </w:r>
          </w:p>
        </w:tc>
        <w:tc>
          <w:tcPr>
            <w:tcW w:w="1900" w:type="dxa"/>
            <w:tcMar>
              <w:top w:w="40" w:type="dxa"/>
              <w:left w:w="80" w:type="dxa"/>
              <w:bottom w:w="40" w:type="dxa"/>
              <w:right w:w="80" w:type="dxa"/>
            </w:tcMar>
          </w:tcPr>
          <w:p w14:paraId="3309299B" w14:textId="77777777" w:rsidR="003D02F5" w:rsidRDefault="00000000">
            <w:pPr>
              <w:jc w:val="center"/>
            </w:pPr>
            <w:r>
              <w:rPr>
                <w:sz w:val="18"/>
                <w:szCs w:val="18"/>
              </w:rPr>
              <w:t>8.9%</w:t>
            </w:r>
          </w:p>
        </w:tc>
        <w:tc>
          <w:tcPr>
            <w:tcW w:w="1400" w:type="dxa"/>
            <w:tcMar>
              <w:top w:w="40" w:type="dxa"/>
              <w:left w:w="80" w:type="dxa"/>
              <w:bottom w:w="40" w:type="dxa"/>
              <w:right w:w="80" w:type="dxa"/>
            </w:tcMar>
          </w:tcPr>
          <w:p w14:paraId="018DF22F" w14:textId="77777777" w:rsidR="003D02F5" w:rsidRDefault="00000000">
            <w:pPr>
              <w:jc w:val="center"/>
            </w:pPr>
            <w:r>
              <w:rPr>
                <w:sz w:val="18"/>
                <w:szCs w:val="18"/>
              </w:rPr>
              <w:t>0.863</w:t>
            </w:r>
          </w:p>
        </w:tc>
      </w:tr>
      <w:tr w:rsidR="003D02F5" w14:paraId="24E73D22" w14:textId="77777777">
        <w:tblPrEx>
          <w:tblCellMar>
            <w:top w:w="0" w:type="dxa"/>
            <w:bottom w:w="0" w:type="dxa"/>
          </w:tblCellMar>
        </w:tblPrEx>
        <w:tc>
          <w:tcPr>
            <w:tcW w:w="3000" w:type="dxa"/>
            <w:tcMar>
              <w:top w:w="40" w:type="dxa"/>
              <w:left w:w="80" w:type="dxa"/>
              <w:bottom w:w="40" w:type="dxa"/>
              <w:right w:w="80" w:type="dxa"/>
            </w:tcMar>
          </w:tcPr>
          <w:p w14:paraId="7103C1E0" w14:textId="77777777" w:rsidR="003D02F5" w:rsidRDefault="00000000">
            <w:proofErr w:type="spellStart"/>
            <w:r>
              <w:rPr>
                <w:sz w:val="18"/>
                <w:szCs w:val="18"/>
              </w:rPr>
              <w:t>Race</w:t>
            </w:r>
            <w:proofErr w:type="spellEnd"/>
            <w:r>
              <w:rPr>
                <w:sz w:val="18"/>
                <w:szCs w:val="18"/>
              </w:rPr>
              <w:t>/</w:t>
            </w:r>
            <w:proofErr w:type="spellStart"/>
            <w:r>
              <w:rPr>
                <w:sz w:val="18"/>
                <w:szCs w:val="18"/>
              </w:rPr>
              <w:t>eth</w:t>
            </w:r>
            <w:proofErr w:type="spellEnd"/>
            <w:r>
              <w:rPr>
                <w:sz w:val="18"/>
                <w:szCs w:val="18"/>
              </w:rPr>
              <w:t xml:space="preserve"> – NH </w:t>
            </w:r>
            <w:proofErr w:type="spellStart"/>
            <w:r>
              <w:rPr>
                <w:sz w:val="18"/>
                <w:szCs w:val="18"/>
              </w:rPr>
              <w:t>Asian</w:t>
            </w:r>
            <w:proofErr w:type="spellEnd"/>
          </w:p>
        </w:tc>
        <w:tc>
          <w:tcPr>
            <w:tcW w:w="1200" w:type="dxa"/>
            <w:tcMar>
              <w:top w:w="40" w:type="dxa"/>
              <w:left w:w="80" w:type="dxa"/>
              <w:bottom w:w="40" w:type="dxa"/>
              <w:right w:w="80" w:type="dxa"/>
            </w:tcMar>
          </w:tcPr>
          <w:p w14:paraId="3831B1F3" w14:textId="77777777" w:rsidR="003D02F5" w:rsidRDefault="00000000">
            <w:pPr>
              <w:jc w:val="center"/>
            </w:pPr>
            <w:r>
              <w:rPr>
                <w:sz w:val="18"/>
                <w:szCs w:val="18"/>
              </w:rPr>
              <w:t>838</w:t>
            </w:r>
          </w:p>
        </w:tc>
        <w:tc>
          <w:tcPr>
            <w:tcW w:w="1900" w:type="dxa"/>
            <w:tcMar>
              <w:top w:w="40" w:type="dxa"/>
              <w:left w:w="80" w:type="dxa"/>
              <w:bottom w:w="40" w:type="dxa"/>
              <w:right w:w="80" w:type="dxa"/>
            </w:tcMar>
          </w:tcPr>
          <w:p w14:paraId="65848F9E" w14:textId="77777777" w:rsidR="003D02F5" w:rsidRDefault="00000000">
            <w:pPr>
              <w:jc w:val="center"/>
            </w:pPr>
            <w:r>
              <w:rPr>
                <w:sz w:val="18"/>
                <w:szCs w:val="18"/>
              </w:rPr>
              <w:t>6.7%</w:t>
            </w:r>
          </w:p>
        </w:tc>
        <w:tc>
          <w:tcPr>
            <w:tcW w:w="1900" w:type="dxa"/>
            <w:tcMar>
              <w:top w:w="40" w:type="dxa"/>
              <w:left w:w="80" w:type="dxa"/>
              <w:bottom w:w="40" w:type="dxa"/>
              <w:right w:w="80" w:type="dxa"/>
            </w:tcMar>
          </w:tcPr>
          <w:p w14:paraId="29868029" w14:textId="77777777" w:rsidR="003D02F5" w:rsidRDefault="00000000">
            <w:pPr>
              <w:jc w:val="center"/>
            </w:pPr>
            <w:r>
              <w:rPr>
                <w:sz w:val="18"/>
                <w:szCs w:val="18"/>
              </w:rPr>
              <w:t>7.2%</w:t>
            </w:r>
          </w:p>
        </w:tc>
        <w:tc>
          <w:tcPr>
            <w:tcW w:w="1400" w:type="dxa"/>
            <w:tcMar>
              <w:top w:w="40" w:type="dxa"/>
              <w:left w:w="80" w:type="dxa"/>
              <w:bottom w:w="40" w:type="dxa"/>
              <w:right w:w="80" w:type="dxa"/>
            </w:tcMar>
          </w:tcPr>
          <w:p w14:paraId="27EF5D9E" w14:textId="77777777" w:rsidR="003D02F5" w:rsidRDefault="00000000">
            <w:pPr>
              <w:jc w:val="center"/>
            </w:pPr>
            <w:r>
              <w:rPr>
                <w:sz w:val="18"/>
                <w:szCs w:val="18"/>
              </w:rPr>
              <w:t>0.840</w:t>
            </w:r>
          </w:p>
        </w:tc>
      </w:tr>
      <w:tr w:rsidR="003D02F5" w14:paraId="69A106D0" w14:textId="77777777">
        <w:tblPrEx>
          <w:tblCellMar>
            <w:top w:w="0" w:type="dxa"/>
            <w:bottom w:w="0" w:type="dxa"/>
          </w:tblCellMar>
        </w:tblPrEx>
        <w:tc>
          <w:tcPr>
            <w:tcW w:w="3000" w:type="dxa"/>
            <w:tcMar>
              <w:top w:w="40" w:type="dxa"/>
              <w:left w:w="80" w:type="dxa"/>
              <w:bottom w:w="40" w:type="dxa"/>
              <w:right w:w="80" w:type="dxa"/>
            </w:tcMar>
          </w:tcPr>
          <w:p w14:paraId="562106CF" w14:textId="77777777" w:rsidR="003D02F5" w:rsidRDefault="00000000">
            <w:proofErr w:type="spellStart"/>
            <w:r>
              <w:rPr>
                <w:sz w:val="18"/>
                <w:szCs w:val="18"/>
              </w:rPr>
              <w:t>Race</w:t>
            </w:r>
            <w:proofErr w:type="spellEnd"/>
            <w:r>
              <w:rPr>
                <w:sz w:val="18"/>
                <w:szCs w:val="18"/>
              </w:rPr>
              <w:t>/</w:t>
            </w:r>
            <w:proofErr w:type="spellStart"/>
            <w:r>
              <w:rPr>
                <w:sz w:val="18"/>
                <w:szCs w:val="18"/>
              </w:rPr>
              <w:t>eth</w:t>
            </w:r>
            <w:proofErr w:type="spellEnd"/>
            <w:r>
              <w:rPr>
                <w:sz w:val="18"/>
                <w:szCs w:val="18"/>
              </w:rPr>
              <w:t xml:space="preserve"> – Other</w:t>
            </w:r>
          </w:p>
        </w:tc>
        <w:tc>
          <w:tcPr>
            <w:tcW w:w="1200" w:type="dxa"/>
            <w:tcMar>
              <w:top w:w="40" w:type="dxa"/>
              <w:left w:w="80" w:type="dxa"/>
              <w:bottom w:w="40" w:type="dxa"/>
              <w:right w:w="80" w:type="dxa"/>
            </w:tcMar>
          </w:tcPr>
          <w:p w14:paraId="4C0F1BA6" w14:textId="77777777" w:rsidR="003D02F5" w:rsidRDefault="00000000">
            <w:pPr>
              <w:jc w:val="center"/>
            </w:pPr>
            <w:r>
              <w:rPr>
                <w:sz w:val="18"/>
                <w:szCs w:val="18"/>
              </w:rPr>
              <w:t>573</w:t>
            </w:r>
          </w:p>
        </w:tc>
        <w:tc>
          <w:tcPr>
            <w:tcW w:w="1900" w:type="dxa"/>
            <w:tcMar>
              <w:top w:w="40" w:type="dxa"/>
              <w:left w:w="80" w:type="dxa"/>
              <w:bottom w:w="40" w:type="dxa"/>
              <w:right w:w="80" w:type="dxa"/>
            </w:tcMar>
          </w:tcPr>
          <w:p w14:paraId="7AA49115" w14:textId="77777777" w:rsidR="003D02F5" w:rsidRDefault="00000000">
            <w:pPr>
              <w:jc w:val="center"/>
            </w:pPr>
            <w:r>
              <w:rPr>
                <w:sz w:val="18"/>
                <w:szCs w:val="18"/>
              </w:rPr>
              <w:t>6.7%</w:t>
            </w:r>
          </w:p>
        </w:tc>
        <w:tc>
          <w:tcPr>
            <w:tcW w:w="1900" w:type="dxa"/>
            <w:tcMar>
              <w:top w:w="40" w:type="dxa"/>
              <w:left w:w="80" w:type="dxa"/>
              <w:bottom w:w="40" w:type="dxa"/>
              <w:right w:w="80" w:type="dxa"/>
            </w:tcMar>
          </w:tcPr>
          <w:p w14:paraId="165ED468" w14:textId="77777777" w:rsidR="003D02F5" w:rsidRDefault="00000000">
            <w:pPr>
              <w:jc w:val="center"/>
            </w:pPr>
            <w:r>
              <w:rPr>
                <w:sz w:val="18"/>
                <w:szCs w:val="18"/>
              </w:rPr>
              <w:t>8.3%</w:t>
            </w:r>
          </w:p>
        </w:tc>
        <w:tc>
          <w:tcPr>
            <w:tcW w:w="1400" w:type="dxa"/>
            <w:tcMar>
              <w:top w:w="40" w:type="dxa"/>
              <w:left w:w="80" w:type="dxa"/>
              <w:bottom w:w="40" w:type="dxa"/>
              <w:right w:w="80" w:type="dxa"/>
            </w:tcMar>
          </w:tcPr>
          <w:p w14:paraId="4F076456" w14:textId="77777777" w:rsidR="003D02F5" w:rsidRDefault="00000000">
            <w:pPr>
              <w:jc w:val="center"/>
            </w:pPr>
            <w:r>
              <w:rPr>
                <w:sz w:val="18"/>
                <w:szCs w:val="18"/>
              </w:rPr>
              <w:t>0.860</w:t>
            </w:r>
          </w:p>
        </w:tc>
      </w:tr>
    </w:tbl>
    <w:p w14:paraId="618F5604" w14:textId="77777777" w:rsidR="003D02F5" w:rsidRPr="00B84E70" w:rsidRDefault="00000000">
      <w:pPr>
        <w:spacing w:after="200"/>
        <w:rPr>
          <w:lang w:val="en-US"/>
        </w:rPr>
      </w:pPr>
      <w:r w:rsidRPr="00B84E70">
        <w:rPr>
          <w:i/>
          <w:iCs/>
          <w:sz w:val="18"/>
          <w:szCs w:val="18"/>
          <w:lang w:val="en-US"/>
        </w:rPr>
        <w:t>Table 3. Weighted subgroup performance in external validation by income (poverty category) and race/ethnicity. Both stratifications use the same denominator and now sum to the full validation cohort (n = 15,033); income includes a missing/unclassified row, whereas race/ethnicity has no missing values.</w:t>
      </w:r>
    </w:p>
    <w:p w14:paraId="52E3CC57" w14:textId="77777777" w:rsidR="003D02F5" w:rsidRPr="00B84E70" w:rsidRDefault="003D02F5">
      <w:pPr>
        <w:spacing w:after="160" w:line="300" w:lineRule="auto"/>
        <w:jc w:val="both"/>
        <w:rPr>
          <w:lang w:val="en-US"/>
        </w:rPr>
      </w:pPr>
    </w:p>
    <w:p w14:paraId="08230D3C" w14:textId="77777777" w:rsidR="003D02F5" w:rsidRPr="00B84E70" w:rsidRDefault="00000000">
      <w:pPr>
        <w:pStyle w:val="Heading2"/>
        <w:spacing w:before="160" w:after="80"/>
        <w:rPr>
          <w:lang w:val="en-US"/>
        </w:rPr>
      </w:pPr>
      <w:r w:rsidRPr="00B84E70">
        <w:rPr>
          <w:b/>
          <w:bCs/>
          <w:i/>
          <w:iCs/>
          <w:sz w:val="23"/>
          <w:szCs w:val="23"/>
          <w:lang w:val="en-US"/>
        </w:rPr>
        <w:t>3.7 Preventable hospitalizations and transition analysis</w:t>
      </w:r>
    </w:p>
    <w:p w14:paraId="43BF724A" w14:textId="77777777" w:rsidR="003D02F5" w:rsidRPr="00B84E70" w:rsidRDefault="00000000">
      <w:pPr>
        <w:spacing w:after="160" w:line="300" w:lineRule="auto"/>
        <w:jc w:val="both"/>
        <w:rPr>
          <w:lang w:val="en-US"/>
        </w:rPr>
      </w:pPr>
      <w:r w:rsidRPr="00B84E70">
        <w:rPr>
          <w:lang w:val="en-US"/>
        </w:rPr>
        <w:t xml:space="preserve">Hospitalizations approximating AHRQ Prevention Quality Indicators for heart failure and COPD were rare (53 in validation; weighted prevalence 0.30%). Two-thirds (66%) nevertheless occurred within the observed top-cost decile, only a tenth of the population, corresponding to a weighted risk ratio of 17.6 (1.98% vs. 0.11%), and the model’s predicted high-cost group captured 59% of them prospectively (risk ratio 13.1). In the transition analysis, 6.3% of </w:t>
      </w:r>
      <w:proofErr w:type="gramStart"/>
      <w:r w:rsidRPr="00B84E70">
        <w:rPr>
          <w:lang w:val="en-US"/>
        </w:rPr>
        <w:t>persons</w:t>
      </w:r>
      <w:proofErr w:type="gramEnd"/>
      <w:r w:rsidRPr="00B84E70">
        <w:rPr>
          <w:lang w:val="en-US"/>
        </w:rPr>
        <w:t xml:space="preserve"> not in the year-1 top decile became high-cost the following year, and the model </w:t>
      </w:r>
      <w:proofErr w:type="gramStart"/>
      <w:r w:rsidRPr="00B84E70">
        <w:rPr>
          <w:lang w:val="en-US"/>
        </w:rPr>
        <w:t>discriminated</w:t>
      </w:r>
      <w:proofErr w:type="gramEnd"/>
      <w:r w:rsidRPr="00B84E70">
        <w:rPr>
          <w:lang w:val="en-US"/>
        </w:rPr>
        <w:t xml:space="preserve"> these incident cases with a weighted AUC of 0.80, evidence that predictions reflect emerging need rather than the mechanical persistence of prior spending.</w:t>
      </w:r>
    </w:p>
    <w:p w14:paraId="22906344" w14:textId="77777777" w:rsidR="003D02F5" w:rsidRPr="00B84E70" w:rsidRDefault="00000000">
      <w:pPr>
        <w:pStyle w:val="Heading1"/>
        <w:spacing w:before="260" w:after="120"/>
        <w:rPr>
          <w:lang w:val="en-US"/>
        </w:rPr>
      </w:pPr>
      <w:r w:rsidRPr="00B84E70">
        <w:rPr>
          <w:b/>
          <w:bCs/>
          <w:sz w:val="26"/>
          <w:szCs w:val="26"/>
          <w:lang w:val="en-US"/>
        </w:rPr>
        <w:t>4. Discussion</w:t>
      </w:r>
    </w:p>
    <w:p w14:paraId="183CEE23" w14:textId="77777777" w:rsidR="003D02F5" w:rsidRPr="00B84E70" w:rsidRDefault="00000000">
      <w:pPr>
        <w:spacing w:after="160" w:line="300" w:lineRule="auto"/>
        <w:jc w:val="both"/>
        <w:rPr>
          <w:lang w:val="en-US"/>
        </w:rPr>
      </w:pPr>
      <w:r w:rsidRPr="00B84E70">
        <w:rPr>
          <w:lang w:val="en-US"/>
        </w:rPr>
        <w:t>In a nationally representative U.S. cohort, a survey-weighted gradient-boosted model stratified high-cost patients with strong external discrimination (AUC 0.857), calibration close to ideal, and a decision-analytic advantage over a prior-year-cost heuristic that was consistent across the actionable threshold range. Because the complex design was carried through feature selection, training, calibration, and every subgroup estimate, the risks are population-representative rather than artifacts of sample composition, and the external, post-pandemic validation, performed as a distinct study consistent with current guidance,</w:t>
      </w:r>
      <w:r w:rsidRPr="00B84E70">
        <w:rPr>
          <w:vertAlign w:val="superscript"/>
          <w:lang w:val="en-US"/>
        </w:rPr>
        <w:t>7</w:t>
      </w:r>
      <w:r w:rsidRPr="00B84E70">
        <w:rPr>
          <w:lang w:val="en-US"/>
        </w:rPr>
        <w:t xml:space="preserve"> supports temporal transportability.</w:t>
      </w:r>
    </w:p>
    <w:p w14:paraId="748884A9" w14:textId="77777777" w:rsidR="003D02F5" w:rsidRPr="00B84E70" w:rsidRDefault="00000000">
      <w:pPr>
        <w:spacing w:after="160" w:line="300" w:lineRule="auto"/>
        <w:jc w:val="both"/>
        <w:rPr>
          <w:lang w:val="en-US"/>
        </w:rPr>
      </w:pPr>
      <w:r w:rsidRPr="00B84E70">
        <w:rPr>
          <w:lang w:val="en-US"/>
        </w:rPr>
        <w:t xml:space="preserve">The task is not new: Fleishman and Cohen established this </w:t>
      </w:r>
      <w:proofErr w:type="spellStart"/>
      <w:r w:rsidRPr="00B84E70">
        <w:rPr>
          <w:lang w:val="en-US"/>
        </w:rPr>
        <w:t>estimand</w:t>
      </w:r>
      <w:proofErr w:type="spellEnd"/>
      <w:r w:rsidRPr="00B84E70">
        <w:rPr>
          <w:lang w:val="en-US"/>
        </w:rPr>
        <w:t xml:space="preserve"> and the train-early, validate-later design in MEPS.</w:t>
      </w:r>
      <w:r w:rsidRPr="00B84E70">
        <w:rPr>
          <w:vertAlign w:val="superscript"/>
          <w:lang w:val="en-US"/>
        </w:rPr>
        <w:t>8</w:t>
      </w:r>
      <w:r w:rsidRPr="00B84E70">
        <w:rPr>
          <w:lang w:val="en-US"/>
        </w:rPr>
        <w:t xml:space="preserve"> What we add is design-consistent estimation, an external validation that spans a health-system shock, formal decision-analytic comparison against the heuristic that a payer would otherwise use, and equity reported as a primary result. These are the properties that determine whether a stratification model is fit for precision-medicine care management, and they are where the systematic review of high-need high-cost models found most work wanting: sample handling, validation, and transparent reporting.</w:t>
      </w:r>
      <w:r w:rsidRPr="00B84E70">
        <w:rPr>
          <w:vertAlign w:val="superscript"/>
          <w:lang w:val="en-US"/>
        </w:rPr>
        <w:t>1</w:t>
      </w:r>
      <w:r w:rsidRPr="00B84E70">
        <w:rPr>
          <w:lang w:val="en-US"/>
        </w:rPr>
        <w:t xml:space="preserve"> Our discrimination is competitive with the strongest claims-based high-cost models, which report random-forest AUC of 0.883 in commercial claims data, while being estimated on population-representative survey data with the design carried throughout;</w:t>
      </w:r>
      <w:r w:rsidRPr="00B84E70">
        <w:rPr>
          <w:vertAlign w:val="superscript"/>
          <w:lang w:val="en-US"/>
        </w:rPr>
        <w:t>33,34</w:t>
      </w:r>
      <w:r w:rsidRPr="00B84E70">
        <w:rPr>
          <w:lang w:val="en-US"/>
        </w:rPr>
        <w:t xml:space="preserve"> and the concordance of the high-cost group with heart-failure and COPD admissions connects the statistical target to the same acute, ambulatory-care-sensitive events that cost-prediction models are increasingly used to anticipate.</w:t>
      </w:r>
      <w:r w:rsidRPr="00B84E70">
        <w:rPr>
          <w:vertAlign w:val="superscript"/>
          <w:lang w:val="en-US"/>
        </w:rPr>
        <w:t>35</w:t>
      </w:r>
    </w:p>
    <w:p w14:paraId="34564054" w14:textId="77777777" w:rsidR="003D02F5" w:rsidRPr="00B84E70" w:rsidRDefault="00000000">
      <w:pPr>
        <w:spacing w:after="160" w:line="300" w:lineRule="auto"/>
        <w:jc w:val="both"/>
        <w:rPr>
          <w:lang w:val="en-US"/>
        </w:rPr>
      </w:pPr>
      <w:r w:rsidRPr="00B84E70">
        <w:rPr>
          <w:lang w:val="en-US"/>
        </w:rPr>
        <w:t>The equity findings address a central concern in healthcare AI. A widely used algorithm was shown to under-serve Black patients because it predicted cost as a proxy for need,</w:t>
      </w:r>
      <w:r w:rsidRPr="00B84E70">
        <w:rPr>
          <w:vertAlign w:val="superscript"/>
          <w:lang w:val="en-US"/>
        </w:rPr>
        <w:t>2</w:t>
      </w:r>
      <w:r w:rsidRPr="00B84E70">
        <w:rPr>
          <w:lang w:val="en-US"/>
        </w:rPr>
        <w:t xml:space="preserve"> so any cost-targeting model warrants explicit subgroup scrutiny.</w:t>
      </w:r>
      <w:r w:rsidRPr="00B84E70">
        <w:rPr>
          <w:vertAlign w:val="superscript"/>
          <w:lang w:val="en-US"/>
        </w:rPr>
        <w:t>26,27</w:t>
      </w:r>
      <w:r w:rsidRPr="00B84E70">
        <w:rPr>
          <w:lang w:val="en-US"/>
        </w:rPr>
        <w:t xml:space="preserve"> We found broadly stable calibration across income and race/ethnicity, including in the lowest-cost stratum, so that, at a given predicted risk, expected high-cost status is similar across groups. Discrimination was not identical: a range of about 0.05 across groups is modest but not nothing, and we lean the equity claim on calibration, which is the property that governs whether a risk threshold means the same thing in each group. Even stable calibration does not guarantee equitable outcomes, since cost remains an imperfect proxy for need, but it is a necessary condition and a concrete, reportable safeguard for resource-constrained deployment.</w:t>
      </w:r>
      <w:r w:rsidRPr="00B84E70">
        <w:rPr>
          <w:vertAlign w:val="superscript"/>
          <w:lang w:val="en-US"/>
        </w:rPr>
        <w:t>28</w:t>
      </w:r>
    </w:p>
    <w:p w14:paraId="6BEEB6F2" w14:textId="77777777" w:rsidR="003D02F5" w:rsidRPr="00B84E70" w:rsidRDefault="00000000">
      <w:pPr>
        <w:spacing w:after="160" w:line="300" w:lineRule="auto"/>
        <w:jc w:val="both"/>
        <w:rPr>
          <w:lang w:val="en-US"/>
        </w:rPr>
      </w:pPr>
      <w:r w:rsidRPr="00B84E70">
        <w:rPr>
          <w:lang w:val="en-US"/>
        </w:rPr>
        <w:lastRenderedPageBreak/>
        <w:t>Methodologically, the study offers an end-to-end, design-aware approach: design-consistent variable selection</w:t>
      </w:r>
      <w:r w:rsidRPr="00B84E70">
        <w:rPr>
          <w:vertAlign w:val="superscript"/>
          <w:lang w:val="en-US"/>
        </w:rPr>
        <w:t>15,16</w:t>
      </w:r>
      <w:r w:rsidRPr="00B84E70">
        <w:rPr>
          <w:lang w:val="en-US"/>
        </w:rPr>
        <w:t xml:space="preserve"> and weighted risk estimation with cluster-aware resampling,</w:t>
      </w:r>
      <w:r w:rsidRPr="00B84E70">
        <w:rPr>
          <w:vertAlign w:val="superscript"/>
          <w:lang w:val="en-US"/>
        </w:rPr>
        <w:t>6</w:t>
      </w:r>
      <w:r w:rsidRPr="00B84E70">
        <w:rPr>
          <w:lang w:val="en-US"/>
        </w:rPr>
        <w:t xml:space="preserve"> in place of the more common practice of applying a flexible learner to survey data as though it were a simple random sample. The transition analysis further shows the model identifies emerging need, which addresses the frequent criticism that high-cost prediction merely re-detects the already-expensive.</w:t>
      </w:r>
    </w:p>
    <w:p w14:paraId="3FED595A" w14:textId="77777777" w:rsidR="003D02F5" w:rsidRPr="00B84E70" w:rsidRDefault="00000000">
      <w:pPr>
        <w:pStyle w:val="Heading2"/>
        <w:spacing w:before="160" w:after="80"/>
        <w:rPr>
          <w:lang w:val="en-US"/>
        </w:rPr>
      </w:pPr>
      <w:r w:rsidRPr="00B84E70">
        <w:rPr>
          <w:b/>
          <w:bCs/>
          <w:i/>
          <w:iCs/>
          <w:sz w:val="23"/>
          <w:szCs w:val="23"/>
          <w:lang w:val="en-US"/>
        </w:rPr>
        <w:t>4.1 Limitations</w:t>
      </w:r>
    </w:p>
    <w:p w14:paraId="0F8999DB" w14:textId="77777777" w:rsidR="003D02F5" w:rsidRPr="00B84E70" w:rsidRDefault="00000000">
      <w:pPr>
        <w:spacing w:after="160" w:line="300" w:lineRule="auto"/>
        <w:jc w:val="both"/>
        <w:rPr>
          <w:lang w:val="en-US"/>
        </w:rPr>
      </w:pPr>
      <w:r w:rsidRPr="00B84E70">
        <w:rPr>
          <w:lang w:val="en-US"/>
        </w:rPr>
        <w:t>Several limitations temper interpretation. The AHRQ-PQI secondary endpoint is a three-digit-ICD proxy without principal-diagnosis ranking, and the number of qualifying admissions was small, so those estimates are illustrative. MEPS excludes institutionalized and active-duty military populations and lacks laboratory, imaging, and detailed clinical data that could improve prediction. Design-consistent closed-form variance for composite quantities such as net benefit and weighted SHAP summaries is an area of active methodological development; we therefore used cluster resampling for the AUC, calibration and net-benefit intervals and report point estimates for the SHAP summaries.</w:t>
      </w:r>
      <w:r w:rsidRPr="00B84E70">
        <w:rPr>
          <w:vertAlign w:val="superscript"/>
          <w:lang w:val="en-US"/>
        </w:rPr>
        <w:t>25</w:t>
      </w:r>
      <w:r w:rsidRPr="00B84E70">
        <w:rPr>
          <w:lang w:val="en-US"/>
        </w:rPr>
        <w:t xml:space="preserve"> SHAP values are associational and inherit known caveats for correlated predictors.</w:t>
      </w:r>
      <w:r w:rsidRPr="00B84E70">
        <w:rPr>
          <w:vertAlign w:val="superscript"/>
          <w:lang w:val="en-US"/>
        </w:rPr>
        <w:t>23</w:t>
      </w:r>
      <w:r w:rsidRPr="00B84E70">
        <w:rPr>
          <w:lang w:val="en-US"/>
        </w:rPr>
        <w:t xml:space="preserve"> Finally, expenditure is nominal; the per-panel threshold mitigates but does not eliminate this, and external validity beyond the U.S. non-institutionalized population is not established.</w:t>
      </w:r>
    </w:p>
    <w:p w14:paraId="2CE016F7" w14:textId="77777777" w:rsidR="003D02F5" w:rsidRPr="00B84E70" w:rsidRDefault="00000000">
      <w:pPr>
        <w:pStyle w:val="Heading2"/>
        <w:spacing w:before="160" w:after="80"/>
        <w:rPr>
          <w:lang w:val="en-US"/>
        </w:rPr>
      </w:pPr>
      <w:r w:rsidRPr="00B84E70">
        <w:rPr>
          <w:b/>
          <w:bCs/>
          <w:i/>
          <w:iCs/>
          <w:sz w:val="23"/>
          <w:szCs w:val="23"/>
          <w:lang w:val="en-US"/>
        </w:rPr>
        <w:t>4.2 Conclusion</w:t>
      </w:r>
    </w:p>
    <w:p w14:paraId="2BDDC23F" w14:textId="77777777" w:rsidR="003D02F5" w:rsidRPr="00B84E70" w:rsidRDefault="00000000">
      <w:pPr>
        <w:spacing w:after="160" w:line="300" w:lineRule="auto"/>
        <w:jc w:val="both"/>
        <w:rPr>
          <w:lang w:val="en-US"/>
        </w:rPr>
      </w:pPr>
      <w:r w:rsidRPr="00B84E70">
        <w:rPr>
          <w:lang w:val="en-US"/>
        </w:rPr>
        <w:t xml:space="preserve">A transparent, reproducible, and externally validated survey-weighted machine-learning model stratifies high-cost patients with strong discrimination, stable subgroup calibration, and clinical utility exceeding the prior-cost heuristic. Designing around the population sampling structure and validating across a disrupted temporal window yields </w:t>
      </w:r>
      <w:proofErr w:type="gramStart"/>
      <w:r w:rsidRPr="00B84E70">
        <w:rPr>
          <w:lang w:val="en-US"/>
        </w:rPr>
        <w:t>risks</w:t>
      </w:r>
      <w:proofErr w:type="gramEnd"/>
      <w:r w:rsidRPr="00B84E70">
        <w:rPr>
          <w:lang w:val="en-US"/>
        </w:rPr>
        <w:t xml:space="preserve"> suitable for equitable precision-medicine care management, and the same approach transfers to other prediction problems built on complex survey data.</w:t>
      </w:r>
    </w:p>
    <w:p w14:paraId="7571AD6C" w14:textId="77777777" w:rsidR="003D02F5" w:rsidRPr="00B84E70" w:rsidRDefault="00000000">
      <w:pPr>
        <w:pStyle w:val="Heading1"/>
        <w:spacing w:before="260" w:after="120"/>
        <w:rPr>
          <w:lang w:val="en-US"/>
        </w:rPr>
      </w:pPr>
      <w:r w:rsidRPr="00B84E70">
        <w:rPr>
          <w:b/>
          <w:bCs/>
          <w:sz w:val="26"/>
          <w:szCs w:val="26"/>
          <w:lang w:val="en-US"/>
        </w:rPr>
        <w:t>Declarations</w:t>
      </w:r>
    </w:p>
    <w:p w14:paraId="2516ED77" w14:textId="77777777" w:rsidR="003D02F5" w:rsidRPr="00B84E70" w:rsidRDefault="00000000">
      <w:pPr>
        <w:spacing w:after="160" w:line="300" w:lineRule="auto"/>
        <w:jc w:val="both"/>
        <w:rPr>
          <w:lang w:val="en-US"/>
        </w:rPr>
      </w:pPr>
      <w:r w:rsidRPr="00B84E70">
        <w:rPr>
          <w:b/>
          <w:bCs/>
          <w:lang w:val="en-US"/>
        </w:rPr>
        <w:t xml:space="preserve">Data availability. </w:t>
      </w:r>
      <w:r w:rsidRPr="00B84E70">
        <w:rPr>
          <w:lang w:val="en-US"/>
        </w:rPr>
        <w:t>All data are public MEPS Household Component files (longitudinal panels HC-202, HC-210, HC-217, HC-244, HC-252 and the linked 2022/2023 event files) available from AHRQ at https://meps.ahrq.gov.</w:t>
      </w:r>
    </w:p>
    <w:p w14:paraId="7BA0B0FD" w14:textId="77777777" w:rsidR="003D02F5" w:rsidRPr="00B84E70" w:rsidRDefault="00000000">
      <w:pPr>
        <w:spacing w:after="160" w:line="300" w:lineRule="auto"/>
        <w:jc w:val="both"/>
        <w:rPr>
          <w:lang w:val="en-US"/>
        </w:rPr>
      </w:pPr>
      <w:r w:rsidRPr="00B84E70">
        <w:rPr>
          <w:b/>
          <w:bCs/>
          <w:lang w:val="en-US"/>
        </w:rPr>
        <w:t xml:space="preserve">Code availability. </w:t>
      </w:r>
      <w:r w:rsidRPr="00B84E70">
        <w:rPr>
          <w:lang w:val="en-US"/>
        </w:rPr>
        <w:t xml:space="preserve">The complete analysis code, including the design-based selection pipeline, the validation invariants, and all figure scripts, is openly available at https://github.com/rafreis/meps-highcost and archived on </w:t>
      </w:r>
      <w:proofErr w:type="spellStart"/>
      <w:r w:rsidRPr="00B84E70">
        <w:rPr>
          <w:lang w:val="en-US"/>
        </w:rPr>
        <w:t>Zenodo</w:t>
      </w:r>
      <w:proofErr w:type="spellEnd"/>
      <w:r w:rsidRPr="00B84E70">
        <w:rPr>
          <w:lang w:val="en-US"/>
        </w:rPr>
        <w:t xml:space="preserve"> (DOI: [TO BE INSERTED ON RELEASE]). Public MEPS data are not redistributed; the pipeline downloads them from AHRQ.</w:t>
      </w:r>
    </w:p>
    <w:p w14:paraId="5EB2D40B" w14:textId="127BAE61" w:rsidR="003D02F5" w:rsidRPr="00B84E70" w:rsidRDefault="00000000">
      <w:pPr>
        <w:spacing w:after="160" w:line="300" w:lineRule="auto"/>
        <w:jc w:val="both"/>
        <w:rPr>
          <w:lang w:val="en-US"/>
        </w:rPr>
      </w:pPr>
      <w:r w:rsidRPr="00B84E70">
        <w:rPr>
          <w:b/>
          <w:bCs/>
          <w:lang w:val="en-US"/>
        </w:rPr>
        <w:t xml:space="preserve">Use of artificial intelligence. </w:t>
      </w:r>
      <w:r w:rsidRPr="00B84E70">
        <w:rPr>
          <w:lang w:val="en-US"/>
        </w:rPr>
        <w:t>The author used an AI coding assistant (Claude, Anthropic) to help write and debug analysis code; all data handling, analyses, results, and interpretations were specified and verified by the author, who takes full responsibility for the content.</w:t>
      </w:r>
    </w:p>
    <w:p w14:paraId="0D7D86D6" w14:textId="77777777" w:rsidR="003D02F5" w:rsidRPr="00B84E70" w:rsidRDefault="00000000">
      <w:pPr>
        <w:spacing w:after="160" w:line="300" w:lineRule="auto"/>
        <w:jc w:val="both"/>
        <w:rPr>
          <w:lang w:val="en-US"/>
        </w:rPr>
      </w:pPr>
      <w:r w:rsidRPr="00B84E70">
        <w:rPr>
          <w:b/>
          <w:bCs/>
          <w:lang w:val="en-US"/>
        </w:rPr>
        <w:t xml:space="preserve">Reporting. </w:t>
      </w:r>
      <w:r w:rsidRPr="00B84E70">
        <w:rPr>
          <w:lang w:val="en-US"/>
        </w:rPr>
        <w:t>Reported in accordance with TRIPOD+AI; a completed checklist is provided as a supplementary file.</w:t>
      </w:r>
    </w:p>
    <w:p w14:paraId="2618EA8A" w14:textId="77777777" w:rsidR="00B84E70" w:rsidRDefault="00B84E70">
      <w:pPr>
        <w:pStyle w:val="Heading1"/>
        <w:spacing w:before="260" w:after="120"/>
        <w:rPr>
          <w:b/>
          <w:bCs/>
          <w:sz w:val="26"/>
          <w:szCs w:val="26"/>
        </w:rPr>
      </w:pPr>
    </w:p>
    <w:p w14:paraId="23AA753E" w14:textId="2DDD83E0" w:rsidR="003D02F5" w:rsidRDefault="00000000">
      <w:pPr>
        <w:pStyle w:val="Heading1"/>
        <w:spacing w:before="260" w:after="120"/>
      </w:pPr>
      <w:proofErr w:type="spellStart"/>
      <w:r>
        <w:rPr>
          <w:b/>
          <w:bCs/>
          <w:sz w:val="26"/>
          <w:szCs w:val="26"/>
        </w:rPr>
        <w:lastRenderedPageBreak/>
        <w:t>References</w:t>
      </w:r>
      <w:proofErr w:type="spellEnd"/>
    </w:p>
    <w:p w14:paraId="5D609986" w14:textId="77777777" w:rsidR="003D02F5" w:rsidRDefault="00000000">
      <w:pPr>
        <w:pStyle w:val="ListParagraph"/>
        <w:numPr>
          <w:ilvl w:val="0"/>
          <w:numId w:val="2"/>
        </w:numPr>
        <w:spacing w:after="60"/>
      </w:pPr>
      <w:r w:rsidRPr="00B84E70">
        <w:rPr>
          <w:sz w:val="20"/>
          <w:szCs w:val="20"/>
          <w:lang w:val="en-US"/>
        </w:rPr>
        <w:t xml:space="preserve">de Ruijter UW, Kaplan ZLR, Bramer WM, </w:t>
      </w:r>
      <w:proofErr w:type="spellStart"/>
      <w:r w:rsidRPr="00B84E70">
        <w:rPr>
          <w:sz w:val="20"/>
          <w:szCs w:val="20"/>
          <w:lang w:val="en-US"/>
        </w:rPr>
        <w:t>Eijkenaar</w:t>
      </w:r>
      <w:proofErr w:type="spellEnd"/>
      <w:r w:rsidRPr="00B84E70">
        <w:rPr>
          <w:sz w:val="20"/>
          <w:szCs w:val="20"/>
          <w:lang w:val="en-US"/>
        </w:rPr>
        <w:t xml:space="preserve"> F, Nieboer D, van der Heide A, et al. Prediction models for future high-need high-cost healthcare use: a systematic review. </w:t>
      </w:r>
      <w:r>
        <w:rPr>
          <w:sz w:val="20"/>
          <w:szCs w:val="20"/>
        </w:rPr>
        <w:t xml:space="preserve">J </w:t>
      </w:r>
      <w:proofErr w:type="spellStart"/>
      <w:r>
        <w:rPr>
          <w:sz w:val="20"/>
          <w:szCs w:val="20"/>
        </w:rPr>
        <w:t>Gen</w:t>
      </w:r>
      <w:proofErr w:type="spellEnd"/>
      <w:r>
        <w:rPr>
          <w:sz w:val="20"/>
          <w:szCs w:val="20"/>
        </w:rPr>
        <w:t xml:space="preserve"> </w:t>
      </w:r>
      <w:proofErr w:type="spellStart"/>
      <w:r>
        <w:rPr>
          <w:sz w:val="20"/>
          <w:szCs w:val="20"/>
        </w:rPr>
        <w:t>Intern</w:t>
      </w:r>
      <w:proofErr w:type="spellEnd"/>
      <w:r>
        <w:rPr>
          <w:sz w:val="20"/>
          <w:szCs w:val="20"/>
        </w:rPr>
        <w:t xml:space="preserve"> Med. 2022;37(7):1763-1770. doi:10.1007/s11606-021-07333-z</w:t>
      </w:r>
    </w:p>
    <w:p w14:paraId="5DEE86E4" w14:textId="77777777" w:rsidR="003D02F5" w:rsidRDefault="00000000">
      <w:pPr>
        <w:pStyle w:val="ListParagraph"/>
        <w:numPr>
          <w:ilvl w:val="0"/>
          <w:numId w:val="2"/>
        </w:numPr>
        <w:spacing w:after="60"/>
      </w:pPr>
      <w:r w:rsidRPr="00B84E70">
        <w:rPr>
          <w:sz w:val="20"/>
          <w:szCs w:val="20"/>
          <w:lang w:val="en-US"/>
        </w:rPr>
        <w:t xml:space="preserve">Obermeyer Z, Powers B, Vogeli C, Mullainathan S. Dissecting racial bias in an algorithm used to manage the health of populations. </w:t>
      </w:r>
      <w:r>
        <w:rPr>
          <w:sz w:val="20"/>
          <w:szCs w:val="20"/>
        </w:rPr>
        <w:t>Science. 2019;366(6464):447-453. doi:10.1126/</w:t>
      </w:r>
      <w:proofErr w:type="gramStart"/>
      <w:r>
        <w:rPr>
          <w:sz w:val="20"/>
          <w:szCs w:val="20"/>
        </w:rPr>
        <w:t>science.aax</w:t>
      </w:r>
      <w:proofErr w:type="gramEnd"/>
      <w:r>
        <w:rPr>
          <w:sz w:val="20"/>
          <w:szCs w:val="20"/>
        </w:rPr>
        <w:t>2342</w:t>
      </w:r>
    </w:p>
    <w:p w14:paraId="22B9B12C" w14:textId="77777777" w:rsidR="003D02F5" w:rsidRDefault="00000000">
      <w:pPr>
        <w:pStyle w:val="ListParagraph"/>
        <w:numPr>
          <w:ilvl w:val="0"/>
          <w:numId w:val="2"/>
        </w:numPr>
        <w:spacing w:after="60"/>
      </w:pPr>
      <w:r w:rsidRPr="00B84E70">
        <w:rPr>
          <w:sz w:val="20"/>
          <w:szCs w:val="20"/>
          <w:lang w:val="en-US"/>
        </w:rPr>
        <w:t xml:space="preserve">Fan Q, Wang J, Nicholas S, Maitland E. High-cost users: drivers of inpatient healthcare expenditure concentration in urban China. </w:t>
      </w:r>
      <w:r>
        <w:rPr>
          <w:sz w:val="20"/>
          <w:szCs w:val="20"/>
        </w:rPr>
        <w:t xml:space="preserve">BMC Health </w:t>
      </w:r>
      <w:proofErr w:type="spellStart"/>
      <w:r>
        <w:rPr>
          <w:sz w:val="20"/>
          <w:szCs w:val="20"/>
        </w:rPr>
        <w:t>Serv</w:t>
      </w:r>
      <w:proofErr w:type="spellEnd"/>
      <w:r>
        <w:rPr>
          <w:sz w:val="20"/>
          <w:szCs w:val="20"/>
        </w:rPr>
        <w:t xml:space="preserve"> Res. 2022;22(1):1348. doi:10.1186/s12913-022-08775-9</w:t>
      </w:r>
    </w:p>
    <w:p w14:paraId="48CE9E61" w14:textId="77777777" w:rsidR="003D02F5" w:rsidRDefault="00000000">
      <w:pPr>
        <w:pStyle w:val="ListParagraph"/>
        <w:numPr>
          <w:ilvl w:val="0"/>
          <w:numId w:val="2"/>
        </w:numPr>
        <w:spacing w:after="60"/>
      </w:pPr>
      <w:r w:rsidRPr="00B84E70">
        <w:rPr>
          <w:sz w:val="20"/>
          <w:szCs w:val="20"/>
          <w:lang w:val="en-US"/>
        </w:rPr>
        <w:t xml:space="preserve">Topol EJ. High-performance medicine: the convergence of human and artificial intelligence. </w:t>
      </w:r>
      <w:r>
        <w:rPr>
          <w:sz w:val="20"/>
          <w:szCs w:val="20"/>
        </w:rPr>
        <w:t>Nat Med. 2019;25(1):44-56. doi:10.1038/s41591-018-0300-7</w:t>
      </w:r>
    </w:p>
    <w:p w14:paraId="399ECE53" w14:textId="77777777" w:rsidR="003D02F5" w:rsidRDefault="00000000">
      <w:pPr>
        <w:pStyle w:val="ListParagraph"/>
        <w:numPr>
          <w:ilvl w:val="0"/>
          <w:numId w:val="2"/>
        </w:numPr>
        <w:spacing w:after="60"/>
      </w:pPr>
      <w:proofErr w:type="spellStart"/>
      <w:r w:rsidRPr="00B84E70">
        <w:rPr>
          <w:sz w:val="20"/>
          <w:szCs w:val="20"/>
          <w:lang w:val="en-US"/>
        </w:rPr>
        <w:t>MacNell</w:t>
      </w:r>
      <w:proofErr w:type="spellEnd"/>
      <w:r w:rsidRPr="00B84E70">
        <w:rPr>
          <w:sz w:val="20"/>
          <w:szCs w:val="20"/>
          <w:lang w:val="en-US"/>
        </w:rPr>
        <w:t xml:space="preserve"> N, Feinstein L, Wilkerson J, Salo PM, Molsberry SA, Fessler MB, et al. Implementing machine learning methods with complex survey data: lessons learned on the impacts of accounting sampling weights in gradient boosting. </w:t>
      </w:r>
      <w:r>
        <w:rPr>
          <w:sz w:val="20"/>
          <w:szCs w:val="20"/>
        </w:rPr>
        <w:t xml:space="preserve">PLoS </w:t>
      </w:r>
      <w:proofErr w:type="spellStart"/>
      <w:r>
        <w:rPr>
          <w:sz w:val="20"/>
          <w:szCs w:val="20"/>
        </w:rPr>
        <w:t>One</w:t>
      </w:r>
      <w:proofErr w:type="spellEnd"/>
      <w:r>
        <w:rPr>
          <w:sz w:val="20"/>
          <w:szCs w:val="20"/>
        </w:rPr>
        <w:t>. 2023;18(1):e0280387. doi:10.1371/journal.pone.0280387</w:t>
      </w:r>
    </w:p>
    <w:p w14:paraId="1C5E0CE3" w14:textId="77777777" w:rsidR="003D02F5" w:rsidRDefault="00000000">
      <w:pPr>
        <w:pStyle w:val="ListParagraph"/>
        <w:numPr>
          <w:ilvl w:val="0"/>
          <w:numId w:val="2"/>
        </w:numPr>
        <w:spacing w:after="60"/>
      </w:pPr>
      <w:r w:rsidRPr="00B84E70">
        <w:rPr>
          <w:sz w:val="20"/>
          <w:szCs w:val="20"/>
          <w:lang w:val="en-US"/>
        </w:rPr>
        <w:t xml:space="preserve">Bhaduri D, Toth D, Holan SH. A review of </w:t>
      </w:r>
      <w:proofErr w:type="gramStart"/>
      <w:r w:rsidRPr="00B84E70">
        <w:rPr>
          <w:sz w:val="20"/>
          <w:szCs w:val="20"/>
          <w:lang w:val="en-US"/>
        </w:rPr>
        <w:t>tree</w:t>
      </w:r>
      <w:proofErr w:type="gramEnd"/>
      <w:r w:rsidRPr="00B84E70">
        <w:rPr>
          <w:sz w:val="20"/>
          <w:szCs w:val="20"/>
          <w:lang w:val="en-US"/>
        </w:rPr>
        <w:t xml:space="preserve">-based methods for analyzing survey data. </w:t>
      </w:r>
      <w:proofErr w:type="spellStart"/>
      <w:r>
        <w:rPr>
          <w:sz w:val="20"/>
          <w:szCs w:val="20"/>
        </w:rPr>
        <w:t>WIREs</w:t>
      </w:r>
      <w:proofErr w:type="spellEnd"/>
      <w:r>
        <w:rPr>
          <w:sz w:val="20"/>
          <w:szCs w:val="20"/>
        </w:rPr>
        <w:t xml:space="preserve"> </w:t>
      </w:r>
      <w:proofErr w:type="spellStart"/>
      <w:r>
        <w:rPr>
          <w:sz w:val="20"/>
          <w:szCs w:val="20"/>
        </w:rPr>
        <w:t>Comput</w:t>
      </w:r>
      <w:proofErr w:type="spellEnd"/>
      <w:r>
        <w:rPr>
          <w:sz w:val="20"/>
          <w:szCs w:val="20"/>
        </w:rPr>
        <w:t xml:space="preserve"> </w:t>
      </w:r>
      <w:proofErr w:type="spellStart"/>
      <w:r>
        <w:rPr>
          <w:sz w:val="20"/>
          <w:szCs w:val="20"/>
        </w:rPr>
        <w:t>Stat</w:t>
      </w:r>
      <w:proofErr w:type="spellEnd"/>
      <w:r>
        <w:rPr>
          <w:sz w:val="20"/>
          <w:szCs w:val="20"/>
        </w:rPr>
        <w:t>. 2025;17(1):e70010. doi:10.1002/wics.70010</w:t>
      </w:r>
    </w:p>
    <w:p w14:paraId="5F2125EC" w14:textId="77777777" w:rsidR="003D02F5" w:rsidRDefault="00000000">
      <w:pPr>
        <w:pStyle w:val="ListParagraph"/>
        <w:numPr>
          <w:ilvl w:val="0"/>
          <w:numId w:val="2"/>
        </w:numPr>
        <w:spacing w:after="60"/>
      </w:pPr>
      <w:r w:rsidRPr="00B84E70">
        <w:rPr>
          <w:sz w:val="20"/>
          <w:szCs w:val="20"/>
          <w:lang w:val="en-US"/>
        </w:rPr>
        <w:t xml:space="preserve">Riley RD, Archer L, Snell KIE, Ensor J, Dhiman P, Martin GP, et al. Evaluation of clinical prediction models (part 2): how to undertake an external validation study. </w:t>
      </w:r>
      <w:r>
        <w:rPr>
          <w:sz w:val="20"/>
          <w:szCs w:val="20"/>
        </w:rPr>
        <w:t>BMJ. 2024;384:e074820. doi:10.1136/bmj-2023-074820</w:t>
      </w:r>
    </w:p>
    <w:p w14:paraId="15B8B730" w14:textId="77777777" w:rsidR="003D02F5" w:rsidRDefault="00000000">
      <w:pPr>
        <w:pStyle w:val="ListParagraph"/>
        <w:numPr>
          <w:ilvl w:val="0"/>
          <w:numId w:val="2"/>
        </w:numPr>
        <w:spacing w:after="60"/>
      </w:pPr>
      <w:r w:rsidRPr="00B84E70">
        <w:rPr>
          <w:sz w:val="20"/>
          <w:szCs w:val="20"/>
          <w:lang w:val="en-US"/>
        </w:rPr>
        <w:t xml:space="preserve">Fleishman JA, Cohen JW. Using information on clinical conditions to predict high-cost patients. </w:t>
      </w:r>
      <w:r>
        <w:rPr>
          <w:sz w:val="20"/>
          <w:szCs w:val="20"/>
        </w:rPr>
        <w:t xml:space="preserve">Health </w:t>
      </w:r>
      <w:proofErr w:type="spellStart"/>
      <w:r>
        <w:rPr>
          <w:sz w:val="20"/>
          <w:szCs w:val="20"/>
        </w:rPr>
        <w:t>Serv</w:t>
      </w:r>
      <w:proofErr w:type="spellEnd"/>
      <w:r>
        <w:rPr>
          <w:sz w:val="20"/>
          <w:szCs w:val="20"/>
        </w:rPr>
        <w:t xml:space="preserve"> Res. 2010;45(2):532-552. PMID: 20132341</w:t>
      </w:r>
    </w:p>
    <w:p w14:paraId="6A5867DA" w14:textId="77777777" w:rsidR="003D02F5" w:rsidRDefault="00000000">
      <w:pPr>
        <w:pStyle w:val="ListParagraph"/>
        <w:numPr>
          <w:ilvl w:val="0"/>
          <w:numId w:val="2"/>
        </w:numPr>
        <w:spacing w:after="60"/>
      </w:pPr>
      <w:r w:rsidRPr="00B84E70">
        <w:rPr>
          <w:sz w:val="20"/>
          <w:szCs w:val="20"/>
          <w:lang w:val="en-US"/>
        </w:rPr>
        <w:t xml:space="preserve">Tan JK, Quan L, Tan HY, Goh SY, </w:t>
      </w:r>
      <w:proofErr w:type="spellStart"/>
      <w:r w:rsidRPr="00B84E70">
        <w:rPr>
          <w:sz w:val="20"/>
          <w:szCs w:val="20"/>
          <w:lang w:val="en-US"/>
        </w:rPr>
        <w:t>Thumboo</w:t>
      </w:r>
      <w:proofErr w:type="spellEnd"/>
      <w:r w:rsidRPr="00B84E70">
        <w:rPr>
          <w:sz w:val="20"/>
          <w:szCs w:val="20"/>
          <w:lang w:val="en-US"/>
        </w:rPr>
        <w:t xml:space="preserve"> J, Au M, et al. Ensemble machine learning models for predicting patients with high usage: model validation and economic impact analysis. </w:t>
      </w:r>
      <w:r>
        <w:rPr>
          <w:sz w:val="20"/>
          <w:szCs w:val="20"/>
        </w:rPr>
        <w:t>JMIR Med Inform. 2026;14:e77202. doi:10.2196/77202</w:t>
      </w:r>
    </w:p>
    <w:p w14:paraId="5C9517F8" w14:textId="77777777" w:rsidR="003D02F5" w:rsidRDefault="00000000">
      <w:pPr>
        <w:pStyle w:val="ListParagraph"/>
        <w:numPr>
          <w:ilvl w:val="0"/>
          <w:numId w:val="2"/>
        </w:numPr>
        <w:spacing w:after="60"/>
      </w:pPr>
      <w:r w:rsidRPr="00B84E70">
        <w:rPr>
          <w:sz w:val="20"/>
          <w:szCs w:val="20"/>
          <w:lang w:val="en-US"/>
        </w:rPr>
        <w:t xml:space="preserve">Collins GS, Moons KGM, Dhiman P, Riley RD, Beam AL, Van </w:t>
      </w:r>
      <w:proofErr w:type="spellStart"/>
      <w:r w:rsidRPr="00B84E70">
        <w:rPr>
          <w:sz w:val="20"/>
          <w:szCs w:val="20"/>
          <w:lang w:val="en-US"/>
        </w:rPr>
        <w:t>Calster</w:t>
      </w:r>
      <w:proofErr w:type="spellEnd"/>
      <w:r w:rsidRPr="00B84E70">
        <w:rPr>
          <w:sz w:val="20"/>
          <w:szCs w:val="20"/>
          <w:lang w:val="en-US"/>
        </w:rPr>
        <w:t xml:space="preserve"> B, et al. TRIPOD+AI statement: updated guidance for reporting clinical prediction models that use regression or machine learning methods. </w:t>
      </w:r>
      <w:r>
        <w:rPr>
          <w:sz w:val="20"/>
          <w:szCs w:val="20"/>
        </w:rPr>
        <w:t>BMJ. 2024;385:e078378. doi:10.1136/bmj-2023-078378</w:t>
      </w:r>
    </w:p>
    <w:p w14:paraId="5EC57602" w14:textId="77777777" w:rsidR="003D02F5" w:rsidRDefault="00000000">
      <w:pPr>
        <w:pStyle w:val="ListParagraph"/>
        <w:numPr>
          <w:ilvl w:val="0"/>
          <w:numId w:val="2"/>
        </w:numPr>
        <w:spacing w:after="60"/>
      </w:pPr>
      <w:r w:rsidRPr="00B84E70">
        <w:rPr>
          <w:sz w:val="20"/>
          <w:szCs w:val="20"/>
          <w:lang w:val="en-US"/>
        </w:rPr>
        <w:t xml:space="preserve">Agency for Healthcare Research and Quality. Medical Expenditure Panel Survey (MEPS): Household Component. </w:t>
      </w:r>
      <w:proofErr w:type="spellStart"/>
      <w:r>
        <w:rPr>
          <w:sz w:val="20"/>
          <w:szCs w:val="20"/>
        </w:rPr>
        <w:t>Rockville</w:t>
      </w:r>
      <w:proofErr w:type="spellEnd"/>
      <w:r>
        <w:rPr>
          <w:sz w:val="20"/>
          <w:szCs w:val="20"/>
        </w:rPr>
        <w:t xml:space="preserve">, MD: AHRQ. </w:t>
      </w:r>
      <w:proofErr w:type="spellStart"/>
      <w:r>
        <w:rPr>
          <w:sz w:val="20"/>
          <w:szCs w:val="20"/>
        </w:rPr>
        <w:t>Accessed</w:t>
      </w:r>
      <w:proofErr w:type="spellEnd"/>
      <w:r>
        <w:rPr>
          <w:sz w:val="20"/>
          <w:szCs w:val="20"/>
        </w:rPr>
        <w:t xml:space="preserve"> July 2026. https://meps.ahrq.gov</w:t>
      </w:r>
    </w:p>
    <w:p w14:paraId="584D20AA" w14:textId="77777777" w:rsidR="003D02F5" w:rsidRDefault="00000000">
      <w:pPr>
        <w:pStyle w:val="ListParagraph"/>
        <w:numPr>
          <w:ilvl w:val="0"/>
          <w:numId w:val="2"/>
        </w:numPr>
        <w:spacing w:after="60"/>
      </w:pPr>
      <w:r w:rsidRPr="00B84E70">
        <w:rPr>
          <w:sz w:val="20"/>
          <w:szCs w:val="20"/>
          <w:lang w:val="en-US"/>
        </w:rPr>
        <w:t xml:space="preserve">Francisco CA, Fuller WA. Quantile estimation with a complex survey design. </w:t>
      </w:r>
      <w:r>
        <w:rPr>
          <w:sz w:val="20"/>
          <w:szCs w:val="20"/>
        </w:rPr>
        <w:t xml:space="preserve">Ann </w:t>
      </w:r>
      <w:proofErr w:type="spellStart"/>
      <w:r>
        <w:rPr>
          <w:sz w:val="20"/>
          <w:szCs w:val="20"/>
        </w:rPr>
        <w:t>Stat</w:t>
      </w:r>
      <w:proofErr w:type="spellEnd"/>
      <w:r>
        <w:rPr>
          <w:sz w:val="20"/>
          <w:szCs w:val="20"/>
        </w:rPr>
        <w:t>. 1991;19(1):454-469. doi:10.1214/aos/1176347993</w:t>
      </w:r>
    </w:p>
    <w:p w14:paraId="21EAEFDA" w14:textId="77777777" w:rsidR="003D02F5" w:rsidRDefault="00000000">
      <w:pPr>
        <w:pStyle w:val="ListParagraph"/>
        <w:numPr>
          <w:ilvl w:val="0"/>
          <w:numId w:val="2"/>
        </w:numPr>
        <w:spacing w:after="60"/>
      </w:pPr>
      <w:r w:rsidRPr="00B84E70">
        <w:rPr>
          <w:sz w:val="20"/>
          <w:szCs w:val="20"/>
          <w:lang w:val="en-US"/>
        </w:rPr>
        <w:t xml:space="preserve">Wooldridge JM. Inverse probability weighted M-estimators for sample selection, attrition, and stratification. </w:t>
      </w:r>
      <w:proofErr w:type="spellStart"/>
      <w:r>
        <w:rPr>
          <w:sz w:val="20"/>
          <w:szCs w:val="20"/>
        </w:rPr>
        <w:t>Port</w:t>
      </w:r>
      <w:proofErr w:type="spellEnd"/>
      <w:r>
        <w:rPr>
          <w:sz w:val="20"/>
          <w:szCs w:val="20"/>
        </w:rPr>
        <w:t xml:space="preserve"> </w:t>
      </w:r>
      <w:proofErr w:type="spellStart"/>
      <w:r>
        <w:rPr>
          <w:sz w:val="20"/>
          <w:szCs w:val="20"/>
        </w:rPr>
        <w:t>Econ</w:t>
      </w:r>
      <w:proofErr w:type="spellEnd"/>
      <w:r>
        <w:rPr>
          <w:sz w:val="20"/>
          <w:szCs w:val="20"/>
        </w:rPr>
        <w:t xml:space="preserve"> J. 2002;1(2):117-139. doi:10.1007/s10258-002-0008-x</w:t>
      </w:r>
    </w:p>
    <w:p w14:paraId="4D004CB8" w14:textId="77777777" w:rsidR="003D02F5" w:rsidRDefault="00000000">
      <w:pPr>
        <w:pStyle w:val="ListParagraph"/>
        <w:numPr>
          <w:ilvl w:val="0"/>
          <w:numId w:val="2"/>
        </w:numPr>
        <w:spacing w:after="60"/>
      </w:pPr>
      <w:r w:rsidRPr="00B84E70">
        <w:rPr>
          <w:sz w:val="20"/>
          <w:szCs w:val="20"/>
          <w:lang w:val="en-US"/>
        </w:rPr>
        <w:t xml:space="preserve">Rao JNK, Scott AJ. On chi-squared tests for multiway contingency tables with cell proportions estimated from survey data. </w:t>
      </w:r>
      <w:r>
        <w:rPr>
          <w:sz w:val="20"/>
          <w:szCs w:val="20"/>
        </w:rPr>
        <w:t xml:space="preserve">Ann </w:t>
      </w:r>
      <w:proofErr w:type="spellStart"/>
      <w:r>
        <w:rPr>
          <w:sz w:val="20"/>
          <w:szCs w:val="20"/>
        </w:rPr>
        <w:t>Stat</w:t>
      </w:r>
      <w:proofErr w:type="spellEnd"/>
      <w:r>
        <w:rPr>
          <w:sz w:val="20"/>
          <w:szCs w:val="20"/>
        </w:rPr>
        <w:t>. 1984;12(1):46-60. doi:10.1214/aos/1176346391</w:t>
      </w:r>
    </w:p>
    <w:p w14:paraId="1F8C1679" w14:textId="77777777" w:rsidR="003D02F5" w:rsidRDefault="00000000">
      <w:pPr>
        <w:pStyle w:val="ListParagraph"/>
        <w:numPr>
          <w:ilvl w:val="0"/>
          <w:numId w:val="2"/>
        </w:numPr>
        <w:spacing w:after="60"/>
      </w:pPr>
      <w:r w:rsidRPr="00B84E70">
        <w:rPr>
          <w:sz w:val="20"/>
          <w:szCs w:val="20"/>
          <w:lang w:val="en-US"/>
        </w:rPr>
        <w:t xml:space="preserve">Lumley T, Scott A. AIC and BIC for modelling with complex survey data. </w:t>
      </w:r>
      <w:r>
        <w:rPr>
          <w:sz w:val="20"/>
          <w:szCs w:val="20"/>
        </w:rPr>
        <w:t xml:space="preserve">J </w:t>
      </w:r>
      <w:proofErr w:type="spellStart"/>
      <w:r>
        <w:rPr>
          <w:sz w:val="20"/>
          <w:szCs w:val="20"/>
        </w:rPr>
        <w:t>Surv</w:t>
      </w:r>
      <w:proofErr w:type="spellEnd"/>
      <w:r>
        <w:rPr>
          <w:sz w:val="20"/>
          <w:szCs w:val="20"/>
        </w:rPr>
        <w:t xml:space="preserve"> </w:t>
      </w:r>
      <w:proofErr w:type="spellStart"/>
      <w:r>
        <w:rPr>
          <w:sz w:val="20"/>
          <w:szCs w:val="20"/>
        </w:rPr>
        <w:t>Stat</w:t>
      </w:r>
      <w:proofErr w:type="spellEnd"/>
      <w:r>
        <w:rPr>
          <w:sz w:val="20"/>
          <w:szCs w:val="20"/>
        </w:rPr>
        <w:t xml:space="preserve"> </w:t>
      </w:r>
      <w:proofErr w:type="spellStart"/>
      <w:r>
        <w:rPr>
          <w:sz w:val="20"/>
          <w:szCs w:val="20"/>
        </w:rPr>
        <w:t>Methodol</w:t>
      </w:r>
      <w:proofErr w:type="spellEnd"/>
      <w:r>
        <w:rPr>
          <w:sz w:val="20"/>
          <w:szCs w:val="20"/>
        </w:rPr>
        <w:t>. 2015;3(1):1-18. doi:10.1093/</w:t>
      </w:r>
      <w:proofErr w:type="spellStart"/>
      <w:r>
        <w:rPr>
          <w:sz w:val="20"/>
          <w:szCs w:val="20"/>
        </w:rPr>
        <w:t>jssam</w:t>
      </w:r>
      <w:proofErr w:type="spellEnd"/>
      <w:r>
        <w:rPr>
          <w:sz w:val="20"/>
          <w:szCs w:val="20"/>
        </w:rPr>
        <w:t>/smu022</w:t>
      </w:r>
    </w:p>
    <w:p w14:paraId="5C46DB73" w14:textId="77777777" w:rsidR="003D02F5" w:rsidRDefault="00000000">
      <w:pPr>
        <w:pStyle w:val="ListParagraph"/>
        <w:numPr>
          <w:ilvl w:val="0"/>
          <w:numId w:val="2"/>
        </w:numPr>
        <w:spacing w:after="60"/>
      </w:pPr>
      <w:r w:rsidRPr="00B84E70">
        <w:rPr>
          <w:sz w:val="20"/>
          <w:szCs w:val="20"/>
          <w:lang w:val="en-US"/>
        </w:rPr>
        <w:t xml:space="preserve">Iparragirre A, Lumley T, Barrio I, Arostegui I. Variable selection with LASSO regression for complex survey data. </w:t>
      </w:r>
      <w:proofErr w:type="spellStart"/>
      <w:r>
        <w:rPr>
          <w:sz w:val="20"/>
          <w:szCs w:val="20"/>
        </w:rPr>
        <w:t>Stat</w:t>
      </w:r>
      <w:proofErr w:type="spellEnd"/>
      <w:r>
        <w:rPr>
          <w:sz w:val="20"/>
          <w:szCs w:val="20"/>
        </w:rPr>
        <w:t>. 2023;12(1):e578. doi:10.1002/sta4.578</w:t>
      </w:r>
    </w:p>
    <w:p w14:paraId="255DAD29" w14:textId="77777777" w:rsidR="003D02F5" w:rsidRDefault="00000000">
      <w:pPr>
        <w:pStyle w:val="ListParagraph"/>
        <w:numPr>
          <w:ilvl w:val="0"/>
          <w:numId w:val="2"/>
        </w:numPr>
        <w:spacing w:after="60"/>
      </w:pPr>
      <w:proofErr w:type="spellStart"/>
      <w:r w:rsidRPr="00B84E70">
        <w:rPr>
          <w:sz w:val="20"/>
          <w:szCs w:val="20"/>
          <w:lang w:val="en-US"/>
        </w:rPr>
        <w:t>Kursa</w:t>
      </w:r>
      <w:proofErr w:type="spellEnd"/>
      <w:r w:rsidRPr="00B84E70">
        <w:rPr>
          <w:sz w:val="20"/>
          <w:szCs w:val="20"/>
          <w:lang w:val="en-US"/>
        </w:rPr>
        <w:t xml:space="preserve"> MB, Rudnicki WR. Feature selection with the Boruta package. </w:t>
      </w:r>
      <w:r>
        <w:rPr>
          <w:sz w:val="20"/>
          <w:szCs w:val="20"/>
        </w:rPr>
        <w:t xml:space="preserve">J </w:t>
      </w:r>
      <w:proofErr w:type="spellStart"/>
      <w:r>
        <w:rPr>
          <w:sz w:val="20"/>
          <w:szCs w:val="20"/>
        </w:rPr>
        <w:t>Stat</w:t>
      </w:r>
      <w:proofErr w:type="spellEnd"/>
      <w:r>
        <w:rPr>
          <w:sz w:val="20"/>
          <w:szCs w:val="20"/>
        </w:rPr>
        <w:t xml:space="preserve"> </w:t>
      </w:r>
      <w:proofErr w:type="spellStart"/>
      <w:r>
        <w:rPr>
          <w:sz w:val="20"/>
          <w:szCs w:val="20"/>
        </w:rPr>
        <w:t>Softw</w:t>
      </w:r>
      <w:proofErr w:type="spellEnd"/>
      <w:r>
        <w:rPr>
          <w:sz w:val="20"/>
          <w:szCs w:val="20"/>
        </w:rPr>
        <w:t>. 2010;36(11):1-13. doi:10.18637/</w:t>
      </w:r>
      <w:proofErr w:type="gramStart"/>
      <w:r>
        <w:rPr>
          <w:sz w:val="20"/>
          <w:szCs w:val="20"/>
        </w:rPr>
        <w:t>jss.v036.i</w:t>
      </w:r>
      <w:proofErr w:type="gramEnd"/>
      <w:r>
        <w:rPr>
          <w:sz w:val="20"/>
          <w:szCs w:val="20"/>
        </w:rPr>
        <w:t>11</w:t>
      </w:r>
    </w:p>
    <w:p w14:paraId="15C8C454" w14:textId="77777777" w:rsidR="003D02F5" w:rsidRDefault="00000000">
      <w:pPr>
        <w:pStyle w:val="ListParagraph"/>
        <w:numPr>
          <w:ilvl w:val="0"/>
          <w:numId w:val="2"/>
        </w:numPr>
        <w:spacing w:after="60"/>
      </w:pPr>
      <w:r w:rsidRPr="00B84E70">
        <w:rPr>
          <w:sz w:val="20"/>
          <w:szCs w:val="20"/>
          <w:lang w:val="en-US"/>
        </w:rPr>
        <w:t xml:space="preserve">Ke G, Meng Q, Finley T, Wang T, Chen W, Ma W, et al. </w:t>
      </w:r>
      <w:proofErr w:type="spellStart"/>
      <w:r w:rsidRPr="00B84E70">
        <w:rPr>
          <w:sz w:val="20"/>
          <w:szCs w:val="20"/>
          <w:lang w:val="en-US"/>
        </w:rPr>
        <w:t>LightGBM</w:t>
      </w:r>
      <w:proofErr w:type="spellEnd"/>
      <w:r w:rsidRPr="00B84E70">
        <w:rPr>
          <w:sz w:val="20"/>
          <w:szCs w:val="20"/>
          <w:lang w:val="en-US"/>
        </w:rPr>
        <w:t xml:space="preserve">: a highly efficient gradient boosting decision tree. </w:t>
      </w:r>
      <w:proofErr w:type="spellStart"/>
      <w:r>
        <w:rPr>
          <w:sz w:val="20"/>
          <w:szCs w:val="20"/>
        </w:rPr>
        <w:t>Adv</w:t>
      </w:r>
      <w:proofErr w:type="spellEnd"/>
      <w:r>
        <w:rPr>
          <w:sz w:val="20"/>
          <w:szCs w:val="20"/>
        </w:rPr>
        <w:t xml:space="preserve"> Neural </w:t>
      </w:r>
      <w:proofErr w:type="spellStart"/>
      <w:r>
        <w:rPr>
          <w:sz w:val="20"/>
          <w:szCs w:val="20"/>
        </w:rPr>
        <w:t>Inf</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Syst</w:t>
      </w:r>
      <w:proofErr w:type="spellEnd"/>
      <w:r>
        <w:rPr>
          <w:sz w:val="20"/>
          <w:szCs w:val="20"/>
        </w:rPr>
        <w:t xml:space="preserve">. </w:t>
      </w:r>
      <w:proofErr w:type="gramStart"/>
      <w:r>
        <w:rPr>
          <w:sz w:val="20"/>
          <w:szCs w:val="20"/>
        </w:rPr>
        <w:t>2017;30:3146</w:t>
      </w:r>
      <w:proofErr w:type="gramEnd"/>
      <w:r>
        <w:rPr>
          <w:sz w:val="20"/>
          <w:szCs w:val="20"/>
        </w:rPr>
        <w:t>-3154.</w:t>
      </w:r>
    </w:p>
    <w:p w14:paraId="52209A77" w14:textId="77777777" w:rsidR="003D02F5" w:rsidRDefault="00000000">
      <w:pPr>
        <w:pStyle w:val="ListParagraph"/>
        <w:numPr>
          <w:ilvl w:val="0"/>
          <w:numId w:val="2"/>
        </w:numPr>
        <w:spacing w:after="60"/>
      </w:pPr>
      <w:r w:rsidRPr="00B84E70">
        <w:rPr>
          <w:sz w:val="20"/>
          <w:szCs w:val="20"/>
          <w:lang w:val="en-US"/>
        </w:rPr>
        <w:t xml:space="preserve">Chen T, </w:t>
      </w:r>
      <w:proofErr w:type="spellStart"/>
      <w:r w:rsidRPr="00B84E70">
        <w:rPr>
          <w:sz w:val="20"/>
          <w:szCs w:val="20"/>
          <w:lang w:val="en-US"/>
        </w:rPr>
        <w:t>Guestrin</w:t>
      </w:r>
      <w:proofErr w:type="spellEnd"/>
      <w:r w:rsidRPr="00B84E70">
        <w:rPr>
          <w:sz w:val="20"/>
          <w:szCs w:val="20"/>
          <w:lang w:val="en-US"/>
        </w:rPr>
        <w:t xml:space="preserve"> C. </w:t>
      </w:r>
      <w:proofErr w:type="spellStart"/>
      <w:r w:rsidRPr="00B84E70">
        <w:rPr>
          <w:sz w:val="20"/>
          <w:szCs w:val="20"/>
          <w:lang w:val="en-US"/>
        </w:rPr>
        <w:t>XGBoost</w:t>
      </w:r>
      <w:proofErr w:type="spellEnd"/>
      <w:r w:rsidRPr="00B84E70">
        <w:rPr>
          <w:sz w:val="20"/>
          <w:szCs w:val="20"/>
          <w:lang w:val="en-US"/>
        </w:rPr>
        <w:t xml:space="preserve">: a scalable tree boosting system. In: Proceedings of the 22nd ACM SIGKDD International Conference on Knowledge Discovery and Data Mining. </w:t>
      </w:r>
      <w:r>
        <w:rPr>
          <w:sz w:val="20"/>
          <w:szCs w:val="20"/>
        </w:rPr>
        <w:t>New York: ACM; 2016:785-794. doi:10.1145/2939672.2939785</w:t>
      </w:r>
    </w:p>
    <w:p w14:paraId="47D299CD" w14:textId="77777777" w:rsidR="003D02F5" w:rsidRPr="00B84E70" w:rsidRDefault="00000000">
      <w:pPr>
        <w:pStyle w:val="ListParagraph"/>
        <w:numPr>
          <w:ilvl w:val="0"/>
          <w:numId w:val="2"/>
        </w:numPr>
        <w:spacing w:after="60"/>
        <w:rPr>
          <w:lang w:val="en-US"/>
        </w:rPr>
      </w:pPr>
      <w:r w:rsidRPr="00B84E70">
        <w:rPr>
          <w:sz w:val="20"/>
          <w:szCs w:val="20"/>
          <w:lang w:val="en-US"/>
        </w:rPr>
        <w:t xml:space="preserve">Van </w:t>
      </w:r>
      <w:proofErr w:type="spellStart"/>
      <w:r w:rsidRPr="00B84E70">
        <w:rPr>
          <w:sz w:val="20"/>
          <w:szCs w:val="20"/>
          <w:lang w:val="en-US"/>
        </w:rPr>
        <w:t>Calster</w:t>
      </w:r>
      <w:proofErr w:type="spellEnd"/>
      <w:r w:rsidRPr="00B84E70">
        <w:rPr>
          <w:sz w:val="20"/>
          <w:szCs w:val="20"/>
          <w:lang w:val="en-US"/>
        </w:rPr>
        <w:t xml:space="preserve"> B, McLernon DJ, van Smeden M, Wynants L, </w:t>
      </w:r>
      <w:proofErr w:type="spellStart"/>
      <w:r w:rsidRPr="00B84E70">
        <w:rPr>
          <w:sz w:val="20"/>
          <w:szCs w:val="20"/>
          <w:lang w:val="en-US"/>
        </w:rPr>
        <w:t>Steyerberg</w:t>
      </w:r>
      <w:proofErr w:type="spellEnd"/>
      <w:r w:rsidRPr="00B84E70">
        <w:rPr>
          <w:sz w:val="20"/>
          <w:szCs w:val="20"/>
          <w:lang w:val="en-US"/>
        </w:rPr>
        <w:t xml:space="preserve"> EW. Calibration: the Achilles heel of predictive analytics. BMC Med. 2019;17(1):230. doi:10.1186/s12916-019-1466-7</w:t>
      </w:r>
    </w:p>
    <w:p w14:paraId="75632DC1" w14:textId="77777777" w:rsidR="003D02F5" w:rsidRDefault="00000000">
      <w:pPr>
        <w:pStyle w:val="ListParagraph"/>
        <w:numPr>
          <w:ilvl w:val="0"/>
          <w:numId w:val="2"/>
        </w:numPr>
        <w:spacing w:after="60"/>
      </w:pPr>
      <w:r w:rsidRPr="00B84E70">
        <w:rPr>
          <w:sz w:val="20"/>
          <w:szCs w:val="20"/>
          <w:lang w:val="en-US"/>
        </w:rPr>
        <w:lastRenderedPageBreak/>
        <w:t xml:space="preserve">Lundberg SM, Lee SI. A unified approach to interpreting model predictions. </w:t>
      </w:r>
      <w:proofErr w:type="spellStart"/>
      <w:r>
        <w:rPr>
          <w:sz w:val="20"/>
          <w:szCs w:val="20"/>
        </w:rPr>
        <w:t>Adv</w:t>
      </w:r>
      <w:proofErr w:type="spellEnd"/>
      <w:r>
        <w:rPr>
          <w:sz w:val="20"/>
          <w:szCs w:val="20"/>
        </w:rPr>
        <w:t xml:space="preserve"> Neural </w:t>
      </w:r>
      <w:proofErr w:type="spellStart"/>
      <w:r>
        <w:rPr>
          <w:sz w:val="20"/>
          <w:szCs w:val="20"/>
        </w:rPr>
        <w:t>Inf</w:t>
      </w:r>
      <w:proofErr w:type="spellEnd"/>
      <w:r>
        <w:rPr>
          <w:sz w:val="20"/>
          <w:szCs w:val="20"/>
        </w:rPr>
        <w:t xml:space="preserve"> </w:t>
      </w:r>
      <w:proofErr w:type="spellStart"/>
      <w:r>
        <w:rPr>
          <w:sz w:val="20"/>
          <w:szCs w:val="20"/>
        </w:rPr>
        <w:t>Process</w:t>
      </w:r>
      <w:proofErr w:type="spellEnd"/>
      <w:r>
        <w:rPr>
          <w:sz w:val="20"/>
          <w:szCs w:val="20"/>
        </w:rPr>
        <w:t xml:space="preserve"> </w:t>
      </w:r>
      <w:proofErr w:type="spellStart"/>
      <w:r>
        <w:rPr>
          <w:sz w:val="20"/>
          <w:szCs w:val="20"/>
        </w:rPr>
        <w:t>Syst</w:t>
      </w:r>
      <w:proofErr w:type="spellEnd"/>
      <w:r>
        <w:rPr>
          <w:sz w:val="20"/>
          <w:szCs w:val="20"/>
        </w:rPr>
        <w:t xml:space="preserve">. </w:t>
      </w:r>
      <w:proofErr w:type="gramStart"/>
      <w:r>
        <w:rPr>
          <w:sz w:val="20"/>
          <w:szCs w:val="20"/>
        </w:rPr>
        <w:t>2017;30:4765</w:t>
      </w:r>
      <w:proofErr w:type="gramEnd"/>
      <w:r>
        <w:rPr>
          <w:sz w:val="20"/>
          <w:szCs w:val="20"/>
        </w:rPr>
        <w:t>-4774.</w:t>
      </w:r>
    </w:p>
    <w:p w14:paraId="78DF2E9C" w14:textId="77777777" w:rsidR="003D02F5" w:rsidRDefault="00000000">
      <w:pPr>
        <w:pStyle w:val="ListParagraph"/>
        <w:numPr>
          <w:ilvl w:val="0"/>
          <w:numId w:val="2"/>
        </w:numPr>
        <w:spacing w:after="60"/>
      </w:pPr>
      <w:r w:rsidRPr="00B84E70">
        <w:rPr>
          <w:sz w:val="20"/>
          <w:szCs w:val="20"/>
          <w:lang w:val="en-US"/>
        </w:rPr>
        <w:t xml:space="preserve">Lundberg SM, Erion G, Chen H, DeGrave A, </w:t>
      </w:r>
      <w:proofErr w:type="spellStart"/>
      <w:r w:rsidRPr="00B84E70">
        <w:rPr>
          <w:sz w:val="20"/>
          <w:szCs w:val="20"/>
          <w:lang w:val="en-US"/>
        </w:rPr>
        <w:t>Prutkin</w:t>
      </w:r>
      <w:proofErr w:type="spellEnd"/>
      <w:r w:rsidRPr="00B84E70">
        <w:rPr>
          <w:sz w:val="20"/>
          <w:szCs w:val="20"/>
          <w:lang w:val="en-US"/>
        </w:rPr>
        <w:t xml:space="preserve"> JM, Nair B, et al. From local explanations to global understanding with explainable AI for trees. </w:t>
      </w:r>
      <w:r>
        <w:rPr>
          <w:sz w:val="20"/>
          <w:szCs w:val="20"/>
        </w:rPr>
        <w:t xml:space="preserve">Nat Mach </w:t>
      </w:r>
      <w:proofErr w:type="spellStart"/>
      <w:r>
        <w:rPr>
          <w:sz w:val="20"/>
          <w:szCs w:val="20"/>
        </w:rPr>
        <w:t>Intell</w:t>
      </w:r>
      <w:proofErr w:type="spellEnd"/>
      <w:r>
        <w:rPr>
          <w:sz w:val="20"/>
          <w:szCs w:val="20"/>
        </w:rPr>
        <w:t>. 2020;2(1):56-67. doi:10.1038/s42256-019-0138-9</w:t>
      </w:r>
    </w:p>
    <w:p w14:paraId="250C0D49" w14:textId="77777777" w:rsidR="003D02F5" w:rsidRDefault="00000000">
      <w:pPr>
        <w:pStyle w:val="ListParagraph"/>
        <w:numPr>
          <w:ilvl w:val="0"/>
          <w:numId w:val="2"/>
        </w:numPr>
        <w:spacing w:after="60"/>
      </w:pPr>
      <w:proofErr w:type="spellStart"/>
      <w:r>
        <w:rPr>
          <w:sz w:val="20"/>
          <w:szCs w:val="20"/>
        </w:rPr>
        <w:t>Salih</w:t>
      </w:r>
      <w:proofErr w:type="spellEnd"/>
      <w:r>
        <w:rPr>
          <w:sz w:val="20"/>
          <w:szCs w:val="20"/>
        </w:rPr>
        <w:t xml:space="preserve"> AM, </w:t>
      </w:r>
      <w:proofErr w:type="spellStart"/>
      <w:r>
        <w:rPr>
          <w:sz w:val="20"/>
          <w:szCs w:val="20"/>
        </w:rPr>
        <w:t>Raisi-Estabragh</w:t>
      </w:r>
      <w:proofErr w:type="spellEnd"/>
      <w:r>
        <w:rPr>
          <w:sz w:val="20"/>
          <w:szCs w:val="20"/>
        </w:rPr>
        <w:t xml:space="preserve"> Z, </w:t>
      </w:r>
      <w:proofErr w:type="spellStart"/>
      <w:r>
        <w:rPr>
          <w:sz w:val="20"/>
          <w:szCs w:val="20"/>
        </w:rPr>
        <w:t>Boscolo</w:t>
      </w:r>
      <w:proofErr w:type="spellEnd"/>
      <w:r>
        <w:rPr>
          <w:sz w:val="20"/>
          <w:szCs w:val="20"/>
        </w:rPr>
        <w:t xml:space="preserve"> </w:t>
      </w:r>
      <w:proofErr w:type="spellStart"/>
      <w:r>
        <w:rPr>
          <w:sz w:val="20"/>
          <w:szCs w:val="20"/>
        </w:rPr>
        <w:t>Galazzo</w:t>
      </w:r>
      <w:proofErr w:type="spellEnd"/>
      <w:r>
        <w:rPr>
          <w:sz w:val="20"/>
          <w:szCs w:val="20"/>
        </w:rPr>
        <w:t xml:space="preserve"> I, </w:t>
      </w:r>
      <w:proofErr w:type="spellStart"/>
      <w:r>
        <w:rPr>
          <w:sz w:val="20"/>
          <w:szCs w:val="20"/>
        </w:rPr>
        <w:t>Radeva</w:t>
      </w:r>
      <w:proofErr w:type="spellEnd"/>
      <w:r>
        <w:rPr>
          <w:sz w:val="20"/>
          <w:szCs w:val="20"/>
        </w:rPr>
        <w:t xml:space="preserve"> P, Petersen SE, </w:t>
      </w:r>
      <w:proofErr w:type="spellStart"/>
      <w:r>
        <w:rPr>
          <w:sz w:val="20"/>
          <w:szCs w:val="20"/>
        </w:rPr>
        <w:t>Lekadir</w:t>
      </w:r>
      <w:proofErr w:type="spellEnd"/>
      <w:r>
        <w:rPr>
          <w:sz w:val="20"/>
          <w:szCs w:val="20"/>
        </w:rPr>
        <w:t xml:space="preserve"> K, et al. </w:t>
      </w:r>
      <w:r w:rsidRPr="00B84E70">
        <w:rPr>
          <w:sz w:val="20"/>
          <w:szCs w:val="20"/>
          <w:lang w:val="en-US"/>
        </w:rPr>
        <w:t xml:space="preserve">A perspective on explainable artificial intelligence methods: SHAP and LIME. </w:t>
      </w:r>
      <w:proofErr w:type="spellStart"/>
      <w:r>
        <w:rPr>
          <w:sz w:val="20"/>
          <w:szCs w:val="20"/>
        </w:rPr>
        <w:t>Adv</w:t>
      </w:r>
      <w:proofErr w:type="spellEnd"/>
      <w:r>
        <w:rPr>
          <w:sz w:val="20"/>
          <w:szCs w:val="20"/>
        </w:rPr>
        <w:t xml:space="preserve"> </w:t>
      </w:r>
      <w:proofErr w:type="spellStart"/>
      <w:r>
        <w:rPr>
          <w:sz w:val="20"/>
          <w:szCs w:val="20"/>
        </w:rPr>
        <w:t>Intell</w:t>
      </w:r>
      <w:proofErr w:type="spellEnd"/>
      <w:r>
        <w:rPr>
          <w:sz w:val="20"/>
          <w:szCs w:val="20"/>
        </w:rPr>
        <w:t xml:space="preserve"> </w:t>
      </w:r>
      <w:proofErr w:type="spellStart"/>
      <w:r>
        <w:rPr>
          <w:sz w:val="20"/>
          <w:szCs w:val="20"/>
        </w:rPr>
        <w:t>Syst</w:t>
      </w:r>
      <w:proofErr w:type="spellEnd"/>
      <w:r>
        <w:rPr>
          <w:sz w:val="20"/>
          <w:szCs w:val="20"/>
        </w:rPr>
        <w:t>. 2025;7(6):2400304. doi:10.1002/aisy.202400304</w:t>
      </w:r>
    </w:p>
    <w:p w14:paraId="5A6671AD" w14:textId="77777777" w:rsidR="003D02F5" w:rsidRDefault="00000000">
      <w:pPr>
        <w:pStyle w:val="ListParagraph"/>
        <w:numPr>
          <w:ilvl w:val="0"/>
          <w:numId w:val="2"/>
        </w:numPr>
        <w:spacing w:after="60"/>
      </w:pPr>
      <w:r w:rsidRPr="00B84E70">
        <w:rPr>
          <w:sz w:val="20"/>
          <w:szCs w:val="20"/>
          <w:lang w:val="en-US"/>
        </w:rPr>
        <w:t xml:space="preserve">Vickers AJ, Elkin EB. Decision curve analysis: a novel method for evaluating prediction models. </w:t>
      </w:r>
      <w:r>
        <w:rPr>
          <w:sz w:val="20"/>
          <w:szCs w:val="20"/>
        </w:rPr>
        <w:t>Med Decis Making. 2006;26(6):565-574. doi:10.1177/0272989X06295361</w:t>
      </w:r>
    </w:p>
    <w:p w14:paraId="2723D09E" w14:textId="77777777" w:rsidR="003D02F5" w:rsidRDefault="00000000">
      <w:pPr>
        <w:pStyle w:val="ListParagraph"/>
        <w:numPr>
          <w:ilvl w:val="0"/>
          <w:numId w:val="2"/>
        </w:numPr>
        <w:spacing w:after="60"/>
      </w:pPr>
      <w:r w:rsidRPr="00B84E70">
        <w:rPr>
          <w:sz w:val="20"/>
          <w:szCs w:val="20"/>
          <w:lang w:val="en-US"/>
        </w:rPr>
        <w:t xml:space="preserve">Vickers AJ, van </w:t>
      </w:r>
      <w:proofErr w:type="spellStart"/>
      <w:r w:rsidRPr="00B84E70">
        <w:rPr>
          <w:sz w:val="20"/>
          <w:szCs w:val="20"/>
          <w:lang w:val="en-US"/>
        </w:rPr>
        <w:t>Calster</w:t>
      </w:r>
      <w:proofErr w:type="spellEnd"/>
      <w:r w:rsidRPr="00B84E70">
        <w:rPr>
          <w:sz w:val="20"/>
          <w:szCs w:val="20"/>
          <w:lang w:val="en-US"/>
        </w:rPr>
        <w:t xml:space="preserve"> B, Wynants L, </w:t>
      </w:r>
      <w:proofErr w:type="spellStart"/>
      <w:r w:rsidRPr="00B84E70">
        <w:rPr>
          <w:sz w:val="20"/>
          <w:szCs w:val="20"/>
          <w:lang w:val="en-US"/>
        </w:rPr>
        <w:t>Steyerberg</w:t>
      </w:r>
      <w:proofErr w:type="spellEnd"/>
      <w:r w:rsidRPr="00B84E70">
        <w:rPr>
          <w:sz w:val="20"/>
          <w:szCs w:val="20"/>
          <w:lang w:val="en-US"/>
        </w:rPr>
        <w:t xml:space="preserve"> EW. Decision curve analysis: confidence intervals and hypothesis testing for net benefit. </w:t>
      </w:r>
      <w:proofErr w:type="spellStart"/>
      <w:r>
        <w:rPr>
          <w:sz w:val="20"/>
          <w:szCs w:val="20"/>
        </w:rPr>
        <w:t>Diagn</w:t>
      </w:r>
      <w:proofErr w:type="spellEnd"/>
      <w:r>
        <w:rPr>
          <w:sz w:val="20"/>
          <w:szCs w:val="20"/>
        </w:rPr>
        <w:t xml:space="preserve"> </w:t>
      </w:r>
      <w:proofErr w:type="spellStart"/>
      <w:r>
        <w:rPr>
          <w:sz w:val="20"/>
          <w:szCs w:val="20"/>
        </w:rPr>
        <w:t>Progn</w:t>
      </w:r>
      <w:proofErr w:type="spellEnd"/>
      <w:r>
        <w:rPr>
          <w:sz w:val="20"/>
          <w:szCs w:val="20"/>
        </w:rPr>
        <w:t xml:space="preserve"> Res. 2023;7(1):11. doi:10.1186/s41512-023-00148-y</w:t>
      </w:r>
    </w:p>
    <w:p w14:paraId="2406FDEA" w14:textId="77777777" w:rsidR="003D02F5" w:rsidRDefault="00000000">
      <w:pPr>
        <w:pStyle w:val="ListParagraph"/>
        <w:numPr>
          <w:ilvl w:val="0"/>
          <w:numId w:val="2"/>
        </w:numPr>
        <w:spacing w:after="60"/>
      </w:pPr>
      <w:r w:rsidRPr="00B84E70">
        <w:rPr>
          <w:sz w:val="20"/>
          <w:szCs w:val="20"/>
          <w:lang w:val="en-US"/>
        </w:rPr>
        <w:t xml:space="preserve">Yang Y, Lin M, Zhao H, Peng Y, Huang F, Lu Z. A survey of recent methods for addressing AI fairness and bias in biomedicine. </w:t>
      </w:r>
      <w:r>
        <w:rPr>
          <w:sz w:val="20"/>
          <w:szCs w:val="20"/>
        </w:rPr>
        <w:t xml:space="preserve">J </w:t>
      </w:r>
      <w:proofErr w:type="spellStart"/>
      <w:r>
        <w:rPr>
          <w:sz w:val="20"/>
          <w:szCs w:val="20"/>
        </w:rPr>
        <w:t>Biomed</w:t>
      </w:r>
      <w:proofErr w:type="spellEnd"/>
      <w:r>
        <w:rPr>
          <w:sz w:val="20"/>
          <w:szCs w:val="20"/>
        </w:rPr>
        <w:t xml:space="preserve"> Inform. </w:t>
      </w:r>
      <w:proofErr w:type="gramStart"/>
      <w:r>
        <w:rPr>
          <w:sz w:val="20"/>
          <w:szCs w:val="20"/>
        </w:rPr>
        <w:t>2024;154:104646</w:t>
      </w:r>
      <w:proofErr w:type="gramEnd"/>
      <w:r>
        <w:rPr>
          <w:sz w:val="20"/>
          <w:szCs w:val="20"/>
        </w:rPr>
        <w:t>. doi:10.1016/j.jbi.2024.104646</w:t>
      </w:r>
    </w:p>
    <w:p w14:paraId="3B47BC8B" w14:textId="77777777" w:rsidR="003D02F5" w:rsidRDefault="00000000">
      <w:pPr>
        <w:pStyle w:val="ListParagraph"/>
        <w:numPr>
          <w:ilvl w:val="0"/>
          <w:numId w:val="2"/>
        </w:numPr>
        <w:spacing w:after="60"/>
      </w:pPr>
      <w:proofErr w:type="spellStart"/>
      <w:r w:rsidRPr="00B84E70">
        <w:rPr>
          <w:sz w:val="20"/>
          <w:szCs w:val="20"/>
          <w:lang w:val="en-US"/>
        </w:rPr>
        <w:t>Chakradeo</w:t>
      </w:r>
      <w:proofErr w:type="spellEnd"/>
      <w:r w:rsidRPr="00B84E70">
        <w:rPr>
          <w:sz w:val="20"/>
          <w:szCs w:val="20"/>
          <w:lang w:val="en-US"/>
        </w:rPr>
        <w:t xml:space="preserve"> K, Huynh I, </w:t>
      </w:r>
      <w:proofErr w:type="spellStart"/>
      <w:r w:rsidRPr="00B84E70">
        <w:rPr>
          <w:sz w:val="20"/>
          <w:szCs w:val="20"/>
          <w:lang w:val="en-US"/>
        </w:rPr>
        <w:t>Balaganeshan</w:t>
      </w:r>
      <w:proofErr w:type="spellEnd"/>
      <w:r w:rsidRPr="00B84E70">
        <w:rPr>
          <w:sz w:val="20"/>
          <w:szCs w:val="20"/>
          <w:lang w:val="en-US"/>
        </w:rPr>
        <w:t xml:space="preserve"> SB, et al. Navigating fairness aspects of clinical prediction models. </w:t>
      </w:r>
      <w:r>
        <w:rPr>
          <w:sz w:val="20"/>
          <w:szCs w:val="20"/>
        </w:rPr>
        <w:t>BMC Med. 2025;23(1):567. doi:10.1186/s12916-025-04340-3</w:t>
      </w:r>
    </w:p>
    <w:p w14:paraId="4A1905B9" w14:textId="77777777" w:rsidR="003D02F5" w:rsidRDefault="00000000">
      <w:pPr>
        <w:pStyle w:val="ListParagraph"/>
        <w:numPr>
          <w:ilvl w:val="0"/>
          <w:numId w:val="2"/>
        </w:numPr>
        <w:spacing w:after="60"/>
      </w:pPr>
      <w:proofErr w:type="spellStart"/>
      <w:r w:rsidRPr="00B84E70">
        <w:rPr>
          <w:sz w:val="20"/>
          <w:szCs w:val="20"/>
          <w:lang w:val="en-US"/>
        </w:rPr>
        <w:t>Meerwijk</w:t>
      </w:r>
      <w:proofErr w:type="spellEnd"/>
      <w:r w:rsidRPr="00B84E70">
        <w:rPr>
          <w:sz w:val="20"/>
          <w:szCs w:val="20"/>
          <w:lang w:val="en-US"/>
        </w:rPr>
        <w:t xml:space="preserve"> EL, McElfresh DC, Martins S, et al. Evaluating accuracy and fairness of clinical decision support algorithms when health care resources are limited. </w:t>
      </w:r>
      <w:r>
        <w:rPr>
          <w:sz w:val="20"/>
          <w:szCs w:val="20"/>
        </w:rPr>
        <w:t xml:space="preserve">J </w:t>
      </w:r>
      <w:proofErr w:type="spellStart"/>
      <w:r>
        <w:rPr>
          <w:sz w:val="20"/>
          <w:szCs w:val="20"/>
        </w:rPr>
        <w:t>Biomed</w:t>
      </w:r>
      <w:proofErr w:type="spellEnd"/>
      <w:r>
        <w:rPr>
          <w:sz w:val="20"/>
          <w:szCs w:val="20"/>
        </w:rPr>
        <w:t xml:space="preserve"> Inform. </w:t>
      </w:r>
      <w:proofErr w:type="gramStart"/>
      <w:r>
        <w:rPr>
          <w:sz w:val="20"/>
          <w:szCs w:val="20"/>
        </w:rPr>
        <w:t>2024;156:104664</w:t>
      </w:r>
      <w:proofErr w:type="gramEnd"/>
      <w:r>
        <w:rPr>
          <w:sz w:val="20"/>
          <w:szCs w:val="20"/>
        </w:rPr>
        <w:t>. doi:10.1016/j.jbi.2024.104664</w:t>
      </w:r>
    </w:p>
    <w:p w14:paraId="3CFD7342" w14:textId="77777777" w:rsidR="003D02F5" w:rsidRDefault="00000000">
      <w:pPr>
        <w:pStyle w:val="ListParagraph"/>
        <w:numPr>
          <w:ilvl w:val="0"/>
          <w:numId w:val="2"/>
        </w:numPr>
        <w:spacing w:after="60"/>
      </w:pPr>
      <w:r w:rsidRPr="00B84E70">
        <w:rPr>
          <w:sz w:val="20"/>
          <w:szCs w:val="20"/>
          <w:lang w:val="en-US"/>
        </w:rPr>
        <w:t xml:space="preserve">Agency for Healthcare Research and Quality. Prevention Quality Indicators Technical Specifications, Version v2024. </w:t>
      </w:r>
      <w:proofErr w:type="spellStart"/>
      <w:r>
        <w:rPr>
          <w:sz w:val="20"/>
          <w:szCs w:val="20"/>
        </w:rPr>
        <w:t>Rockville</w:t>
      </w:r>
      <w:proofErr w:type="spellEnd"/>
      <w:r>
        <w:rPr>
          <w:sz w:val="20"/>
          <w:szCs w:val="20"/>
        </w:rPr>
        <w:t>, MD: AHRQ; 2024.</w:t>
      </w:r>
    </w:p>
    <w:p w14:paraId="623B77C7" w14:textId="77777777" w:rsidR="003D02F5" w:rsidRDefault="00000000">
      <w:pPr>
        <w:pStyle w:val="ListParagraph"/>
        <w:numPr>
          <w:ilvl w:val="0"/>
          <w:numId w:val="2"/>
        </w:numPr>
        <w:spacing w:after="60"/>
      </w:pPr>
      <w:r w:rsidRPr="00B84E70">
        <w:rPr>
          <w:sz w:val="20"/>
          <w:szCs w:val="20"/>
          <w:lang w:val="en-US"/>
        </w:rPr>
        <w:t xml:space="preserve">Rubin DB. Multiple Imputation for Nonresponse in Surveys. </w:t>
      </w:r>
      <w:r>
        <w:rPr>
          <w:sz w:val="20"/>
          <w:szCs w:val="20"/>
        </w:rPr>
        <w:t>New York: Wiley; 1987.</w:t>
      </w:r>
    </w:p>
    <w:p w14:paraId="1E6EEE1A" w14:textId="77777777" w:rsidR="003D02F5" w:rsidRDefault="00000000">
      <w:pPr>
        <w:pStyle w:val="ListParagraph"/>
        <w:numPr>
          <w:ilvl w:val="0"/>
          <w:numId w:val="2"/>
        </w:numPr>
        <w:spacing w:after="60"/>
      </w:pPr>
      <w:proofErr w:type="spellStart"/>
      <w:r w:rsidRPr="00B84E70">
        <w:rPr>
          <w:sz w:val="20"/>
          <w:szCs w:val="20"/>
          <w:lang w:val="en-US"/>
        </w:rPr>
        <w:t>Groenwold</w:t>
      </w:r>
      <w:proofErr w:type="spellEnd"/>
      <w:r w:rsidRPr="00B84E70">
        <w:rPr>
          <w:sz w:val="20"/>
          <w:szCs w:val="20"/>
          <w:lang w:val="en-US"/>
        </w:rPr>
        <w:t xml:space="preserve"> RHH, White IR, Donders ART, Carpenter JR, Altman DG, Moons KGM. Missing covariate data in clinical research: when and when not to use the missing-indicator method for analysis. </w:t>
      </w:r>
      <w:r>
        <w:rPr>
          <w:sz w:val="20"/>
          <w:szCs w:val="20"/>
        </w:rPr>
        <w:t>CMAJ. 2012;184(11):1265-1269. doi:10.1503/cmaj.110977</w:t>
      </w:r>
    </w:p>
    <w:p w14:paraId="20B12900" w14:textId="77777777" w:rsidR="003D02F5" w:rsidRPr="00B84E70" w:rsidRDefault="00000000">
      <w:pPr>
        <w:pStyle w:val="ListParagraph"/>
        <w:numPr>
          <w:ilvl w:val="0"/>
          <w:numId w:val="2"/>
        </w:numPr>
        <w:spacing w:after="60"/>
        <w:rPr>
          <w:lang w:val="en-US"/>
        </w:rPr>
      </w:pPr>
      <w:r w:rsidRPr="00B84E70">
        <w:rPr>
          <w:sz w:val="20"/>
          <w:szCs w:val="20"/>
          <w:lang w:val="en-US"/>
        </w:rPr>
        <w:t xml:space="preserve">Lumley T. Analysis of complex survey samples. J Stat </w:t>
      </w:r>
      <w:proofErr w:type="spellStart"/>
      <w:r w:rsidRPr="00B84E70">
        <w:rPr>
          <w:sz w:val="20"/>
          <w:szCs w:val="20"/>
          <w:lang w:val="en-US"/>
        </w:rPr>
        <w:t>Softw</w:t>
      </w:r>
      <w:proofErr w:type="spellEnd"/>
      <w:r w:rsidRPr="00B84E70">
        <w:rPr>
          <w:sz w:val="20"/>
          <w:szCs w:val="20"/>
          <w:lang w:val="en-US"/>
        </w:rPr>
        <w:t>. 2004;9(1):1-19. doi:10.18637/</w:t>
      </w:r>
      <w:proofErr w:type="gramStart"/>
      <w:r w:rsidRPr="00B84E70">
        <w:rPr>
          <w:sz w:val="20"/>
          <w:szCs w:val="20"/>
          <w:lang w:val="en-US"/>
        </w:rPr>
        <w:t>jss.v009.i</w:t>
      </w:r>
      <w:proofErr w:type="gramEnd"/>
      <w:r w:rsidRPr="00B84E70">
        <w:rPr>
          <w:sz w:val="20"/>
          <w:szCs w:val="20"/>
          <w:lang w:val="en-US"/>
        </w:rPr>
        <w:t>08</w:t>
      </w:r>
    </w:p>
    <w:p w14:paraId="477E9867" w14:textId="77777777" w:rsidR="003D02F5" w:rsidRDefault="00000000">
      <w:pPr>
        <w:pStyle w:val="ListParagraph"/>
        <w:numPr>
          <w:ilvl w:val="0"/>
          <w:numId w:val="2"/>
        </w:numPr>
        <w:spacing w:after="60"/>
      </w:pPr>
      <w:proofErr w:type="spellStart"/>
      <w:r w:rsidRPr="00B84E70">
        <w:rPr>
          <w:sz w:val="20"/>
          <w:szCs w:val="20"/>
          <w:lang w:val="en-US"/>
        </w:rPr>
        <w:t>Langenberger</w:t>
      </w:r>
      <w:proofErr w:type="spellEnd"/>
      <w:r w:rsidRPr="00B84E70">
        <w:rPr>
          <w:sz w:val="20"/>
          <w:szCs w:val="20"/>
          <w:lang w:val="en-US"/>
        </w:rPr>
        <w:t xml:space="preserve"> B, Schulte T, Groene O. The application of machine learning to predict high-cost patients: a </w:t>
      </w:r>
      <w:proofErr w:type="gramStart"/>
      <w:r w:rsidRPr="00B84E70">
        <w:rPr>
          <w:sz w:val="20"/>
          <w:szCs w:val="20"/>
          <w:lang w:val="en-US"/>
        </w:rPr>
        <w:t>performance-comparison</w:t>
      </w:r>
      <w:proofErr w:type="gramEnd"/>
      <w:r w:rsidRPr="00B84E70">
        <w:rPr>
          <w:sz w:val="20"/>
          <w:szCs w:val="20"/>
          <w:lang w:val="en-US"/>
        </w:rPr>
        <w:t xml:space="preserve"> of different models using healthcare claims data. </w:t>
      </w:r>
      <w:r>
        <w:rPr>
          <w:sz w:val="20"/>
          <w:szCs w:val="20"/>
        </w:rPr>
        <w:t xml:space="preserve">PLoS </w:t>
      </w:r>
      <w:proofErr w:type="spellStart"/>
      <w:r>
        <w:rPr>
          <w:sz w:val="20"/>
          <w:szCs w:val="20"/>
        </w:rPr>
        <w:t>One</w:t>
      </w:r>
      <w:proofErr w:type="spellEnd"/>
      <w:r>
        <w:rPr>
          <w:sz w:val="20"/>
          <w:szCs w:val="20"/>
        </w:rPr>
        <w:t>. 2023;18(1):e0279540. doi:10.1371/journal.pone.0279540</w:t>
      </w:r>
    </w:p>
    <w:p w14:paraId="5EA9721F" w14:textId="77777777" w:rsidR="003D02F5" w:rsidRDefault="00000000">
      <w:pPr>
        <w:pStyle w:val="ListParagraph"/>
        <w:numPr>
          <w:ilvl w:val="0"/>
          <w:numId w:val="2"/>
        </w:numPr>
        <w:spacing w:after="60"/>
      </w:pPr>
      <w:r w:rsidRPr="00B84E70">
        <w:rPr>
          <w:sz w:val="20"/>
          <w:szCs w:val="20"/>
          <w:lang w:val="en-US"/>
        </w:rPr>
        <w:t xml:space="preserve">Holster T, Ji S, Marttinen P. Risk adjustment for regional healthcare funding allocations with ensemble methods: an empirical study and interpretation. </w:t>
      </w:r>
      <w:proofErr w:type="spellStart"/>
      <w:r>
        <w:rPr>
          <w:sz w:val="20"/>
          <w:szCs w:val="20"/>
        </w:rPr>
        <w:t>Eur</w:t>
      </w:r>
      <w:proofErr w:type="spellEnd"/>
      <w:r>
        <w:rPr>
          <w:sz w:val="20"/>
          <w:szCs w:val="20"/>
        </w:rPr>
        <w:t xml:space="preserve"> J Health Econ. 2024;25(7):1117-1131. doi:10.1007/s10198-023-01656-w</w:t>
      </w:r>
    </w:p>
    <w:p w14:paraId="258BECC6" w14:textId="77777777" w:rsidR="003D02F5" w:rsidRDefault="00000000">
      <w:pPr>
        <w:pStyle w:val="ListParagraph"/>
        <w:numPr>
          <w:ilvl w:val="0"/>
          <w:numId w:val="2"/>
        </w:numPr>
        <w:spacing w:after="60"/>
      </w:pPr>
      <w:r w:rsidRPr="00B84E70">
        <w:rPr>
          <w:sz w:val="20"/>
          <w:szCs w:val="20"/>
          <w:lang w:val="en-US"/>
        </w:rPr>
        <w:t xml:space="preserve">Arnold M, Liou L, Boland MR. Development, evaluation and comparison of machine learning algorithms for predicting in-hospital patient charges for congestive heart failure exacerbations, chronic obstructive pulmonary disease exacerbations and diabetic ketoacidosis. </w:t>
      </w:r>
      <w:proofErr w:type="spellStart"/>
      <w:r>
        <w:rPr>
          <w:sz w:val="20"/>
          <w:szCs w:val="20"/>
        </w:rPr>
        <w:t>BioData</w:t>
      </w:r>
      <w:proofErr w:type="spellEnd"/>
      <w:r>
        <w:rPr>
          <w:sz w:val="20"/>
          <w:szCs w:val="20"/>
        </w:rPr>
        <w:t xml:space="preserve"> Min. 2024;17(1):35. doi:10.1186/s13040-024-00387-9</w:t>
      </w:r>
    </w:p>
    <w:sectPr w:rsidR="003D02F5">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87D6E2" w14:textId="77777777" w:rsidR="00EF52A6" w:rsidRDefault="00EF52A6">
      <w:r>
        <w:separator/>
      </w:r>
    </w:p>
  </w:endnote>
  <w:endnote w:type="continuationSeparator" w:id="0">
    <w:p w14:paraId="508D927A" w14:textId="77777777" w:rsidR="00EF52A6" w:rsidRDefault="00EF5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73E7" w14:textId="77777777" w:rsidR="003D02F5" w:rsidRDefault="00000000">
    <w:pPr>
      <w:jc w:val="center"/>
    </w:pPr>
    <w:r>
      <w:rPr>
        <w:sz w:val="18"/>
        <w:szCs w:val="18"/>
      </w:rPr>
      <w:fldChar w:fldCharType="begin"/>
    </w:r>
    <w:r>
      <w:rPr>
        <w:sz w:val="18"/>
        <w:szCs w:val="18"/>
      </w:rPr>
      <w:instrText>PAGE</w:instrText>
    </w:r>
    <w:r>
      <w:rPr>
        <w:sz w:val="18"/>
        <w:szCs w:val="18"/>
      </w:rPr>
      <w:fldChar w:fldCharType="separate"/>
    </w:r>
    <w:r w:rsidR="00B84E7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BB0F9" w14:textId="77777777" w:rsidR="00EF52A6" w:rsidRDefault="00EF52A6">
      <w:r>
        <w:separator/>
      </w:r>
    </w:p>
  </w:footnote>
  <w:footnote w:type="continuationSeparator" w:id="0">
    <w:p w14:paraId="5CE391C2" w14:textId="77777777" w:rsidR="00EF52A6" w:rsidRDefault="00EF52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42742"/>
    <w:multiLevelType w:val="hybridMultilevel"/>
    <w:tmpl w:val="93A46C0C"/>
    <w:lvl w:ilvl="0" w:tplc="8620127C">
      <w:start w:val="1"/>
      <w:numFmt w:val="bullet"/>
      <w:lvlText w:val="●"/>
      <w:lvlJc w:val="left"/>
      <w:pPr>
        <w:ind w:left="720" w:hanging="360"/>
      </w:pPr>
    </w:lvl>
    <w:lvl w:ilvl="1" w:tplc="5BC2A6C4">
      <w:start w:val="1"/>
      <w:numFmt w:val="bullet"/>
      <w:lvlText w:val="○"/>
      <w:lvlJc w:val="left"/>
      <w:pPr>
        <w:ind w:left="1440" w:hanging="360"/>
      </w:pPr>
    </w:lvl>
    <w:lvl w:ilvl="2" w:tplc="61125CE2">
      <w:start w:val="1"/>
      <w:numFmt w:val="bullet"/>
      <w:lvlText w:val="■"/>
      <w:lvlJc w:val="left"/>
      <w:pPr>
        <w:ind w:left="2160" w:hanging="360"/>
      </w:pPr>
    </w:lvl>
    <w:lvl w:ilvl="3" w:tplc="D08E8D98">
      <w:start w:val="1"/>
      <w:numFmt w:val="bullet"/>
      <w:lvlText w:val="●"/>
      <w:lvlJc w:val="left"/>
      <w:pPr>
        <w:ind w:left="2880" w:hanging="360"/>
      </w:pPr>
    </w:lvl>
    <w:lvl w:ilvl="4" w:tplc="9FB20F06">
      <w:start w:val="1"/>
      <w:numFmt w:val="bullet"/>
      <w:lvlText w:val="○"/>
      <w:lvlJc w:val="left"/>
      <w:pPr>
        <w:ind w:left="3600" w:hanging="360"/>
      </w:pPr>
    </w:lvl>
    <w:lvl w:ilvl="5" w:tplc="A4024B82">
      <w:start w:val="1"/>
      <w:numFmt w:val="bullet"/>
      <w:lvlText w:val="■"/>
      <w:lvlJc w:val="left"/>
      <w:pPr>
        <w:ind w:left="4320" w:hanging="360"/>
      </w:pPr>
    </w:lvl>
    <w:lvl w:ilvl="6" w:tplc="0C1E225C">
      <w:start w:val="1"/>
      <w:numFmt w:val="bullet"/>
      <w:lvlText w:val="●"/>
      <w:lvlJc w:val="left"/>
      <w:pPr>
        <w:ind w:left="5040" w:hanging="360"/>
      </w:pPr>
    </w:lvl>
    <w:lvl w:ilvl="7" w:tplc="881625D6">
      <w:start w:val="1"/>
      <w:numFmt w:val="bullet"/>
      <w:lvlText w:val="●"/>
      <w:lvlJc w:val="left"/>
      <w:pPr>
        <w:ind w:left="5760" w:hanging="360"/>
      </w:pPr>
    </w:lvl>
    <w:lvl w:ilvl="8" w:tplc="F9085956">
      <w:start w:val="1"/>
      <w:numFmt w:val="bullet"/>
      <w:lvlText w:val="●"/>
      <w:lvlJc w:val="left"/>
      <w:pPr>
        <w:ind w:left="6480" w:hanging="360"/>
      </w:pPr>
    </w:lvl>
  </w:abstractNum>
  <w:abstractNum w:abstractNumId="1" w15:restartNumberingAfterBreak="0">
    <w:nsid w:val="51100E3D"/>
    <w:multiLevelType w:val="hybridMultilevel"/>
    <w:tmpl w:val="E7509684"/>
    <w:lvl w:ilvl="0" w:tplc="C89C8FF8">
      <w:start w:val="1"/>
      <w:numFmt w:val="decimal"/>
      <w:lvlText w:val="%1."/>
      <w:lvlJc w:val="left"/>
      <w:pPr>
        <w:ind w:left="480" w:hanging="360"/>
      </w:pPr>
    </w:lvl>
    <w:lvl w:ilvl="1" w:tplc="8D5C6B28">
      <w:numFmt w:val="decimal"/>
      <w:lvlText w:val=""/>
      <w:lvlJc w:val="left"/>
    </w:lvl>
    <w:lvl w:ilvl="2" w:tplc="6ED2DEC2">
      <w:numFmt w:val="decimal"/>
      <w:lvlText w:val=""/>
      <w:lvlJc w:val="left"/>
    </w:lvl>
    <w:lvl w:ilvl="3" w:tplc="39F285CE">
      <w:numFmt w:val="decimal"/>
      <w:lvlText w:val=""/>
      <w:lvlJc w:val="left"/>
    </w:lvl>
    <w:lvl w:ilvl="4" w:tplc="C49889A8">
      <w:numFmt w:val="decimal"/>
      <w:lvlText w:val=""/>
      <w:lvlJc w:val="left"/>
    </w:lvl>
    <w:lvl w:ilvl="5" w:tplc="68AE511E">
      <w:numFmt w:val="decimal"/>
      <w:lvlText w:val=""/>
      <w:lvlJc w:val="left"/>
    </w:lvl>
    <w:lvl w:ilvl="6" w:tplc="78A0FEB8">
      <w:numFmt w:val="decimal"/>
      <w:lvlText w:val=""/>
      <w:lvlJc w:val="left"/>
    </w:lvl>
    <w:lvl w:ilvl="7" w:tplc="7C543F06">
      <w:numFmt w:val="decimal"/>
      <w:lvlText w:val=""/>
      <w:lvlJc w:val="left"/>
    </w:lvl>
    <w:lvl w:ilvl="8" w:tplc="14542714">
      <w:numFmt w:val="decimal"/>
      <w:lvlText w:val=""/>
      <w:lvlJc w:val="left"/>
    </w:lvl>
  </w:abstractNum>
  <w:num w:numId="1" w16cid:durableId="324476360">
    <w:abstractNumId w:val="0"/>
    <w:lvlOverride w:ilvl="0">
      <w:startOverride w:val="1"/>
    </w:lvlOverride>
  </w:num>
  <w:num w:numId="2" w16cid:durableId="18832526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2F5"/>
    <w:rsid w:val="003D02F5"/>
    <w:rsid w:val="007E04A8"/>
    <w:rsid w:val="00B84E70"/>
    <w:rsid w:val="00EF52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AAD6E"/>
  <w15:docId w15:val="{0BE4024C-E5BF-4A95-A8B9-6B77FA9B4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4742</Words>
  <Characters>30450</Characters>
  <Application>Microsoft Office Word</Application>
  <DocSecurity>0</DocSecurity>
  <Lines>525</Lines>
  <Paragraphs>274</Paragraphs>
  <ScaleCrop>false</ScaleCrop>
  <Company/>
  <LinksUpToDate>false</LinksUpToDate>
  <CharactersWithSpaces>34918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Alexandre dos Reis</cp:lastModifiedBy>
  <cp:revision>2</cp:revision>
  <dcterms:created xsi:type="dcterms:W3CDTF">2026-07-18T23:46:00Z</dcterms:created>
  <dcterms:modified xsi:type="dcterms:W3CDTF">2026-07-20T00:44:00Z</dcterms:modified>
</cp:coreProperties>
</file>