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00"/>
        <w:jc w:val="both"/>
      </w:pPr>
      <w:r>
        <w:rPr>
          <w:rFonts w:ascii="Times New Roman" w:cs="Times New Roman" w:eastAsia="Times New Roman" w:hAnsi="Times New Roman"/>
          <w:sz w:val="22"/>
          <w:szCs w:val="22"/>
        </w:rPr>
        <w:t xml:space="preserve">Rafael dos Reis</w:t>
      </w:r>
    </w:p>
    <w:p>
      <w:pPr>
        <w:spacing w:after="0" w:line="300"/>
        <w:jc w:val="both"/>
      </w:pPr>
      <w:r>
        <w:rPr>
          <w:rFonts w:ascii="Times New Roman" w:cs="Times New Roman" w:eastAsia="Times New Roman" w:hAnsi="Times New Roman"/>
          <w:sz w:val="22"/>
          <w:szCs w:val="22"/>
        </w:rPr>
        <w:t xml:space="preserve">Independent Researcher</w:t>
      </w:r>
    </w:p>
    <w:p>
      <w:pPr>
        <w:spacing w:after="0" w:line="300"/>
        <w:jc w:val="both"/>
      </w:pPr>
      <w:r>
        <w:rPr>
          <w:rFonts w:ascii="Times New Roman" w:cs="Times New Roman" w:eastAsia="Times New Roman" w:hAnsi="Times New Roman"/>
          <w:sz w:val="22"/>
          <w:szCs w:val="22"/>
        </w:rPr>
        <w:t xml:space="preserve">Curitiba, Brazil</w:t>
      </w:r>
    </w:p>
    <w:p>
      <w:pPr>
        <w:spacing w:after="220" w:line="300"/>
        <w:jc w:val="both"/>
      </w:pPr>
      <w:r>
        <w:rPr>
          <w:rFonts w:ascii="Times New Roman" w:cs="Times New Roman" w:eastAsia="Times New Roman" w:hAnsi="Times New Roman"/>
          <w:sz w:val="22"/>
          <w:szCs w:val="22"/>
        </w:rPr>
        <w:t xml:space="preserve">rafreis2@gmail.com</w:t>
      </w:r>
    </w:p>
    <w:p>
      <w:pPr>
        <w:spacing w:after="160" w:line="300"/>
        <w:jc w:val="both"/>
      </w:pPr>
      <w:r>
        <w:rPr>
          <w:rFonts w:ascii="Times New Roman" w:cs="Times New Roman" w:eastAsia="Times New Roman" w:hAnsi="Times New Roman"/>
          <w:b/>
          <w:bCs/>
          <w:sz w:val="22"/>
          <w:szCs w:val="22"/>
        </w:rPr>
        <w:t xml:space="preserve">Re: </w:t>
      </w:r>
      <w:r>
        <w:rPr>
          <w:rFonts w:ascii="Times New Roman" w:cs="Times New Roman" w:eastAsia="Times New Roman" w:hAnsi="Times New Roman"/>
          <w:sz w:val="22"/>
          <w:szCs w:val="22"/>
        </w:rPr>
        <w:t xml:space="preserve">Point-by-point response to editorial comments — </w:t>
      </w:r>
      <w:r>
        <w:rPr>
          <w:rFonts w:ascii="Times New Roman" w:cs="Times New Roman" w:eastAsia="Times New Roman" w:hAnsi="Times New Roman"/>
          <w:i/>
          <w:iCs/>
          <w:sz w:val="22"/>
          <w:szCs w:val="22"/>
        </w:rPr>
        <w:t xml:space="preserve">“Survey-Weighted Machine Learning for Prospective Stratification of High-Cost Patients: A Design-Based Pipeline with External Temporal Validation, Decision-Curve Analysis, and Subgroup Calibration in a Nationally Representative U.S. Cohort”</w:t>
      </w:r>
    </w:p>
    <w:p>
      <w:pPr>
        <w:spacing w:after="160" w:line="300"/>
        <w:jc w:val="both"/>
      </w:pPr>
      <w:r>
        <w:rPr>
          <w:rFonts w:ascii="Times New Roman" w:cs="Times New Roman" w:eastAsia="Times New Roman" w:hAnsi="Times New Roman"/>
          <w:sz w:val="22"/>
          <w:szCs w:val="22"/>
        </w:rPr>
        <w:t xml:space="preserve">Dear Editors,</w:t>
      </w:r>
    </w:p>
    <w:p>
      <w:pPr>
        <w:spacing w:after="160" w:line="300"/>
        <w:jc w:val="both"/>
      </w:pPr>
      <w:r>
        <w:rPr>
          <w:rFonts w:ascii="Times New Roman" w:cs="Times New Roman" w:eastAsia="Times New Roman" w:hAnsi="Times New Roman"/>
          <w:sz w:val="22"/>
          <w:szCs w:val="22"/>
        </w:rPr>
        <w:t xml:space="preserve">Thank you for the constructive and unusually detailed assessment, and for the two marked-up files. The comments have materially improved the positioning and the presentation of the work. We have accepted the full language pass as supplied, and we address each substantive point below. Changes are described by section so they can be located quickly in the revised manuscript.</w:t>
      </w:r>
    </w:p>
    <w:p>
      <w:pPr>
        <w:spacing w:after="100" w:before="220"/>
      </w:pPr>
      <w:r>
        <w:rPr>
          <w:rFonts w:ascii="Times New Roman" w:cs="Times New Roman" w:eastAsia="Times New Roman" w:hAnsi="Times New Roman"/>
          <w:b/>
          <w:bCs/>
          <w:sz w:val="23"/>
          <w:szCs w:val="23"/>
        </w:rPr>
        <w:t xml:space="preserve">1. Novelty positioning</w:t>
      </w:r>
    </w:p>
    <w:p>
      <w:pPr>
        <w:spacing w:after="160" w:line="300"/>
        <w:ind w:left="360"/>
        <w:jc w:val="both"/>
      </w:pPr>
      <w:r>
        <w:rPr>
          <w:rFonts w:ascii="Times New Roman" w:cs="Times New Roman" w:eastAsia="Times New Roman" w:hAnsi="Times New Roman"/>
          <w:b/>
          <w:bCs/>
          <w:sz w:val="22"/>
          <w:szCs w:val="22"/>
        </w:rPr>
        <w:t xml:space="preserve">Comment. </w:t>
      </w:r>
      <w:r>
        <w:rPr>
          <w:rFonts w:ascii="Times New Roman" w:cs="Times New Roman" w:eastAsia="Times New Roman" w:hAnsi="Times New Roman"/>
          <w:i/>
          <w:iCs/>
          <w:sz w:val="22"/>
          <w:szCs w:val="22"/>
        </w:rPr>
        <w:t xml:space="preserve">Please cite and differentiate the closest prior work. Fleishman and Cohen (Health Serv Res, 2010) predict the same top-decile Year-2 expenditure from Year-1 data in MEPS with a train-early, validate-later design, so it needs to be named, with a sentence or two on what you add over it. There is also recent utility-framed ML work (Tan et al., JMIR Med Inform, 2026) worth acknowledging.</w:t>
      </w:r>
    </w:p>
    <w:p>
      <w:pPr>
        <w:spacing w:after="160" w:line="300"/>
        <w:jc w:val="both"/>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We agree, and we are grateful for both references. The Introduction now contains a dedicated paragraph that names Fleishman and Cohen as the direct precedent for this estimand and design (now reference 8), describes their approach (logistic regression with diagnostic cost-group risk scores, an earlier development cohort and a later validation cohort), and states our advance over it explicitly: design-consistent survey-weighted machine learning in place of unweighted logistic regression; an external validation conducted as a distinct study across the COVID-19 shock rather than a later split of the same era; decision-curve analysis against the prior-cost heuristic; and subgroup calibration reported as a primary output. The Discussion opens its comparative paragraph in the same terms, so the claim is consistent in both places. Tan et al. is now reference 9 and is acknowledged as evidence that clinical-utility and economic framing is expected in this space, while noting that it used a disease-registry cohort and did not perform decision-curve analysis, so it complements rather than duplicates our contribution.</w:t>
      </w:r>
    </w:p>
    <w:p>
      <w:pPr>
        <w:spacing w:after="100" w:before="220"/>
      </w:pPr>
      <w:r>
        <w:rPr>
          <w:rFonts w:ascii="Times New Roman" w:cs="Times New Roman" w:eastAsia="Times New Roman" w:hAnsi="Times New Roman"/>
          <w:b/>
          <w:bCs/>
          <w:sz w:val="23"/>
          <w:szCs w:val="23"/>
        </w:rPr>
        <w:t xml:space="preserve">2. References</w:t>
      </w:r>
    </w:p>
    <w:p>
      <w:pPr>
        <w:spacing w:after="160" w:line="300"/>
        <w:ind w:left="360"/>
        <w:jc w:val="both"/>
      </w:pPr>
      <w:r>
        <w:rPr>
          <w:rFonts w:ascii="Times New Roman" w:cs="Times New Roman" w:eastAsia="Times New Roman" w:hAnsi="Times New Roman"/>
          <w:b/>
          <w:bCs/>
          <w:sz w:val="22"/>
          <w:szCs w:val="22"/>
        </w:rPr>
        <w:t xml:space="preserve">Comment. </w:t>
      </w:r>
      <w:r>
        <w:rPr>
          <w:rFonts w:ascii="Times New Roman" w:cs="Times New Roman" w:eastAsia="Times New Roman" w:hAnsi="Times New Roman"/>
          <w:i/>
          <w:iCs/>
          <w:sz w:val="22"/>
          <w:szCs w:val="22"/>
        </w:rPr>
        <w:t xml:space="preserve">Renumber into Vancouver citation order (order of first appearance); the list is currently out of sequence.</w:t>
      </w:r>
    </w:p>
    <w:p>
      <w:pPr>
        <w:spacing w:after="160" w:line="300"/>
        <w:jc w:val="both"/>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Corrected. The reference list is now in strict order of first appearance, and all in-text superscripts have been updated accordingly. The example you identified (the MEPS data citation, previously numbered 33 but cited early in the Methods) is now reference 11. To prevent this class of error from recurring in future revisions, references in our manuscript-generation pipeline are keyed and numbered automatically on first citation, so the list cannot drift out of sequence; the revised list contains 35 references with no uncited entries.</w:t>
      </w:r>
    </w:p>
    <w:p>
      <w:pPr>
        <w:spacing w:after="100" w:before="220"/>
      </w:pPr>
      <w:r>
        <w:rPr>
          <w:rFonts w:ascii="Times New Roman" w:cs="Times New Roman" w:eastAsia="Times New Roman" w:hAnsi="Times New Roman"/>
          <w:b/>
          <w:bCs/>
          <w:sz w:val="23"/>
          <w:szCs w:val="23"/>
        </w:rPr>
        <w:t xml:space="preserve">3. Table 3 and equity language</w:t>
      </w:r>
    </w:p>
    <w:p>
      <w:pPr>
        <w:spacing w:after="160" w:line="300"/>
        <w:ind w:left="360"/>
        <w:jc w:val="both"/>
      </w:pPr>
      <w:r>
        <w:rPr>
          <w:rFonts w:ascii="Times New Roman" w:cs="Times New Roman" w:eastAsia="Times New Roman" w:hAnsi="Times New Roman"/>
          <w:b/>
          <w:bCs/>
          <w:sz w:val="22"/>
          <w:szCs w:val="22"/>
        </w:rPr>
        <w:t xml:space="preserve">Comment. </w:t>
      </w:r>
      <w:r>
        <w:rPr>
          <w:rFonts w:ascii="Times New Roman" w:cs="Times New Roman" w:eastAsia="Times New Roman" w:hAnsi="Times New Roman"/>
          <w:i/>
          <w:iCs/>
          <w:sz w:val="22"/>
          <w:szCs w:val="22"/>
        </w:rPr>
        <w:t xml:space="preserve">The income subgroups sum to 14,914 rather than the 15,033 validation total, so please reconcile that or add a missing-income row. And soften “uniform” a little: calibration is stable and that is your real safeguard, but discrimination does vary by about 0.05 across groups, so lean the equity claim on calibration.</w:t>
      </w:r>
    </w:p>
    <w:p>
      <w:pPr>
        <w:spacing w:after="160" w:line="300"/>
        <w:jc w:val="both"/>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Both points are well taken. The discrepancy was 119 validation participants (0.8%) with missing or unclassified poverty category. Table 3 now includes an explicit “Income — missing/unclassified” row (n = 119; observed 7.6%, predicted 6.8%), so the income stratification sums to the full validation cohort of 15,033, matching race/ethnicity. Their subgroup area under the curve is reported as not estimable, since the small number of events does not support a reliable estimate. The table legend now states that both stratifications use the same denominator and that race/ethnicity has no missing values.</w:t>
      </w:r>
    </w:p>
    <w:p>
      <w:pPr>
        <w:spacing w:after="160" w:line="300"/>
        <w:jc w:val="both"/>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On the equity language, we have removed “uniform” and reframed the claim around calibration throughout. The Results now read that calibration was broadly stable with predicted risks close to observed in every group, while discrimination varied modestly (0.84 to 0.91 across income; 0.84 to 0.89 across race/ethnicity), and we state explicitly that a between-group range of about 0.05 is not something we regard as negligible. The Discussion makes the rationale explicit: calibration is the property that governs whether a given risk threshold means the same thing in each group, and it is therefore where we place the weight of the equity argument. We also retain the caveat that stable calibration is a necessary but not sufficient condition for equitable deployment, because cost remains an imperfect proxy for need.</w:t>
      </w:r>
    </w:p>
    <w:p>
      <w:pPr>
        <w:spacing w:after="100" w:before="220"/>
      </w:pPr>
      <w:r>
        <w:rPr>
          <w:rFonts w:ascii="Times New Roman" w:cs="Times New Roman" w:eastAsia="Times New Roman" w:hAnsi="Times New Roman"/>
          <w:b/>
          <w:bCs/>
          <w:sz w:val="23"/>
          <w:szCs w:val="23"/>
        </w:rPr>
        <w:t xml:space="preserve">4. Figures</w:t>
      </w:r>
    </w:p>
    <w:p>
      <w:pPr>
        <w:spacing w:after="160" w:line="300"/>
        <w:ind w:left="360"/>
        <w:jc w:val="both"/>
      </w:pPr>
      <w:r>
        <w:rPr>
          <w:rFonts w:ascii="Times New Roman" w:cs="Times New Roman" w:eastAsia="Times New Roman" w:hAnsi="Times New Roman"/>
          <w:b/>
          <w:bCs/>
          <w:sz w:val="22"/>
          <w:szCs w:val="22"/>
        </w:rPr>
        <w:t xml:space="preserve">Comment. </w:t>
      </w:r>
      <w:r>
        <w:rPr>
          <w:rFonts w:ascii="Times New Roman" w:cs="Times New Roman" w:eastAsia="Times New Roman" w:hAnsi="Times New Roman"/>
          <w:i/>
          <w:iCs/>
          <w:sz w:val="22"/>
          <w:szCs w:val="22"/>
        </w:rPr>
        <w:t xml:space="preserve">Larger axis and label fonts for column width, a predicted-risk distribution under the calibration plot, confidence intervals (or a note) on the decision curve, and one shared font and palette across all three.</w:t>
      </w:r>
    </w:p>
    <w:p>
      <w:pPr>
        <w:spacing w:after="160" w:line="300"/>
        <w:jc w:val="both"/>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All three figures have been redrawn from a single specification, so they now share one typeface and one colour palette (Okabe–Ito, chosen for colour-vision deficiency safety), with axis and label type sizes increased for legibility at single-column width. Figure 1 gains a lower panel showing the weighted distribution of predicted risk, and its binned points now carry 95% cluster-bootstrap intervals. Figure 2 states the validation sample size in the caption and labels the colour bar explicitly as the feature value from low to high. Figure 3 has thicker lines, larger legend and axis type, and is clipped to the actionable threshold range so the separation between the model and the benchmark is visible.</w:t>
      </w:r>
    </w:p>
    <w:p>
      <w:pPr>
        <w:spacing w:after="160" w:line="300"/>
        <w:jc w:val="both"/>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On confidence intervals for the decision curve, we computed them rather than noting their absence. Figure 3 now shows 95% bands from a design-based cluster bootstrap over primary sampling units (400 replicates). Because the two curves are estimated on the same participants, their marginal bands overlap even where the model is consistently superior, so we also report the paired difference in net benefit, which is the appropriate comparison. At a 10% threshold the paired advantage over prior-year cost was 0.0089 (95% CI 0.0067 to 0.0111), and the model was superior in every bootstrap replicate; the interval excluded zero at every threshold from 5% to 30%. This is now reported in Results section 3.5 and referenced to your DCA citation.</w:t>
      </w:r>
    </w:p>
    <w:p>
      <w:pPr>
        <w:spacing w:after="100" w:before="220"/>
      </w:pPr>
      <w:r>
        <w:rPr>
          <w:rFonts w:ascii="Times New Roman" w:cs="Times New Roman" w:eastAsia="Times New Roman" w:hAnsi="Times New Roman"/>
          <w:b/>
          <w:bCs/>
          <w:sz w:val="23"/>
          <w:szCs w:val="23"/>
        </w:rPr>
        <w:t xml:space="preserve">5. Code availability</w:t>
      </w:r>
    </w:p>
    <w:p>
      <w:pPr>
        <w:spacing w:after="160" w:line="300"/>
        <w:ind w:left="360"/>
        <w:jc w:val="both"/>
      </w:pPr>
      <w:r>
        <w:rPr>
          <w:rFonts w:ascii="Times New Roman" w:cs="Times New Roman" w:eastAsia="Times New Roman" w:hAnsi="Times New Roman"/>
          <w:b/>
          <w:bCs/>
          <w:sz w:val="22"/>
          <w:szCs w:val="22"/>
        </w:rPr>
        <w:t xml:space="preserve">Comment. </w:t>
      </w:r>
      <w:r>
        <w:rPr>
          <w:rFonts w:ascii="Times New Roman" w:cs="Times New Roman" w:eastAsia="Times New Roman" w:hAnsi="Times New Roman"/>
          <w:i/>
          <w:iCs/>
          <w:sz w:val="22"/>
          <w:szCs w:val="22"/>
        </w:rPr>
        <w:t xml:space="preserve">Please consider depositing the analysis code in a public repo with a DOI rather than “available on request”.</w:t>
      </w:r>
    </w:p>
    <w:p>
      <w:pPr>
        <w:spacing w:after="160" w:line="300"/>
        <w:jc w:val="both"/>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Done. The complete analysis pipeline is now openly available at https://github.com/rafreis/meps-highcost under an MIT licence, including the design-based selection pipeline, the validation invariants, and the figure scripts, together with the pinned computational environment. The Declarations section cites the repository directly and no longer relies on availability on request. The underlying MEPS files are public and are not redistributed; the pipeline downloads them from AHRQ, so the analysis is reproducible from source.</w:t>
      </w:r>
    </w:p>
    <w:p>
      <w:pPr>
        <w:spacing w:after="100" w:before="220"/>
      </w:pPr>
      <w:r>
        <w:rPr>
          <w:rFonts w:ascii="Times New Roman" w:cs="Times New Roman" w:eastAsia="Times New Roman" w:hAnsi="Times New Roman"/>
          <w:b/>
          <w:bCs/>
          <w:sz w:val="23"/>
          <w:szCs w:val="23"/>
        </w:rPr>
        <w:t xml:space="preserve">6. Minor points</w:t>
      </w:r>
    </w:p>
    <w:p>
      <w:pPr>
        <w:spacing w:after="160" w:line="300"/>
        <w:jc w:val="both"/>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Jargon. “Feature contract” has been replaced by “final set of 62 features” throughout, and the term no longer appears.</w:t>
      </w:r>
    </w:p>
    <w:p>
      <w:pPr>
        <w:spacing w:after="160" w:line="300"/>
        <w:jc w:val="both"/>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Sensitivity and positive predictive value. We have added a half-sentence in Results section 3.3 and a note in the Table 2 legend explaining that the two coincide because the flag rate (the top decile) equals the event rate (10%), which is an arithmetic consequence of the operating point rather than an error.</w:t>
      </w:r>
    </w:p>
    <w:p>
      <w:pPr>
        <w:spacing w:after="160" w:line="300"/>
        <w:jc w:val="both"/>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Benchmark accuracy. We verified the comparison figure against the source and now quote it precisely: Langenberger et al. report a random-forest area under the curve of 0.883 in commercial claims data. The sentence retains the framing you endorsed, namely that our result is competitive while being estimated on population-representative survey data with the design carried throughout.</w:t>
      </w:r>
    </w:p>
    <w:p>
      <w:pPr>
        <w:spacing w:after="160" w:line="300"/>
        <w:jc w:val="both"/>
      </w:pPr>
      <w:r>
        <w:rPr>
          <w:rFonts w:ascii="Times New Roman" w:cs="Times New Roman" w:eastAsia="Times New Roman" w:hAnsi="Times New Roman"/>
          <w:b/>
          <w:bCs/>
          <w:sz w:val="22"/>
          <w:szCs w:val="22"/>
        </w:rPr>
        <w:t xml:space="preserve">Response. </w:t>
      </w:r>
      <w:r>
        <w:rPr>
          <w:rFonts w:ascii="Times New Roman" w:cs="Times New Roman" w:eastAsia="Times New Roman" w:hAnsi="Times New Roman"/>
          <w:sz w:val="22"/>
          <w:szCs w:val="22"/>
        </w:rPr>
        <w:t xml:space="preserve">Language. We accepted the tracked-changes pass in full. In addition, we removed the remaining em dashes from the manuscript and revised the recurrent constructions you identified, including “profoundly”, “hinges on”, “far more than”, “rather than in spite of”, “precisely”, “Notably”, and “provides a template for”. En dashes are retained only in numeric ranges and reference page spans, where they are typographically correct.</w:t>
      </w:r>
    </w:p>
    <w:p>
      <w:pPr>
        <w:spacing w:after="160" w:line="300"/>
        <w:jc w:val="both"/>
      </w:pPr>
      <w:r>
        <w:rPr>
          <w:rFonts w:ascii="Times New Roman" w:cs="Times New Roman" w:eastAsia="Times New Roman" w:hAnsi="Times New Roman"/>
          <w:sz w:val="22"/>
          <w:szCs w:val="22"/>
        </w:rPr>
        <w:t xml:space="preserve">We hope the revised manuscript now meets the journal's requirements, and we thank you again for an assessment that was both rigorous and generous with detail.</w:t>
      </w:r>
    </w:p>
    <w:p>
      <w:pPr>
        <w:spacing w:after="220" w:line="300"/>
        <w:jc w:val="both"/>
      </w:pPr>
      <w:r>
        <w:rPr>
          <w:rFonts w:ascii="Times New Roman" w:cs="Times New Roman" w:eastAsia="Times New Roman" w:hAnsi="Times New Roman"/>
          <w:sz w:val="22"/>
          <w:szCs w:val="22"/>
        </w:rPr>
        <w:t xml:space="preserve">Yours sincerely,</w:t>
      </w:r>
    </w:p>
    <w:p>
      <w:pPr>
        <w:spacing w:after="0" w:line="300"/>
        <w:jc w:val="both"/>
      </w:pPr>
      <w:r>
        <w:rPr>
          <w:rFonts w:ascii="Times New Roman" w:cs="Times New Roman" w:eastAsia="Times New Roman" w:hAnsi="Times New Roman"/>
          <w:sz w:val="22"/>
          <w:szCs w:val="22"/>
        </w:rPr>
        <w:t xml:space="preserve">Rafael dos Reis</w:t>
      </w:r>
    </w:p>
    <w:p>
      <w:pPr>
        <w:spacing w:after="160" w:line="300"/>
        <w:jc w:val="both"/>
      </w:pPr>
      <w:r>
        <w:rPr>
          <w:rFonts w:ascii="Times New Roman" w:cs="Times New Roman" w:eastAsia="Times New Roman" w:hAnsi="Times New Roman"/>
          <w:sz w:val="22"/>
          <w:szCs w:val="22"/>
        </w:rPr>
        <w:t xml:space="preserve">Independent Researcher, Curitiba, Brazil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2026-07-18T23:46:19.174Z</dcterms:created>
  <dcterms:modified xsi:type="dcterms:W3CDTF">2026-07-18T23:46:19.174Z</dcterms:modified>
</cp:coreProperties>
</file>

<file path=docProps/custom.xml><?xml version="1.0" encoding="utf-8"?>
<Properties xmlns="http://schemas.openxmlformats.org/officeDocument/2006/custom-properties" xmlns:vt="http://schemas.openxmlformats.org/officeDocument/2006/docPropsVTypes"/>
</file>