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26"/>
          <w:szCs w:val="26"/>
        </w:rPr>
        <w:t xml:space="preserve">Supplementary File 1. TRIPOD+AI reporting checklist</w:t>
      </w:r>
    </w:p>
    <w:p>
      <w:pPr>
        <w:spacing w:after="140" w:line="280"/>
        <w:jc w:val="both"/>
      </w:pPr>
      <w:r>
        <w:rPr>
          <w:rFonts w:ascii="Times New Roman" w:cs="Times New Roman" w:eastAsia="Times New Roman" w:hAnsi="Times New Roman"/>
          <w:b/>
          <w:bCs/>
          <w:sz w:val="20"/>
          <w:szCs w:val="20"/>
        </w:rPr>
        <w:t xml:space="preserve">Manuscript: </w:t>
      </w:r>
      <w:r>
        <w:rPr>
          <w:rFonts w:ascii="Times New Roman" w:cs="Times New Roman" w:eastAsia="Times New Roman" w:hAnsi="Times New Roman"/>
          <w:i/>
          <w:iCs/>
          <w:sz w:val="20"/>
          <w:szCs w:val="20"/>
        </w:rPr>
        <w:t xml:space="preserve">Survey-Weighted Machine Learning for Prospective Stratification of High-Cost Patients: A Design-Based Pipeline with External Temporal Validation, Decision-Curve Analysis, and Subgroup Calibration in a Nationally Representative U.S. Cohort</w:t>
      </w:r>
    </w:p>
    <w:p>
      <w:pPr>
        <w:spacing w:after="140" w:line="280"/>
        <w:jc w:val="both"/>
      </w:pPr>
      <w:r>
        <w:rPr>
          <w:rFonts w:ascii="Times New Roman" w:cs="Times New Roman" w:eastAsia="Times New Roman" w:hAnsi="Times New Roman"/>
          <w:sz w:val="20"/>
          <w:szCs w:val="20"/>
        </w:rPr>
        <w:t xml:space="preserve">Author: </w:t>
      </w:r>
      <w:r>
        <w:rPr>
          <w:rFonts w:ascii="Times New Roman" w:cs="Times New Roman" w:eastAsia="Times New Roman" w:hAnsi="Times New Roman"/>
          <w:sz w:val="20"/>
          <w:szCs w:val="20"/>
        </w:rPr>
        <w:t xml:space="preserve">Rafael dos Reis, Independent Researcher, Curitiba, Brazil.</w:t>
      </w:r>
    </w:p>
    <w:p>
      <w:pPr>
        <w:spacing w:after="140" w:line="280"/>
        <w:jc w:val="both"/>
      </w:pPr>
      <w:r>
        <w:rPr>
          <w:rFonts w:ascii="Times New Roman" w:cs="Times New Roman" w:eastAsia="Times New Roman" w:hAnsi="Times New Roman"/>
          <w:sz w:val="20"/>
          <w:szCs w:val="20"/>
        </w:rPr>
        <w:t xml:space="preserve">This checklist maps the manuscript to the TRIPOD+AI (2024) reporting items. Section numbers refer to the numbered headings in the manuscript.</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00"/>
        <w:gridCol w:w="3900"/>
        <w:gridCol w:w="4300"/>
      </w:tblGrid>
      <w:tr>
        <w:trPr>
          <w:tblHeader/>
        </w:trPr>
        <w:tc>
          <w:tcPr>
            <w:tcW w:type="dxa" w:w="900"/>
            <w:shd w:fill="D9E2F3" w:color="auto" w:val="clear"/>
            <w:tcMar>
              <w:top w:type="dxa" w:w="50"/>
              <w:left w:type="dxa" w:w="80"/>
              <w:bottom w:type="dxa" w:w="50"/>
              <w:right w:type="dxa" w:w="80"/>
            </w:tcMar>
          </w:tcPr>
          <w:p>
            <w:pPr>
              <w:spacing w:after="0"/>
            </w:pPr>
            <w:r>
              <w:rPr>
                <w:rFonts w:ascii="Times New Roman" w:cs="Times New Roman" w:eastAsia="Times New Roman" w:hAnsi="Times New Roman"/>
                <w:b/>
                <w:bCs/>
                <w:sz w:val="17"/>
                <w:szCs w:val="17"/>
              </w:rPr>
              <w:t xml:space="preserve">Item</w:t>
            </w:r>
          </w:p>
        </w:tc>
        <w:tc>
          <w:tcPr>
            <w:tcW w:type="dxa" w:w="3900"/>
            <w:shd w:fill="D9E2F3" w:color="auto" w:val="clear"/>
            <w:tcMar>
              <w:top w:type="dxa" w:w="50"/>
              <w:left w:type="dxa" w:w="80"/>
              <w:bottom w:type="dxa" w:w="50"/>
              <w:right w:type="dxa" w:w="80"/>
            </w:tcMar>
          </w:tcPr>
          <w:p>
            <w:pPr>
              <w:spacing w:after="0"/>
            </w:pPr>
            <w:r>
              <w:rPr>
                <w:rFonts w:ascii="Times New Roman" w:cs="Times New Roman" w:eastAsia="Times New Roman" w:hAnsi="Times New Roman"/>
                <w:b/>
                <w:bCs/>
                <w:sz w:val="17"/>
                <w:szCs w:val="17"/>
              </w:rPr>
              <w:t xml:space="preserve">TRIPOD+AI checklist item</w:t>
            </w:r>
          </w:p>
        </w:tc>
        <w:tc>
          <w:tcPr>
            <w:tcW w:type="dxa" w:w="4300"/>
            <w:shd w:fill="D9E2F3" w:color="auto" w:val="clear"/>
            <w:tcMar>
              <w:top w:type="dxa" w:w="50"/>
              <w:left w:type="dxa" w:w="80"/>
              <w:bottom w:type="dxa" w:w="50"/>
              <w:right w:type="dxa" w:w="80"/>
            </w:tcMar>
          </w:tcPr>
          <w:p>
            <w:pPr>
              <w:spacing w:after="0"/>
            </w:pPr>
            <w:r>
              <w:rPr>
                <w:rFonts w:ascii="Times New Roman" w:cs="Times New Roman" w:eastAsia="Times New Roman" w:hAnsi="Times New Roman"/>
                <w:b/>
                <w:bCs/>
                <w:sz w:val="17"/>
                <w:szCs w:val="17"/>
              </w:rPr>
              <w:t xml:space="preserve">Where addressed</w:t>
            </w:r>
          </w:p>
        </w:tc>
      </w:tr>
      <w:tr>
        <w:tc>
          <w:tcPr>
            <w:tcW w:type="dxa" w:w="9100"/>
            <w:gridSpan w:val="3"/>
            <w:shd w:fill="EDF2FA" w:color="auto" w:val="clear"/>
            <w:tcMar>
              <w:top w:type="dxa" w:w="60"/>
              <w:left w:type="dxa" w:w="80"/>
              <w:bottom w:type="dxa" w:w="60"/>
              <w:right w:type="dxa" w:w="80"/>
            </w:tcMar>
          </w:tcPr>
          <w:p>
            <w:pPr>
              <w:spacing w:after="0"/>
            </w:pPr>
            <w:r>
              <w:rPr>
                <w:rFonts w:ascii="Times New Roman" w:cs="Times New Roman" w:eastAsia="Times New Roman" w:hAnsi="Times New Roman"/>
                <w:b/>
                <w:bCs/>
                <w:sz w:val="18"/>
                <w:szCs w:val="18"/>
              </w:rPr>
              <w:t xml:space="preserve">TITLE AND ABSTRACT</w:t>
            </w:r>
          </w:p>
        </w:tc>
      </w:tr>
      <w:tr>
        <w:tc>
          <w:tcPr>
            <w:tcW w:type="dxa" w:w="900"/>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1</w:t>
            </w:r>
          </w:p>
        </w:tc>
        <w:tc>
          <w:tcPr>
            <w:tcW w:type="dxa" w:w="3900"/>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Identify the study as developing or validating a prediction model, the target population, and the outcome.</w:t>
            </w:r>
          </w:p>
        </w:tc>
        <w:tc>
          <w:tcPr>
            <w:tcW w:type="dxa" w:w="4300"/>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Title page</w:t>
            </w:r>
          </w:p>
        </w:tc>
      </w:tr>
      <w:tr>
        <w:tc>
          <w:tcPr>
            <w:tcW w:type="dxa" w:w="900"/>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2</w:t>
            </w:r>
          </w:p>
        </w:tc>
        <w:tc>
          <w:tcPr>
            <w:tcW w:type="dxa" w:w="3900"/>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Structured abstract: background, methods, results, conclusions.</w:t>
            </w:r>
          </w:p>
        </w:tc>
        <w:tc>
          <w:tcPr>
            <w:tcW w:type="dxa" w:w="4300"/>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Abstract</w:t>
            </w:r>
          </w:p>
        </w:tc>
      </w:tr>
      <w:tr>
        <w:tc>
          <w:tcPr>
            <w:tcW w:type="dxa" w:w="9100"/>
            <w:gridSpan w:val="3"/>
            <w:shd w:fill="EDF2FA" w:color="auto" w:val="clear"/>
            <w:tcMar>
              <w:top w:type="dxa" w:w="60"/>
              <w:left w:type="dxa" w:w="80"/>
              <w:bottom w:type="dxa" w:w="60"/>
              <w:right w:type="dxa" w:w="80"/>
            </w:tcMar>
          </w:tcPr>
          <w:p>
            <w:pPr>
              <w:spacing w:after="0"/>
            </w:pPr>
            <w:r>
              <w:rPr>
                <w:rFonts w:ascii="Times New Roman" w:cs="Times New Roman" w:eastAsia="Times New Roman" w:hAnsi="Times New Roman"/>
                <w:b/>
                <w:bCs/>
                <w:sz w:val="18"/>
                <w:szCs w:val="18"/>
              </w:rPr>
              <w:t xml:space="preserve">INTRODUCTION</w:t>
            </w:r>
          </w:p>
        </w:tc>
      </w:tr>
      <w:tr>
        <w:tc>
          <w:tcPr>
            <w:tcW w:type="dxa" w:w="900"/>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3a</w:t>
            </w:r>
          </w:p>
        </w:tc>
        <w:tc>
          <w:tcPr>
            <w:tcW w:type="dxa" w:w="3900"/>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Background: rationale, existing models, and the clinical context.</w:t>
            </w:r>
          </w:p>
        </w:tc>
        <w:tc>
          <w:tcPr>
            <w:tcW w:type="dxa" w:w="4300"/>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§1, paragraphs 1–2</w:t>
            </w:r>
          </w:p>
        </w:tc>
      </w:tr>
      <w:tr>
        <w:tc>
          <w:tcPr>
            <w:tcW w:type="dxa" w:w="900"/>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3b</w:t>
            </w:r>
          </w:p>
        </w:tc>
        <w:tc>
          <w:tcPr>
            <w:tcW w:type="dxa" w:w="3900"/>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Objectives, including the intended use and the closest prior work.</w:t>
            </w:r>
          </w:p>
        </w:tc>
        <w:tc>
          <w:tcPr>
            <w:tcW w:type="dxa" w:w="4300"/>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§1, paragraphs 3–4 (precedent and point of difference)</w:t>
            </w:r>
          </w:p>
        </w:tc>
      </w:tr>
      <w:tr>
        <w:tc>
          <w:tcPr>
            <w:tcW w:type="dxa" w:w="9100"/>
            <w:gridSpan w:val="3"/>
            <w:shd w:fill="EDF2FA" w:color="auto" w:val="clear"/>
            <w:tcMar>
              <w:top w:type="dxa" w:w="60"/>
              <w:left w:type="dxa" w:w="80"/>
              <w:bottom w:type="dxa" w:w="60"/>
              <w:right w:type="dxa" w:w="80"/>
            </w:tcMar>
          </w:tcPr>
          <w:p>
            <w:pPr>
              <w:spacing w:after="0"/>
            </w:pPr>
            <w:r>
              <w:rPr>
                <w:rFonts w:ascii="Times New Roman" w:cs="Times New Roman" w:eastAsia="Times New Roman" w:hAnsi="Times New Roman"/>
                <w:b/>
                <w:bCs/>
                <w:sz w:val="18"/>
                <w:szCs w:val="18"/>
              </w:rPr>
              <w:t xml:space="preserve">METHODS — DATA</w:t>
            </w:r>
          </w:p>
        </w:tc>
      </w:tr>
      <w:tr>
        <w:tc>
          <w:tcPr>
            <w:tcW w:type="dxa" w:w="900"/>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4a</w:t>
            </w:r>
          </w:p>
        </w:tc>
        <w:tc>
          <w:tcPr>
            <w:tcW w:type="dxa" w:w="3900"/>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Source of data and rationale for its use.</w:t>
            </w:r>
          </w:p>
        </w:tc>
        <w:tc>
          <w:tcPr>
            <w:tcW w:type="dxa" w:w="4300"/>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§2.1</w:t>
            </w:r>
          </w:p>
        </w:tc>
      </w:tr>
      <w:tr>
        <w:tc>
          <w:tcPr>
            <w:tcW w:type="dxa" w:w="900"/>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4b</w:t>
            </w:r>
          </w:p>
        </w:tc>
        <w:tc>
          <w:tcPr>
            <w:tcW w:type="dxa" w:w="3900"/>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Dates of participant accrual and of outcome determination.</w:t>
            </w:r>
          </w:p>
        </w:tc>
        <w:tc>
          <w:tcPr>
            <w:tcW w:type="dxa" w:w="4300"/>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§2.1 (panels 21–23, 2016–2019; panels 26–27, 2021–2023)</w:t>
            </w:r>
          </w:p>
        </w:tc>
      </w:tr>
      <w:tr>
        <w:tc>
          <w:tcPr>
            <w:tcW w:type="dxa" w:w="900"/>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5a</w:t>
            </w:r>
          </w:p>
        </w:tc>
        <w:tc>
          <w:tcPr>
            <w:tcW w:type="dxa" w:w="3900"/>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Setting, including complex sampling structure.</w:t>
            </w:r>
          </w:p>
        </w:tc>
        <w:tc>
          <w:tcPr>
            <w:tcW w:type="dxa" w:w="4300"/>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§2.1, §2.3</w:t>
            </w:r>
          </w:p>
        </w:tc>
      </w:tr>
      <w:tr>
        <w:tc>
          <w:tcPr>
            <w:tcW w:type="dxa" w:w="900"/>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5b</w:t>
            </w:r>
          </w:p>
        </w:tc>
        <w:tc>
          <w:tcPr>
            <w:tcW w:type="dxa" w:w="3900"/>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Eligibility criteria and exclusions.</w:t>
            </w:r>
          </w:p>
        </w:tc>
        <w:tc>
          <w:tcPr>
            <w:tcW w:type="dxa" w:w="4300"/>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§2.1 (panels 24–25 excluded; rationale given)</w:t>
            </w:r>
          </w:p>
        </w:tc>
      </w:tr>
      <w:tr>
        <w:tc>
          <w:tcPr>
            <w:tcW w:type="dxa" w:w="900"/>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6a</w:t>
            </w:r>
          </w:p>
        </w:tc>
        <w:tc>
          <w:tcPr>
            <w:tcW w:type="dxa" w:w="3900"/>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Outcome definition, including how and when assessed.</w:t>
            </w:r>
          </w:p>
        </w:tc>
        <w:tc>
          <w:tcPr>
            <w:tcW w:type="dxa" w:w="4300"/>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§2.2 (weighted 90th percentile of year-2 expenditure, per panel)</w:t>
            </w:r>
          </w:p>
        </w:tc>
      </w:tr>
      <w:tr>
        <w:tc>
          <w:tcPr>
            <w:tcW w:type="dxa" w:w="900"/>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6b</w:t>
            </w:r>
          </w:p>
        </w:tc>
        <w:tc>
          <w:tcPr>
            <w:tcW w:type="dxa" w:w="3900"/>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Steps to prevent outcome information leaking into predictors.</w:t>
            </w:r>
          </w:p>
        </w:tc>
        <w:tc>
          <w:tcPr>
            <w:tcW w:type="dxa" w:w="4300"/>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§2.2 (leakage firewall); §3.2</w:t>
            </w:r>
          </w:p>
        </w:tc>
      </w:tr>
      <w:tr>
        <w:tc>
          <w:tcPr>
            <w:tcW w:type="dxa" w:w="900"/>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7a</w:t>
            </w:r>
          </w:p>
        </w:tc>
        <w:tc>
          <w:tcPr>
            <w:tcW w:type="dxa" w:w="3900"/>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Predictors: definition, timing, and selection.</w:t>
            </w:r>
          </w:p>
        </w:tc>
        <w:tc>
          <w:tcPr>
            <w:tcW w:type="dxa" w:w="4300"/>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§2.4; §3.2; Supplementary code (feature_contract.R)</w:t>
            </w:r>
          </w:p>
        </w:tc>
      </w:tr>
      <w:tr>
        <w:tc>
          <w:tcPr>
            <w:tcW w:type="dxa" w:w="900"/>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7b</w:t>
            </w:r>
          </w:p>
        </w:tc>
        <w:tc>
          <w:tcPr>
            <w:tcW w:type="dxa" w:w="3900"/>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Predictor assessment blinded to the outcome.</w:t>
            </w:r>
          </w:p>
        </w:tc>
        <w:tc>
          <w:tcPr>
            <w:tcW w:type="dxa" w:w="4300"/>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§2.2 (predictors restricted to year 1 by construction)</w:t>
            </w:r>
          </w:p>
        </w:tc>
      </w:tr>
      <w:tr>
        <w:tc>
          <w:tcPr>
            <w:tcW w:type="dxa" w:w="900"/>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8</w:t>
            </w:r>
          </w:p>
        </w:tc>
        <w:tc>
          <w:tcPr>
            <w:tcW w:type="dxa" w:w="3900"/>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Sample size and its justification.</w:t>
            </w:r>
          </w:p>
        </w:tc>
        <w:tc>
          <w:tcPr>
            <w:tcW w:type="dxa" w:w="4300"/>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§3.1 (44,225 development; 15,033 validation; all eligible respondents)</w:t>
            </w:r>
          </w:p>
        </w:tc>
      </w:tr>
      <w:tr>
        <w:tc>
          <w:tcPr>
            <w:tcW w:type="dxa" w:w="900"/>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9</w:t>
            </w:r>
          </w:p>
        </w:tc>
        <w:tc>
          <w:tcPr>
            <w:tcW w:type="dxa" w:w="3900"/>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Missing data: how handled.</w:t>
            </w:r>
          </w:p>
        </w:tc>
        <w:tc>
          <w:tcPr>
            <w:tcW w:type="dxa" w:w="4300"/>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§2.5 (native handling in the tree model); §2.8 (comparators)</w:t>
            </w:r>
          </w:p>
        </w:tc>
      </w:tr>
      <w:tr>
        <w:tc>
          <w:tcPr>
            <w:tcW w:type="dxa" w:w="9100"/>
            <w:gridSpan w:val="3"/>
            <w:shd w:fill="EDF2FA" w:color="auto" w:val="clear"/>
            <w:tcMar>
              <w:top w:type="dxa" w:w="60"/>
              <w:left w:type="dxa" w:w="80"/>
              <w:bottom w:type="dxa" w:w="60"/>
              <w:right w:type="dxa" w:w="80"/>
            </w:tcMar>
          </w:tcPr>
          <w:p>
            <w:pPr>
              <w:spacing w:after="0"/>
            </w:pPr>
            <w:r>
              <w:rPr>
                <w:rFonts w:ascii="Times New Roman" w:cs="Times New Roman" w:eastAsia="Times New Roman" w:hAnsi="Times New Roman"/>
                <w:b/>
                <w:bCs/>
                <w:sz w:val="18"/>
                <w:szCs w:val="18"/>
              </w:rPr>
              <w:t xml:space="preserve">METHODS — ANALYSIS</w:t>
            </w:r>
          </w:p>
        </w:tc>
      </w:tr>
      <w:tr>
        <w:tc>
          <w:tcPr>
            <w:tcW w:type="dxa" w:w="900"/>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10a</w:t>
            </w:r>
          </w:p>
        </w:tc>
        <w:tc>
          <w:tcPr>
            <w:tcW w:type="dxa" w:w="3900"/>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Analytical methods, including how the sampling design was accommodated.</w:t>
            </w:r>
          </w:p>
        </w:tc>
        <w:tc>
          <w:tcPr>
            <w:tcW w:type="dxa" w:w="4300"/>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§2.3, §2.5</w:t>
            </w:r>
          </w:p>
        </w:tc>
      </w:tr>
      <w:tr>
        <w:tc>
          <w:tcPr>
            <w:tcW w:type="dxa" w:w="900"/>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10b</w:t>
            </w:r>
          </w:p>
        </w:tc>
        <w:tc>
          <w:tcPr>
            <w:tcW w:type="dxa" w:w="3900"/>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Model-building procedure, hyperparameter selection, and internal validation.</w:t>
            </w:r>
          </w:p>
        </w:tc>
        <w:tc>
          <w:tcPr>
            <w:tcW w:type="dxa" w:w="4300"/>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§2.5 (cluster-respecting five-fold cross-validation)</w:t>
            </w:r>
          </w:p>
        </w:tc>
      </w:tr>
      <w:tr>
        <w:tc>
          <w:tcPr>
            <w:tcW w:type="dxa" w:w="900"/>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11</w:t>
            </w:r>
          </w:p>
        </w:tc>
        <w:tc>
          <w:tcPr>
            <w:tcW w:type="dxa" w:w="3900"/>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Class imbalance and how it was addressed.</w:t>
            </w:r>
          </w:p>
        </w:tc>
        <w:tc>
          <w:tcPr>
            <w:tcW w:type="dxa" w:w="4300"/>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§2.2 (10% event rate by construction; weighted estimation; calibration assessed)</w:t>
            </w:r>
          </w:p>
        </w:tc>
      </w:tr>
      <w:tr>
        <w:tc>
          <w:tcPr>
            <w:tcW w:type="dxa" w:w="900"/>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12</w:t>
            </w:r>
          </w:p>
        </w:tc>
        <w:tc>
          <w:tcPr>
            <w:tcW w:type="dxa" w:w="3900"/>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Model output and how risks are presented.</w:t>
            </w:r>
          </w:p>
        </w:tc>
        <w:tc>
          <w:tcPr>
            <w:tcW w:type="dxa" w:w="4300"/>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§2.6 (predicted probability; top-decile operating point)</w:t>
            </w:r>
          </w:p>
        </w:tc>
      </w:tr>
      <w:tr>
        <w:tc>
          <w:tcPr>
            <w:tcW w:type="dxa" w:w="900"/>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13</w:t>
            </w:r>
          </w:p>
        </w:tc>
        <w:tc>
          <w:tcPr>
            <w:tcW w:type="dxa" w:w="3900"/>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Performance measures, including calibration and uncertainty.</w:t>
            </w:r>
          </w:p>
        </w:tc>
        <w:tc>
          <w:tcPr>
            <w:tcW w:type="dxa" w:w="4300"/>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§2.6 (weighted AUC with design-based bootstrap CIs, calibration slope, CITL, Brier)</w:t>
            </w:r>
          </w:p>
        </w:tc>
      </w:tr>
      <w:tr>
        <w:tc>
          <w:tcPr>
            <w:tcW w:type="dxa" w:w="900"/>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14</w:t>
            </w:r>
          </w:p>
        </w:tc>
        <w:tc>
          <w:tcPr>
            <w:tcW w:type="dxa" w:w="3900"/>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Fairness: subgroup evaluation and rationale.</w:t>
            </w:r>
          </w:p>
        </w:tc>
        <w:tc>
          <w:tcPr>
            <w:tcW w:type="dxa" w:w="4300"/>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§2.7, §3.6 (calibration and discrimination by income and race/ethnicity)</w:t>
            </w:r>
          </w:p>
        </w:tc>
      </w:tr>
      <w:tr>
        <w:tc>
          <w:tcPr>
            <w:tcW w:type="dxa" w:w="900"/>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15</w:t>
            </w:r>
          </w:p>
        </w:tc>
        <w:tc>
          <w:tcPr>
            <w:tcW w:type="dxa" w:w="3900"/>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Model comparison and clinical utility.</w:t>
            </w:r>
          </w:p>
        </w:tc>
        <w:tc>
          <w:tcPr>
            <w:tcW w:type="dxa" w:w="4300"/>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§2.5 (comparators), §2.7 and §3.5 (decision-curve analysis vs prior-year cost)</w:t>
            </w:r>
          </w:p>
        </w:tc>
      </w:tr>
      <w:tr>
        <w:tc>
          <w:tcPr>
            <w:tcW w:type="dxa" w:w="9100"/>
            <w:gridSpan w:val="3"/>
            <w:shd w:fill="EDF2FA" w:color="auto" w:val="clear"/>
            <w:tcMar>
              <w:top w:type="dxa" w:w="60"/>
              <w:left w:type="dxa" w:w="80"/>
              <w:bottom w:type="dxa" w:w="60"/>
              <w:right w:type="dxa" w:w="80"/>
            </w:tcMar>
          </w:tcPr>
          <w:p>
            <w:pPr>
              <w:spacing w:after="0"/>
            </w:pPr>
            <w:r>
              <w:rPr>
                <w:rFonts w:ascii="Times New Roman" w:cs="Times New Roman" w:eastAsia="Times New Roman" w:hAnsi="Times New Roman"/>
                <w:b/>
                <w:bCs/>
                <w:sz w:val="18"/>
                <w:szCs w:val="18"/>
              </w:rPr>
              <w:t xml:space="preserve">OPEN SCIENCE</w:t>
            </w:r>
          </w:p>
        </w:tc>
      </w:tr>
      <w:tr>
        <w:tc>
          <w:tcPr>
            <w:tcW w:type="dxa" w:w="900"/>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16a</w:t>
            </w:r>
          </w:p>
        </w:tc>
        <w:tc>
          <w:tcPr>
            <w:tcW w:type="dxa" w:w="3900"/>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Funding and role of the funder.</w:t>
            </w:r>
          </w:p>
        </w:tc>
        <w:tc>
          <w:tcPr>
            <w:tcW w:type="dxa" w:w="4300"/>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Title page; Declarations (none)</w:t>
            </w:r>
          </w:p>
        </w:tc>
      </w:tr>
      <w:tr>
        <w:tc>
          <w:tcPr>
            <w:tcW w:type="dxa" w:w="900"/>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16b</w:t>
            </w:r>
          </w:p>
        </w:tc>
        <w:tc>
          <w:tcPr>
            <w:tcW w:type="dxa" w:w="3900"/>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Conflicts of interest.</w:t>
            </w:r>
          </w:p>
        </w:tc>
        <w:tc>
          <w:tcPr>
            <w:tcW w:type="dxa" w:w="4300"/>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Title page; Declarations (none)</w:t>
            </w:r>
          </w:p>
        </w:tc>
      </w:tr>
      <w:tr>
        <w:tc>
          <w:tcPr>
            <w:tcW w:type="dxa" w:w="900"/>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16c</w:t>
            </w:r>
          </w:p>
        </w:tc>
        <w:tc>
          <w:tcPr>
            <w:tcW w:type="dxa" w:w="3900"/>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Protocol and reporting guideline.</w:t>
            </w:r>
          </w:p>
        </w:tc>
        <w:tc>
          <w:tcPr>
            <w:tcW w:type="dxa" w:w="4300"/>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Declarations; Supplementary protocol</w:t>
            </w:r>
          </w:p>
        </w:tc>
      </w:tr>
      <w:tr>
        <w:tc>
          <w:tcPr>
            <w:tcW w:type="dxa" w:w="900"/>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16d</w:t>
            </w:r>
          </w:p>
        </w:tc>
        <w:tc>
          <w:tcPr>
            <w:tcW w:type="dxa" w:w="3900"/>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Data availability.</w:t>
            </w:r>
          </w:p>
        </w:tc>
        <w:tc>
          <w:tcPr>
            <w:tcW w:type="dxa" w:w="4300"/>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Declarations (public MEPS files, AHRQ)</w:t>
            </w:r>
          </w:p>
        </w:tc>
      </w:tr>
      <w:tr>
        <w:tc>
          <w:tcPr>
            <w:tcW w:type="dxa" w:w="900"/>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16e</w:t>
            </w:r>
          </w:p>
        </w:tc>
        <w:tc>
          <w:tcPr>
            <w:tcW w:type="dxa" w:w="3900"/>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Code availability.</w:t>
            </w:r>
          </w:p>
        </w:tc>
        <w:tc>
          <w:tcPr>
            <w:tcW w:type="dxa" w:w="4300"/>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Declarations (https://github.com/rafreis/meps-highcost, MIT licence)</w:t>
            </w:r>
          </w:p>
        </w:tc>
      </w:tr>
      <w:tr>
        <w:tc>
          <w:tcPr>
            <w:tcW w:type="dxa" w:w="9100"/>
            <w:gridSpan w:val="3"/>
            <w:shd w:fill="EDF2FA" w:color="auto" w:val="clear"/>
            <w:tcMar>
              <w:top w:type="dxa" w:w="60"/>
              <w:left w:type="dxa" w:w="80"/>
              <w:bottom w:type="dxa" w:w="60"/>
              <w:right w:type="dxa" w:w="80"/>
            </w:tcMar>
          </w:tcPr>
          <w:p>
            <w:pPr>
              <w:spacing w:after="0"/>
            </w:pPr>
            <w:r>
              <w:rPr>
                <w:rFonts w:ascii="Times New Roman" w:cs="Times New Roman" w:eastAsia="Times New Roman" w:hAnsi="Times New Roman"/>
                <w:b/>
                <w:bCs/>
                <w:sz w:val="18"/>
                <w:szCs w:val="18"/>
              </w:rPr>
              <w:t xml:space="preserve">RESULTS</w:t>
            </w:r>
          </w:p>
        </w:tc>
      </w:tr>
      <w:tr>
        <w:tc>
          <w:tcPr>
            <w:tcW w:type="dxa" w:w="900"/>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17</w:t>
            </w:r>
          </w:p>
        </w:tc>
        <w:tc>
          <w:tcPr>
            <w:tcW w:type="dxa" w:w="3900"/>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Participant flow and characteristics of development and validation cohorts.</w:t>
            </w:r>
          </w:p>
        </w:tc>
        <w:tc>
          <w:tcPr>
            <w:tcW w:type="dxa" w:w="4300"/>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§3.1; Table 1</w:t>
            </w:r>
          </w:p>
        </w:tc>
      </w:tr>
      <w:tr>
        <w:tc>
          <w:tcPr>
            <w:tcW w:type="dxa" w:w="900"/>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18</w:t>
            </w:r>
          </w:p>
        </w:tc>
        <w:tc>
          <w:tcPr>
            <w:tcW w:type="dxa" w:w="3900"/>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Model specification and how predictions are obtained.</w:t>
            </w:r>
          </w:p>
        </w:tc>
        <w:tc>
          <w:tcPr>
            <w:tcW w:type="dxa" w:w="4300"/>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§2.5; §3.2; Supplementary code</w:t>
            </w:r>
          </w:p>
        </w:tc>
      </w:tr>
      <w:tr>
        <w:tc>
          <w:tcPr>
            <w:tcW w:type="dxa" w:w="900"/>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19a</w:t>
            </w:r>
          </w:p>
        </w:tc>
        <w:tc>
          <w:tcPr>
            <w:tcW w:type="dxa" w:w="3900"/>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Model performance: discrimination and calibration, with uncertainty.</w:t>
            </w:r>
          </w:p>
        </w:tc>
        <w:tc>
          <w:tcPr>
            <w:tcW w:type="dxa" w:w="4300"/>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§3.3; Table 2; Figure 1</w:t>
            </w:r>
          </w:p>
        </w:tc>
      </w:tr>
      <w:tr>
        <w:tc>
          <w:tcPr>
            <w:tcW w:type="dxa" w:w="900"/>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19b</w:t>
            </w:r>
          </w:p>
        </w:tc>
        <w:tc>
          <w:tcPr>
            <w:tcW w:type="dxa" w:w="3900"/>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Performance in relevant subgroups.</w:t>
            </w:r>
          </w:p>
        </w:tc>
        <w:tc>
          <w:tcPr>
            <w:tcW w:type="dxa" w:w="4300"/>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§3.6; Table 3</w:t>
            </w:r>
          </w:p>
        </w:tc>
      </w:tr>
      <w:tr>
        <w:tc>
          <w:tcPr>
            <w:tcW w:type="dxa" w:w="900"/>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19c</w:t>
            </w:r>
          </w:p>
        </w:tc>
        <w:tc>
          <w:tcPr>
            <w:tcW w:type="dxa" w:w="3900"/>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Clinical utility.</w:t>
            </w:r>
          </w:p>
        </w:tc>
        <w:tc>
          <w:tcPr>
            <w:tcW w:type="dxa" w:w="4300"/>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§3.5; Figure 3</w:t>
            </w:r>
          </w:p>
        </w:tc>
      </w:tr>
      <w:tr>
        <w:tc>
          <w:tcPr>
            <w:tcW w:type="dxa" w:w="900"/>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20</w:t>
            </w:r>
          </w:p>
        </w:tc>
        <w:tc>
          <w:tcPr>
            <w:tcW w:type="dxa" w:w="3900"/>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Model interpretability / explanation.</w:t>
            </w:r>
          </w:p>
        </w:tc>
        <w:tc>
          <w:tcPr>
            <w:tcW w:type="dxa" w:w="4300"/>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§3.4; Figure 2</w:t>
            </w:r>
          </w:p>
        </w:tc>
      </w:tr>
      <w:tr>
        <w:tc>
          <w:tcPr>
            <w:tcW w:type="dxa" w:w="900"/>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21</w:t>
            </w:r>
          </w:p>
        </w:tc>
        <w:tc>
          <w:tcPr>
            <w:tcW w:type="dxa" w:w="3900"/>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Secondary and sensitivity analyses.</w:t>
            </w:r>
          </w:p>
        </w:tc>
        <w:tc>
          <w:tcPr>
            <w:tcW w:type="dxa" w:w="4300"/>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§3.7 (AHRQ-PQI concordance; transition analysis)</w:t>
            </w:r>
          </w:p>
        </w:tc>
      </w:tr>
      <w:tr>
        <w:tc>
          <w:tcPr>
            <w:tcW w:type="dxa" w:w="9100"/>
            <w:gridSpan w:val="3"/>
            <w:shd w:fill="EDF2FA" w:color="auto" w:val="clear"/>
            <w:tcMar>
              <w:top w:type="dxa" w:w="60"/>
              <w:left w:type="dxa" w:w="80"/>
              <w:bottom w:type="dxa" w:w="60"/>
              <w:right w:type="dxa" w:w="80"/>
            </w:tcMar>
          </w:tcPr>
          <w:p>
            <w:pPr>
              <w:spacing w:after="0"/>
            </w:pPr>
            <w:r>
              <w:rPr>
                <w:rFonts w:ascii="Times New Roman" w:cs="Times New Roman" w:eastAsia="Times New Roman" w:hAnsi="Times New Roman"/>
                <w:b/>
                <w:bCs/>
                <w:sz w:val="18"/>
                <w:szCs w:val="18"/>
              </w:rPr>
              <w:t xml:space="preserve">DISCUSSION</w:t>
            </w:r>
          </w:p>
        </w:tc>
      </w:tr>
      <w:tr>
        <w:tc>
          <w:tcPr>
            <w:tcW w:type="dxa" w:w="900"/>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22</w:t>
            </w:r>
          </w:p>
        </w:tc>
        <w:tc>
          <w:tcPr>
            <w:tcW w:type="dxa" w:w="3900"/>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Interpretation, in the context of objectives and prior evidence.</w:t>
            </w:r>
          </w:p>
        </w:tc>
        <w:tc>
          <w:tcPr>
            <w:tcW w:type="dxa" w:w="4300"/>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§4, paragraphs 1–3</w:t>
            </w:r>
          </w:p>
        </w:tc>
      </w:tr>
      <w:tr>
        <w:tc>
          <w:tcPr>
            <w:tcW w:type="dxa" w:w="900"/>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23</w:t>
            </w:r>
          </w:p>
        </w:tc>
        <w:tc>
          <w:tcPr>
            <w:tcW w:type="dxa" w:w="3900"/>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Limitations, including data, methodological, and generalisability limits.</w:t>
            </w:r>
          </w:p>
        </w:tc>
        <w:tc>
          <w:tcPr>
            <w:tcW w:type="dxa" w:w="4300"/>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§4.1</w:t>
            </w:r>
          </w:p>
        </w:tc>
      </w:tr>
      <w:tr>
        <w:tc>
          <w:tcPr>
            <w:tcW w:type="dxa" w:w="900"/>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24</w:t>
            </w:r>
          </w:p>
        </w:tc>
        <w:tc>
          <w:tcPr>
            <w:tcW w:type="dxa" w:w="3900"/>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Usability and implications for practice.</w:t>
            </w:r>
          </w:p>
        </w:tc>
        <w:tc>
          <w:tcPr>
            <w:tcW w:type="dxa" w:w="4300"/>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§4, paragraph 2; §4.2</w:t>
            </w:r>
          </w:p>
        </w:tc>
      </w:tr>
    </w:tbl>
    <w:p>
      <w:pPr>
        <w:spacing w:after="100" w:before="240"/>
      </w:pPr>
      <w:r>
        <w:rPr>
          <w:rFonts w:ascii="Times New Roman" w:cs="Times New Roman" w:eastAsia="Times New Roman" w:hAnsi="Times New Roman"/>
          <w:b/>
          <w:bCs/>
          <w:sz w:val="23"/>
          <w:szCs w:val="23"/>
        </w:rPr>
        <w:t xml:space="preserve">Note on study type</w:t>
      </w:r>
    </w:p>
    <w:p>
      <w:pPr>
        <w:spacing w:after="140" w:line="280"/>
        <w:jc w:val="both"/>
      </w:pPr>
      <w:r>
        <w:rPr>
          <w:rFonts w:ascii="Times New Roman" w:cs="Times New Roman" w:eastAsia="Times New Roman" w:hAnsi="Times New Roman"/>
          <w:sz w:val="20"/>
          <w:szCs w:val="20"/>
        </w:rPr>
        <w:t xml:space="preserve">This study reports both the development of a prediction model and its external validation in a temporally distinct, non-overlapping sample. Items relating to model updating are not applicable, as the model was applied to the validation panels without refitting or recalibration.</w:t>
      </w:r>
    </w:p>
    <w:p>
      <w:pPr>
        <w:spacing w:after="100" w:before="240"/>
      </w:pPr>
      <w:r>
        <w:rPr>
          <w:rFonts w:ascii="Times New Roman" w:cs="Times New Roman" w:eastAsia="Times New Roman" w:hAnsi="Times New Roman"/>
          <w:b/>
          <w:bCs/>
          <w:sz w:val="23"/>
          <w:szCs w:val="23"/>
        </w:rPr>
        <w:t xml:space="preserve">Note on the design-based analysis</w:t>
      </w:r>
    </w:p>
    <w:p>
      <w:pPr>
        <w:spacing w:after="140" w:line="280"/>
        <w:jc w:val="both"/>
      </w:pPr>
      <w:r>
        <w:rPr>
          <w:rFonts w:ascii="Times New Roman" w:cs="Times New Roman" w:eastAsia="Times New Roman" w:hAnsi="Times New Roman"/>
          <w:sz w:val="20"/>
          <w:szCs w:val="20"/>
        </w:rPr>
        <w:t xml:space="preserve">Because the data arise from a complex probability sample, the longitudinal weight, variance stratum, and primary sampling unit were carried through every estimate, including feature selection, model fitting, calibration, uncertainty quantification, and all subgroup analyses. Where closed-form design-based variance is not established for a composite quantity (net benefit, weighted SHAP summaries), uncertainty was obtained by resampling primary sampling units, and this is stated in the manuscript.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2026-07-20T00:47:02.777Z</dcterms:created>
  <dcterms:modified xsi:type="dcterms:W3CDTF">2026-07-20T00:47:02.778Z</dcterms:modified>
</cp:coreProperties>
</file>

<file path=docProps/custom.xml><?xml version="1.0" encoding="utf-8"?>
<Properties xmlns="http://schemas.openxmlformats.org/officeDocument/2006/custom-properties" xmlns:vt="http://schemas.openxmlformats.org/officeDocument/2006/docPropsVTypes"/>
</file>