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7" w:lineRule="auto" w:before="0" w:after="200"/>
        <w:jc w:val="left"/>
      </w:pPr>
    </w:p>
    <w:p>
      <w:pPr>
        <w:spacing w:line="317" w:lineRule="auto" w:before="0" w:after="200"/>
        <w:jc w:val="left"/>
      </w:pPr>
    </w:p>
    <w:p>
      <w:pPr>
        <w:spacing w:line="317" w:lineRule="auto" w:before="0" w:after="200"/>
        <w:jc w:val="left"/>
      </w:pPr>
    </w:p>
    <w:p>
      <w:pPr>
        <w:spacing w:line="317" w:lineRule="auto" w:before="0" w:after="120"/>
        <w:jc w:val="center"/>
      </w:pPr>
      <w:r>
        <w:rPr>
          <w:rFonts w:ascii="Times New Roman" w:hAnsi="Times New Roman"/>
          <w:b/>
          <w:i w:val="0"/>
          <w:sz w:val="32"/>
        </w:rPr>
        <w:t>MARINE FISH MARKETING SYSTEM OF CHATTOGRAM, BANGLADESH</w:t>
      </w:r>
    </w:p>
    <w:p>
      <w:pPr>
        <w:spacing w:line="317" w:lineRule="auto" w:before="0" w:after="480"/>
        <w:jc w:val="center"/>
      </w:pPr>
      <w:r>
        <w:rPr>
          <w:rFonts w:ascii="Times New Roman" w:hAnsi="Times New Roman"/>
          <w:b w:val="0"/>
          <w:i/>
          <w:sz w:val="24"/>
        </w:rPr>
        <w:t>An Analysis of Channels, Costs, Margins, Price Spread and Producer's Share</w:t>
      </w:r>
    </w:p>
    <w:p>
      <w:pPr>
        <w:spacing w:line="317" w:lineRule="auto" w:before="0" w:after="80"/>
        <w:jc w:val="center"/>
      </w:pPr>
      <w:r>
        <w:rPr>
          <w:rFonts w:ascii="Times New Roman" w:hAnsi="Times New Roman"/>
          <w:b w:val="0"/>
          <w:i w:val="0"/>
          <w:sz w:val="24"/>
        </w:rPr>
        <w:t>Course Code: MS-499</w:t>
      </w:r>
    </w:p>
    <w:p>
      <w:pPr>
        <w:spacing w:line="317" w:lineRule="auto" w:before="0" w:after="560"/>
        <w:jc w:val="center"/>
      </w:pPr>
      <w:r>
        <w:rPr>
          <w:rFonts w:ascii="Times New Roman" w:hAnsi="Times New Roman"/>
          <w:b w:val="0"/>
          <w:i w:val="0"/>
          <w:sz w:val="24"/>
        </w:rPr>
        <w:t>Term Paper</w:t>
      </w:r>
    </w:p>
    <w:p>
      <w:pPr>
        <w:spacing w:line="317" w:lineRule="auto" w:before="0" w:after="80"/>
        <w:jc w:val="center"/>
      </w:pPr>
      <w:r>
        <w:rPr>
          <w:rFonts w:ascii="Times New Roman" w:hAnsi="Times New Roman"/>
          <w:b w:val="0"/>
          <w:i w:val="0"/>
          <w:sz w:val="24"/>
        </w:rPr>
        <w:t>Submitted by</w:t>
      </w:r>
    </w:p>
    <w:p>
      <w:pPr>
        <w:spacing w:line="317" w:lineRule="auto" w:before="0" w:after="80"/>
        <w:jc w:val="center"/>
      </w:pPr>
      <w:r>
        <w:rPr>
          <w:rFonts w:ascii="Times New Roman" w:hAnsi="Times New Roman"/>
          <w:b/>
          <w:i w:val="0"/>
          <w:sz w:val="24"/>
        </w:rPr>
        <w:t>[Student Name]</w:t>
      </w:r>
    </w:p>
    <w:p>
      <w:pPr>
        <w:spacing w:line="317" w:lineRule="auto" w:before="0" w:after="560"/>
        <w:jc w:val="center"/>
      </w:pPr>
      <w:r>
        <w:rPr>
          <w:rFonts w:ascii="Times New Roman" w:hAnsi="Times New Roman"/>
          <w:b w:val="0"/>
          <w:i w:val="0"/>
          <w:sz w:val="24"/>
        </w:rPr>
        <w:t>Roll No. [xxxx]     Session: [xxxx-xx]</w:t>
      </w:r>
    </w:p>
    <w:p>
      <w:pPr>
        <w:spacing w:line="317" w:lineRule="auto" w:before="0" w:after="80"/>
        <w:jc w:val="center"/>
      </w:pPr>
      <w:r>
        <w:rPr>
          <w:rFonts w:ascii="Times New Roman" w:hAnsi="Times New Roman"/>
          <w:b w:val="0"/>
          <w:i w:val="0"/>
          <w:sz w:val="24"/>
        </w:rPr>
        <w:t>Submitted to</w:t>
      </w:r>
    </w:p>
    <w:p>
      <w:pPr>
        <w:spacing w:line="317" w:lineRule="auto" w:before="0" w:after="80"/>
        <w:jc w:val="center"/>
      </w:pPr>
      <w:r>
        <w:rPr>
          <w:rFonts w:ascii="Times New Roman" w:hAnsi="Times New Roman"/>
          <w:b/>
          <w:i w:val="0"/>
          <w:sz w:val="24"/>
        </w:rPr>
        <w:t>[Supervisor Name]</w:t>
      </w:r>
    </w:p>
    <w:p>
      <w:pPr>
        <w:spacing w:line="317" w:lineRule="auto" w:before="0" w:after="80"/>
        <w:jc w:val="center"/>
      </w:pPr>
      <w:r>
        <w:rPr>
          <w:rFonts w:ascii="Times New Roman" w:hAnsi="Times New Roman"/>
          <w:b w:val="0"/>
          <w:i w:val="0"/>
          <w:sz w:val="24"/>
        </w:rPr>
        <w:t>[Designation]</w:t>
      </w:r>
    </w:p>
    <w:p>
      <w:pPr>
        <w:spacing w:line="317" w:lineRule="auto" w:before="0" w:after="560"/>
        <w:jc w:val="center"/>
      </w:pPr>
      <w:r>
        <w:rPr>
          <w:rFonts w:ascii="Times New Roman" w:hAnsi="Times New Roman"/>
          <w:b w:val="0"/>
          <w:i w:val="0"/>
          <w:sz w:val="24"/>
        </w:rPr>
        <w:t>Department of Fisheries and Marine Science</w:t>
      </w:r>
    </w:p>
    <w:p>
      <w:pPr>
        <w:spacing w:line="317" w:lineRule="auto" w:before="0" w:after="120"/>
        <w:jc w:val="center"/>
      </w:pPr>
      <w:r>
        <w:rPr>
          <w:rFonts w:ascii="Times New Roman" w:hAnsi="Times New Roman"/>
          <w:b/>
          <w:i w:val="0"/>
          <w:sz w:val="24"/>
        </w:rPr>
        <w:t>University of [Name]</w:t>
      </w:r>
    </w:p>
    <w:p>
      <w:pPr>
        <w:spacing w:line="317" w:lineRule="auto" w:before="0" w:after="120"/>
        <w:jc w:val="center"/>
      </w:pPr>
      <w:r>
        <w:rPr>
          <w:rFonts w:ascii="Times New Roman" w:hAnsi="Times New Roman"/>
          <w:b w:val="0"/>
          <w:i w:val="0"/>
          <w:sz w:val="24"/>
        </w:rPr>
        <w:t>[City], Bangladesh</w:t>
      </w:r>
    </w:p>
    <w:p>
      <w:pPr>
        <w:spacing w:line="317" w:lineRule="auto" w:before="0" w:after="200"/>
        <w:jc w:val="center"/>
      </w:pPr>
      <w:r>
        <w:rPr>
          <w:rFonts w:ascii="Times New Roman" w:hAnsi="Times New Roman"/>
          <w:b w:val="0"/>
          <w:i w:val="0"/>
          <w:sz w:val="24"/>
        </w:rPr>
        <w:t>[Month] 2026</w:t>
      </w:r>
    </w:p>
    <w:p>
      <w:r>
        <w:br w:type="page"/>
      </w:r>
    </w:p>
    <w:p>
      <w:pPr>
        <w:spacing w:line="276" w:lineRule="auto" w:before="0" w:after="120"/>
        <w:jc w:val="center"/>
      </w:pPr>
      <w:r>
        <w:rPr>
          <w:rFonts w:ascii="Times New Roman" w:hAnsi="Times New Roman"/>
          <w:b/>
          <w:i w:val="0"/>
          <w:sz w:val="32"/>
        </w:rPr>
        <w:t>CHAPTER 1</w:t>
      </w:r>
    </w:p>
    <w:p>
      <w:pPr>
        <w:spacing w:line="276" w:lineRule="auto" w:before="0" w:after="120"/>
        <w:jc w:val="center"/>
      </w:pPr>
      <w:r>
        <w:rPr>
          <w:rFonts w:ascii="Times New Roman" w:hAnsi="Times New Roman"/>
          <w:b/>
          <w:i w:val="0"/>
          <w:sz w:val="32"/>
        </w:rPr>
        <w:t>INTRODUCTION</w:t>
      </w:r>
    </w:p>
    <w:p>
      <w:pPr>
        <w:spacing w:line="317" w:lineRule="auto" w:before="0" w:after="200"/>
        <w:jc w:val="left"/>
      </w:pPr>
    </w:p>
    <w:p>
      <w:pPr>
        <w:pStyle w:val="Heading2"/>
      </w:pPr>
      <w:r>
        <w:t>1.1 Background of the study</w:t>
      </w:r>
    </w:p>
    <w:p>
      <w:pPr>
        <w:spacing w:line="317" w:lineRule="auto" w:before="0" w:after="200"/>
        <w:jc w:val="left"/>
      </w:pPr>
      <w:r>
        <w:rPr>
          <w:rFonts w:ascii="Times New Roman" w:hAnsi="Times New Roman"/>
          <w:b w:val="0"/>
          <w:i w:val="0"/>
          <w:sz w:val="24"/>
        </w:rPr>
        <w:t>Fish supplies the majority of the animal protein consumed in Bangladesh and sustains a livelihood system that engages millions of fishers, traders, transporters, ice-plant workers and market labourers. In 2023-24 the country produced 50.18 lakh metric tonnes of fish, of which inland open-water capture contributed 14.11 lakh tonnes (28.13 per cent), inland closed-water culture 29.78 lakh tonnes (59.34 per cent) and marine capture 6.29 lakh tonnes (12.53 per cent) (Department of Fisheries [DoF], 2024). The marine sub-sector is small in volume relative to aquaculture but carries disproportionate economic and nutritional weight: it is the only component that cannot be expanded by pond construction, and it supplies the high-value table fish that dominate urban retail.</w:t>
      </w:r>
    </w:p>
    <w:p>
      <w:pPr>
        <w:spacing w:line="317" w:lineRule="auto" w:before="0" w:after="200"/>
        <w:jc w:val="left"/>
      </w:pPr>
      <w:r>
        <w:rPr>
          <w:rFonts w:ascii="Times New Roman" w:hAnsi="Times New Roman"/>
          <w:b w:val="0"/>
          <w:i w:val="0"/>
          <w:sz w:val="24"/>
        </w:rPr>
        <w:t>It is also the component under the greatest pressure. Marine production fell by 7.47 per cent in 2023-24, from 6.79 lakh tonnes to 6.29 lakh tonnes, with the industrial trawl fleet down 21.4 per cent (DoF, 2024). The fleet is dominated by small-scale operators: roughly 28,575 artisanal and mechanised vessels produce 5.14 lakh tonnes (81.74 per cent of the marine catch) alongside 237 industrial trawlers producing 1.15 lakh tonnes. Fishing remains confined to waters shallower than 200 metres even though Bangladesh holds sovereign rights over 118,813 square kilometres of the Bay of Bengal, leaving pelagic and deep-sea resources largely untapped (DoF, 2024).</w:t>
      </w:r>
    </w:p>
    <w:p>
      <w:pPr>
        <w:spacing w:line="317" w:lineRule="auto" w:before="0" w:after="200"/>
        <w:jc w:val="left"/>
      </w:pPr>
      <w:r>
        <w:rPr>
          <w:rFonts w:ascii="Times New Roman" w:hAnsi="Times New Roman"/>
          <w:b w:val="0"/>
          <w:i w:val="0"/>
          <w:sz w:val="24"/>
        </w:rPr>
        <w:t>Hilsa (Tenualosa ilisha), the national fish, a geographical-indication product and the largest single-species fishery in the country, straddles both marine and inland systems. It yielded 5.29 lakh tonnes in 2023-24, about 10.55 per cent of all fish production by volume, itself a 7.33 per cent decline on the previous year (DoF, 2024). Historically marine waters have supplied a little over half of the national hilsa catch, 55 per cent in 2017-18 (Fisheries Research Institute [FRI], 2018), which places the Chattogram coast and its markets at the centre of the country's most sensitive fishery.</w:t>
      </w:r>
    </w:p>
    <w:p>
      <w:pPr>
        <w:spacing w:line="317" w:lineRule="auto" w:before="0" w:after="200"/>
        <w:jc w:val="left"/>
      </w:pPr>
      <w:r>
        <w:rPr>
          <w:rFonts w:ascii="Times New Roman" w:hAnsi="Times New Roman"/>
          <w:b w:val="0"/>
          <w:i w:val="0"/>
          <w:sz w:val="24"/>
        </w:rPr>
        <w:t>Chattogram is Bangladesh's principal marine fish landing and trading hub, where catch from the Bay of Bengal coast is landed, auctioned and redistributed both within the metropolitan retail system and onward to inland wholesale centres. What distinguishes Chattogram as a research site is that the entire marketing chain is present within one urban economy: beach landing points where first sale occurs, wholesale assembly yards (arats) where commission agents intermediate, intermediary traders who move consignments, and dense neighbourhood retail markets where the urban consumer buys. A survey designed inside a single city can therefore observe both ends of the price chain, what the fisher receives and what the consumer pays, within one frame and on the same days, which is not possible when the landing point and the terminal market are hundreds of kilometres apart.</w:t>
      </w:r>
    </w:p>
    <w:p>
      <w:pPr>
        <w:spacing w:line="317" w:lineRule="auto" w:before="0" w:after="200"/>
        <w:jc w:val="left"/>
      </w:pPr>
      <w:r>
        <w:rPr>
          <w:rFonts w:ascii="Times New Roman" w:hAnsi="Times New Roman"/>
          <w:b w:val="0"/>
          <w:i w:val="0"/>
          <w:sz w:val="24"/>
        </w:rPr>
        <w:t>The chain through which that fish travels is conventionally described in four tiers. The aratdar operates the physical arat, provides trading space, weighing and auction coordination, and earns commission or lease income on the lots routed through his premises; he is a commission-earning facilitator, not the owner of the fish. The bepari or faria is a mobile wholesaler who buys at the landing or an upstream yard, transports, and sells on through arats. The khuchra vendor sells to the final consumer from a fixed stall or vending spot. Between the fisher and the consumer, each actor adds a margin and incurs a cost, and the difference between the producer price and the consumer price, the price spread, is the sum of those margins.</w:t>
      </w:r>
    </w:p>
    <w:p>
      <w:pPr>
        <w:pStyle w:val="Heading2"/>
      </w:pPr>
      <w:r>
        <w:t>1.2 Statement of the problem</w:t>
      </w:r>
    </w:p>
    <w:p>
      <w:pPr>
        <w:spacing w:line="317" w:lineRule="auto" w:before="0" w:after="200"/>
        <w:jc w:val="left"/>
      </w:pPr>
      <w:r>
        <w:rPr>
          <w:rFonts w:ascii="Times New Roman" w:hAnsi="Times New Roman"/>
          <w:b w:val="0"/>
          <w:i w:val="0"/>
          <w:sz w:val="24"/>
        </w:rPr>
        <w:t>Every taka the consumer spends on marine fish is divided between the fisher who caught it and the intermediaries who moved, iced, financed and retailed it. The central question of fish marketing research is how that division falls, and whether the intermediaries' share is a payment for services rendered or a rent extracted from an opaque, fragmented and credit-dependent market.</w:t>
      </w:r>
    </w:p>
    <w:p>
      <w:pPr>
        <w:spacing w:line="317" w:lineRule="auto" w:before="0" w:after="200"/>
        <w:jc w:val="left"/>
      </w:pPr>
      <w:r>
        <w:rPr>
          <w:rFonts w:ascii="Times New Roman" w:hAnsi="Times New Roman"/>
          <w:b w:val="0"/>
          <w:i w:val="0"/>
          <w:sz w:val="24"/>
        </w:rPr>
        <w:t>Three features make this question acute for Chattogram. First, the spread is large and its composition is undocumented for this city. Published work reports producer shares ranging from roughly 51 per cent in long multi-stage chains to 74 per cent or more in short coastal ones (Jahan et al., 2024; Rafi et al., 2024), and Dipty et al. (2026) report fishers' shares of 61.46 to 73.83 per cent in coastal Noakhali markets. Where Chattogram sits on that range has not been established by a published multi-market, four-stratum decomposition. Second, the costs that generate the margin are concentrated in perishable-goods infrastructure that is visibly deficient at the point of landing. Ice, cold storage, drainage, sanitation and reliable electricity determine how much fish is lost between the boat and the stall, and where these fail the loss is priced into the margin. Third, the market is information-poor and credit-dependent: prices are negotiated bilaterally, vary within the day and between adjacent markets, and are not publicly posted, while working capital moves largely as trade credit rather than through formal channels.</w:t>
      </w:r>
    </w:p>
    <w:p>
      <w:pPr>
        <w:spacing w:line="317" w:lineRule="auto" w:before="0" w:after="200"/>
        <w:jc w:val="left"/>
      </w:pPr>
      <w:r>
        <w:rPr>
          <w:rFonts w:ascii="Times New Roman" w:hAnsi="Times New Roman"/>
          <w:b w:val="0"/>
          <w:i w:val="0"/>
          <w:sz w:val="24"/>
        </w:rPr>
        <w:t>Against this background the study asks how much of the consumer's taka reaches the fisher in Chattogram's marine fish markets, who captures the remainder, and whether that remainder is justified by the costs incurred and the services performed.</w:t>
      </w:r>
    </w:p>
    <w:p>
      <w:pPr>
        <w:pStyle w:val="Heading2"/>
      </w:pPr>
      <w:r>
        <w:t>1.3 Justification and significance of the study</w:t>
      </w:r>
    </w:p>
    <w:p>
      <w:pPr>
        <w:spacing w:line="317" w:lineRule="auto" w:before="0" w:after="200"/>
        <w:jc w:val="left"/>
      </w:pPr>
      <w:r>
        <w:rPr>
          <w:rFonts w:ascii="Times New Roman" w:hAnsi="Times New Roman"/>
          <w:b w:val="0"/>
          <w:i w:val="0"/>
          <w:sz w:val="24"/>
        </w:rPr>
        <w:t>The study addresses a documented empirical gap. Recent marine-fish margin studies in Bangladesh are anchored either on a single landing point, such as Cox's Bazar or Bagerhat (Rafi et al., 2024), or on inland terminal markets (Nadia et al., 2022). Chattogram, the country's principal marine fish trading hub, is comparatively under-represented in published margin decomposition work, despite offering the methodological advantage that first-sale and consumer prices can be observed within one survey frame. Datta and Mustafa (2026) have recently characterised market structure, price elasticity and affordability across 20 Chattogram retail markets, but their analysis stops at the retail tier and does not decompose the price spread across the intermediaries that stand between landing and stall.</w:t>
      </w:r>
    </w:p>
    <w:p>
      <w:pPr>
        <w:spacing w:line="317" w:lineRule="auto" w:before="0" w:after="200"/>
        <w:jc w:val="left"/>
      </w:pPr>
      <w:r>
        <w:rPr>
          <w:rFonts w:ascii="Times New Roman" w:hAnsi="Times New Roman"/>
          <w:b w:val="0"/>
          <w:i w:val="0"/>
          <w:sz w:val="24"/>
        </w:rPr>
        <w:t>The study also supplies a chain-anchored, internally additive decomposition. Many published margin estimates are built from prices collected at different times, places or tiers, so their components do not sum to the whole. This study fixes the producer price at the landing-linked markets, anchors the retail price on what consumers actually paid, and requires the three segment margins to telescope to the total spread and to sum with the producer's share to 100 per cent of the consumer's taka. Those identities are checked automatically at the end of every analysis run (Section 4.6). It also normalises marketing cost to the kilogram for every stratum rather than for retailers alone, which is what makes a net marketing margin and a marketing efficiency index computable at all.</w:t>
      </w:r>
    </w:p>
    <w:p>
      <w:pPr>
        <w:spacing w:line="317" w:lineRule="auto" w:before="0" w:after="200"/>
        <w:jc w:val="left"/>
      </w:pPr>
      <w:r>
        <w:rPr>
          <w:rFonts w:ascii="Times New Roman" w:hAnsi="Times New Roman"/>
          <w:b w:val="0"/>
          <w:i w:val="0"/>
          <w:sz w:val="24"/>
        </w:rPr>
        <w:t>The findings are of practical relevance to the Department of Fisheries and to the market committees responsible for landing-centre infrastructure, to organisations promoting digital payments and price information services, and to researchers seeking a benchmark for coastal fish marketing in Bangladesh.</w:t>
      </w:r>
    </w:p>
    <w:p>
      <w:pPr>
        <w:pStyle w:val="Heading2"/>
      </w:pPr>
      <w:r>
        <w:t>1.4 Objectives of the study</w:t>
      </w:r>
    </w:p>
    <w:p>
      <w:pPr>
        <w:spacing w:line="317" w:lineRule="auto" w:before="0" w:after="200"/>
        <w:jc w:val="left"/>
      </w:pPr>
      <w:r>
        <w:rPr>
          <w:rFonts w:ascii="Times New Roman" w:hAnsi="Times New Roman"/>
          <w:b w:val="0"/>
          <w:i w:val="0"/>
          <w:sz w:val="24"/>
        </w:rPr>
        <w:t>The broad objective of the study is to analyse the marketing system of commercially important marine fish species in the Chattogram metropolitan region and to establish how the consumer's taka is divided between the fisher and the intermediaries who stand between him and the market. Three specific objectives are pursued:</w:t>
      </w:r>
    </w:p>
    <w:p>
      <w:pPr>
        <w:spacing w:line="317" w:lineRule="auto" w:before="0" w:after="160"/>
        <w:ind w:left="576"/>
        <w:jc w:val="left"/>
      </w:pPr>
      <w:r>
        <w:rPr>
          <w:rFonts w:ascii="Times New Roman" w:hAnsi="Times New Roman"/>
          <w:b w:val="0"/>
          <w:i w:val="0"/>
          <w:sz w:val="24"/>
        </w:rPr>
        <w:t>1. To describe the socio-economic characteristics, business scale, marketing practices, payment modes, major marketing problems, and market infrastructure of marine fish marketing actors and purchasing consumers in the study markets of Chattogram.</w:t>
      </w:r>
    </w:p>
    <w:p>
      <w:pPr>
        <w:spacing w:line="317" w:lineRule="auto" w:before="0" w:after="160"/>
        <w:ind w:left="576"/>
        <w:jc w:val="left"/>
      </w:pPr>
      <w:r>
        <w:rPr>
          <w:rFonts w:ascii="Times New Roman" w:hAnsi="Times New Roman"/>
          <w:b w:val="0"/>
          <w:i w:val="0"/>
          <w:sz w:val="24"/>
        </w:rPr>
        <w:t>2. To identify the marketing channels and product and payment flows of marine fish in Chattogram, and to estimate the marketing costs, margins, net profits, price spread, producer's share, and marketing efficiency at different stages of the marketing system.</w:t>
      </w:r>
    </w:p>
    <w:p>
      <w:pPr>
        <w:spacing w:line="317" w:lineRule="auto" w:before="0" w:after="160"/>
        <w:ind w:left="576"/>
        <w:jc w:val="left"/>
      </w:pPr>
      <w:r>
        <w:rPr>
          <w:rFonts w:ascii="Times New Roman" w:hAnsi="Times New Roman"/>
          <w:b w:val="0"/>
          <w:i w:val="0"/>
          <w:sz w:val="24"/>
        </w:rPr>
        <w:t>3. To examine spatial and species-wise variation in marine fish prices and marketing performance across the six study markets, and to identify market pairs with significant price differences.</w:t>
      </w:r>
    </w:p>
    <w:p>
      <w:pPr>
        <w:pStyle w:val="Heading2"/>
      </w:pPr>
      <w:r>
        <w:t>1.5 Research questions</w:t>
      </w:r>
    </w:p>
    <w:p>
      <w:pPr>
        <w:spacing w:line="317" w:lineRule="auto" w:before="0" w:after="200"/>
        <w:jc w:val="left"/>
      </w:pPr>
      <w:r>
        <w:rPr>
          <w:rFonts w:ascii="Times New Roman" w:hAnsi="Times New Roman"/>
          <w:b w:val="0"/>
          <w:i w:val="0"/>
          <w:sz w:val="24"/>
        </w:rPr>
        <w:t>Each objective is addressed through a research question that carries a designated statistical test, fixed before the data were inspected. RQ1, on the characteristics, practices, constraints and operating conditions of the market actors and consumers, is addressed with descriptive statistics, frequencies and cross-tabulation across the Form A, B, R, M and C modules. RQ2, on the marketing channels and flows and on how the consumer's taka is divided across the chain, is addressed by chain decomposition of the buy-and-sell quotations, the cost modules and the consumer slips, with Mann-Whitney U tests comparing margins across strata. RQ3, on whether prices and margins of the same species vary across the six study markets, is addressed by Kruskal-Wallis H followed by Dunn post-hoc comparisons under Holm familywise error control. Section 3.8 sets out the full analytical plan, including the normality screening and the sparse-cell fallbacks that precede these tests and the exploratory threshold at which they are executed.</w:t>
      </w:r>
    </w:p>
    <w:p>
      <w:pPr>
        <w:pStyle w:val="Heading2"/>
      </w:pPr>
      <w:r>
        <w:t>1.6 Scope and limitations of the study</w:t>
      </w:r>
    </w:p>
    <w:p>
      <w:pPr>
        <w:spacing w:line="317" w:lineRule="auto" w:before="0" w:after="200"/>
        <w:jc w:val="left"/>
      </w:pPr>
      <w:r>
        <w:rPr>
          <w:rFonts w:ascii="Times New Roman" w:hAnsi="Times New Roman"/>
          <w:b w:val="0"/>
          <w:i w:val="0"/>
          <w:sz w:val="24"/>
        </w:rPr>
        <w:t>The study is confined to six markets in the Chattogram metropolitan region, ten commercially important marine fish species, 120 respondents comprising 90 traders in three strata plus 30 consumers, and a single-season cross-sectional window in early March 2026. It measures prices, costs, margins, channel structure, payment behaviour and market infrastructure. It does not measure fish quality biologically, nutritional outcomes, or the economics of the fishing operation itself. Producer-side prices are proxied by first-sale quotations at the two landing-linked markets rather than by boat-level interviews with fishers, a proxy whose status is carried explicitly into every producer-share figure (Section 3.11). The full statement of methodological limitations appears in Section 3.11 and its bearing on interpretation is restated in Section 5.5.</w:t>
      </w:r>
    </w:p>
    <w:p>
      <w:pPr>
        <w:spacing w:line="317" w:lineRule="auto" w:before="0" w:after="200"/>
        <w:jc w:val="left"/>
      </w:pPr>
      <w:r>
        <w:rPr>
          <w:rFonts w:ascii="Times New Roman" w:hAnsi="Times New Roman"/>
          <w:b w:val="0"/>
          <w:i w:val="0"/>
          <w:sz w:val="24"/>
        </w:rPr>
        <w:t>One further consideration bounds the survey window specifically. The collection period, 2 to 7 March 2026, opens at the start of the annual national hilsa conservation ban, which in 2026 was reported to run from 1 March to 30 April and to prohibit the catching, selling, buying, transporting and holding of hilsa. Chattogram is not among the six designated hilsa sanctuary districts, so the local effect operates through supply and price rather than through a local closure. Because the precise terms and geographic reach of the annual notification should be confirmed against the Department of Fisheries circular before any seasonal claim is made, the ban is treated here as a caveat on the interpretation of the Ilish results and not as a measured variable.</w:t>
      </w:r>
    </w:p>
    <w:p>
      <w:pPr>
        <w:pStyle w:val="Heading2"/>
      </w:pPr>
      <w:r>
        <w:t>1.7 Definition of key terms</w:t>
      </w:r>
    </w:p>
    <w:p>
      <w:pPr>
        <w:spacing w:line="317" w:lineRule="auto" w:before="0" w:after="200"/>
        <w:jc w:val="left"/>
      </w:pPr>
      <w:r>
        <w:rPr>
          <w:rFonts w:ascii="Times New Roman" w:hAnsi="Times New Roman"/>
          <w:b w:val="0"/>
          <w:i w:val="0"/>
          <w:sz w:val="24"/>
        </w:rPr>
        <w:t>Arat: a wholesale fish trading yard where lots are assembled, weighed and auctioned under the management of its operator. Aratdar: the operator of an arat, a commission-earning facilitator who provides space, weighing and auction coordination but does not take ownership of the fish. Bepari: a mobile wholesaler who buys at landing points or upstream yards, transports, and sells through arats to retailers or other wholesalers. Faria: a smaller-scale, shorter-distance variant of the bepari. Khuchra: a vendor selling directly to final consumers from a fixed stall or vending spot. Price spread: consumer price minus producer price, in BDT per kilogram. Marketing margin: the difference between a trader's selling and buying price for the same species-day quote. Marketing cost: all itemised cash expenses incurred by a trader, normalised to BDT per kilogram handled. Gross marketing margin: price spread as a percentage of the consumer price. Net marketing margin: price spread less total chain marketing cost, as a percentage of the consumer price. Producer's share: producer price as a percentage of the consumer price. Marketing efficiency: the Shepherd-type ratio of output value to total marketing cost plus margins. MFS: mobile financial service, in Bangladeshi practice bKash, Nagad or a comparable phone-based payment. Maund: a traditional unit of mass, converted throughout at 1 maund = 37.32 kg. Chain-complete species: a species with valid quotations at all four chain levels, at least three consumer-purchase observations and at least three markets.</w:t>
      </w:r>
    </w:p>
    <w:p>
      <w:pPr>
        <w:pStyle w:val="Heading2"/>
      </w:pPr>
      <w:r>
        <w:t>1.8 Organisation of the paper</w:t>
      </w:r>
    </w:p>
    <w:p>
      <w:pPr>
        <w:spacing w:line="317" w:lineRule="auto" w:before="0" w:after="200"/>
        <w:jc w:val="left"/>
      </w:pPr>
      <w:r>
        <w:rPr>
          <w:rFonts w:ascii="Times New Roman" w:hAnsi="Times New Roman"/>
          <w:b w:val="0"/>
          <w:i w:val="0"/>
          <w:sz w:val="24"/>
        </w:rPr>
        <w:t>The paper comprises five chapters. Chapter 1 sets out the background, the problem, the justification, the three objectives, the research questions and the scope. Chapter 2 reviews the literature on fish marketing channels, margins and producer shares in Bangladesh and identifies the gap the study addresses. Chapter 3 describes the study area, the research design, the sampling procedure, the instruments, the measurement of variables, the analytical framework and the statistical methods, together with the quality-assurance, ethical and limitations provisions. Chapter 4 presents and discusses the results. Chapter 5 summarises the findings against the objectives, sets out conclusions, recommends measures for policy and market management, and identifies directions for further research. References follow, then five appendices.</w:t>
      </w:r>
    </w:p>
    <w:p>
      <w:r>
        <w:br w:type="page"/>
      </w:r>
    </w:p>
    <w:p>
      <w:pPr>
        <w:spacing w:line="276" w:lineRule="auto" w:before="0" w:after="120"/>
        <w:jc w:val="center"/>
      </w:pPr>
      <w:r>
        <w:rPr>
          <w:rFonts w:ascii="Times New Roman" w:hAnsi="Times New Roman"/>
          <w:b/>
          <w:i w:val="0"/>
          <w:sz w:val="32"/>
        </w:rPr>
        <w:t>CHAPTER 2</w:t>
      </w:r>
    </w:p>
    <w:p>
      <w:pPr>
        <w:spacing w:line="276" w:lineRule="auto" w:before="0" w:after="120"/>
        <w:jc w:val="center"/>
      </w:pPr>
      <w:r>
        <w:rPr>
          <w:rFonts w:ascii="Times New Roman" w:hAnsi="Times New Roman"/>
          <w:b/>
          <w:i w:val="0"/>
          <w:sz w:val="32"/>
        </w:rPr>
        <w:t>REVIEW OF LITERATURE</w:t>
      </w:r>
    </w:p>
    <w:p>
      <w:pPr>
        <w:spacing w:line="317" w:lineRule="auto" w:before="0" w:after="200"/>
        <w:jc w:val="left"/>
      </w:pPr>
    </w:p>
    <w:p>
      <w:pPr>
        <w:pStyle w:val="Heading2"/>
      </w:pPr>
      <w:r>
        <w:t>2.1 Conceptual framework of marketing margin analysis</w:t>
      </w:r>
    </w:p>
    <w:p>
      <w:pPr>
        <w:spacing w:line="317" w:lineRule="auto" w:before="0" w:after="200"/>
        <w:jc w:val="left"/>
      </w:pPr>
      <w:r>
        <w:rPr>
          <w:rFonts w:ascii="Times New Roman" w:hAnsi="Times New Roman"/>
          <w:b w:val="0"/>
          <w:i w:val="0"/>
          <w:sz w:val="24"/>
        </w:rPr>
        <w:t>The analytical vocabulary used throughout this study follows the classic agricultural-marketing tradition. Kohls and Uhl (1980) define the price spread as the difference between what the consumer pays and what the producer receives, and decompose it into the margins of the intermediaries plus the marketing costs they incur. Shepherd's (1965) efficiency ratio and the producer-side formulation of Acharya and Agarwal (1987) translate that decomposition into summary indices. The producer's share, defined as the producer price expressed as a percentage of the consumer price, remains the most widely reported summary statistic because it can be derived from two prices alone and is comparable across studies and commodities.</w:t>
      </w:r>
    </w:p>
    <w:p>
      <w:pPr>
        <w:spacing w:line="317" w:lineRule="auto" w:before="0" w:after="200"/>
        <w:jc w:val="left"/>
      </w:pPr>
      <w:r>
        <w:rPr>
          <w:rFonts w:ascii="Times New Roman" w:hAnsi="Times New Roman"/>
          <w:b w:val="0"/>
          <w:i w:val="0"/>
          <w:sz w:val="24"/>
        </w:rPr>
        <w:t>Two distinctions matter for interpretation. The first is between gross and net margin. A gross margin measures the price difference across a segment; a net margin deducts the marketing cost incurred in creating that difference. A study that reports only the gross margin will systematically overstate the intermediary's gain, and the overstatement is largest where the cost structure is heaviest. The second is between the consumer-referenced and producer-referenced forms of the efficiency ratio. They answer different questions, value delivered to the consumer per unit of cost versus value retained by the producer per unit of cost, and should be reported side by side rather than treated as interchangeable.</w:t>
      </w:r>
    </w:p>
    <w:p>
      <w:pPr>
        <w:pStyle w:val="Heading2"/>
      </w:pPr>
      <w:r>
        <w:t>2.2 Marketing channels and producer's share in Bangladesh fisheries</w:t>
      </w:r>
    </w:p>
    <w:p>
      <w:pPr>
        <w:spacing w:line="317" w:lineRule="auto" w:before="0" w:after="200"/>
        <w:jc w:val="left"/>
      </w:pPr>
      <w:r>
        <w:rPr>
          <w:rFonts w:ascii="Times New Roman" w:hAnsi="Times New Roman"/>
          <w:b w:val="0"/>
          <w:i w:val="0"/>
          <w:sz w:val="24"/>
        </w:rPr>
        <w:t>Bangladesh fish marketing studies almost always report the auction-mediated channel in which aratdars, beparis and farias, and khuchra retailers form the backbone between landing centres and consumers. Islam et al. (2001) provided one of the first empirical accounts of the marine fish marketing system, and Islam et al. (2006) subsequently documented the marketing and value chain of commercially important coastal and marine aquatic products across Cox's Bazar, Chattogram, Patuakhali, Noakhali, Khulna, Satkhira and Bagerhat. Their work reports marketing margins of around 30 per cent of the consumer price for bombay duck and shrimp, with fishermen receiving about 68 per cent of the consumer's purchase price for certain marine species.</w:t>
      </w:r>
    </w:p>
    <w:p>
      <w:pPr>
        <w:spacing w:line="317" w:lineRule="auto" w:before="0" w:after="200"/>
        <w:jc w:val="left"/>
      </w:pPr>
      <w:r>
        <w:rPr>
          <w:rFonts w:ascii="Times New Roman" w:hAnsi="Times New Roman"/>
          <w:b w:val="0"/>
          <w:i w:val="0"/>
          <w:sz w:val="24"/>
        </w:rPr>
        <w:t>The closest recent peer-reviewed benchmark is Jahan et al. (2024), who analysed the marketing margin and profit structure of nine commercially important marine fish species of Bangladesh. They report that marketing margins and profits are systematically higher in long chains than in short chains close to the landing centre, that secondary and consumer-market margins have risen over two decades while primary-market margins fell, and that aratdar commissions run at 3 to 6 per cent of lot value. Rafi et al. (2024), working on sea bass in Bagerhat, report a marketing margin of 26 per cent with fishermen receiving 74, 80 and 90 per cent of the consumer purchase price in the primary, secondary and retail markets respectively, and identify five intermediaries in the local channel against four in distant-market channels. Dipty et al. (2026), surveying 289 respondents across four markets in coastal Noakhali, report fishers' shares ranging from 61.46 to 73.83 per cent and intermediaries' shares from 16.90 to 29.90 per cent.</w:t>
      </w:r>
    </w:p>
    <w:p>
      <w:pPr>
        <w:spacing w:line="317" w:lineRule="auto" w:before="0" w:after="200"/>
        <w:jc w:val="left"/>
      </w:pPr>
      <w:r>
        <w:rPr>
          <w:rFonts w:ascii="Times New Roman" w:hAnsi="Times New Roman"/>
          <w:b w:val="0"/>
          <w:i w:val="0"/>
          <w:sz w:val="24"/>
        </w:rPr>
        <w:t>The recurring gradient in this literature is that producer shares fall as the channel lengthens. Landing-linked city chains of the kind studied here typically leave 70 to 75 per cent with the fisherman, whereas five-or-more-stage national chains compress the fisherman's share towards a quarter of the terminal retail price. This study's design samples within Chattogram, so its producer shares should be compared with landing-city benchmarks rather than with inland terminal-market chains, and Chapter 4 states this explicitly to pre-empt a misleading comparison.</w:t>
      </w:r>
    </w:p>
    <w:p>
      <w:pPr>
        <w:pStyle w:val="Heading2"/>
      </w:pPr>
      <w:r>
        <w:t>2.3 Marketing costs, infrastructure and constraints</w:t>
      </w:r>
    </w:p>
    <w:p>
      <w:pPr>
        <w:spacing w:line="317" w:lineRule="auto" w:before="0" w:after="200"/>
        <w:jc w:val="left"/>
      </w:pPr>
      <w:r>
        <w:rPr>
          <w:rFonts w:ascii="Times New Roman" w:hAnsi="Times New Roman"/>
          <w:b w:val="0"/>
          <w:i w:val="0"/>
          <w:sz w:val="24"/>
        </w:rPr>
        <w:t>Structural studies emphasise that informal, spatially fragmented markets lengthen chains and raise costs. Nadia et al. (2022), studying three markets in Rajbari, recorded 109 species of fish and shellfish and found that marine fishes arrived from Khulna, Chattogram, Cox's Bazar, Jashore, Barishal, Chandpur and Bhola, with the market margin of marine fishes comparatively higher than that of freshwater fishes. Their constraint ranking places unplanned market location first, with a problem index of 0.80, followed by insufficient drainage, low supply, high transportation cost and traditional fish transportation, and they recommend modern markets equipped with cold storage and ice factories. Dipty et al. (2026) quantify the cost side directly: icing accounts for 34 per cent and transportation for 27 per cent of marketing cost, and regression analysis shows landing-centre distance, age and years of experience affecting retail prices negatively, while marketing channels, marketing costs and education affect them positively.</w:t>
      </w:r>
    </w:p>
    <w:p>
      <w:pPr>
        <w:spacing w:line="317" w:lineRule="auto" w:before="0" w:after="200"/>
        <w:jc w:val="left"/>
      </w:pPr>
      <w:r>
        <w:rPr>
          <w:rFonts w:ascii="Times New Roman" w:hAnsi="Times New Roman"/>
          <w:b w:val="0"/>
          <w:i w:val="0"/>
          <w:sz w:val="24"/>
        </w:rPr>
        <w:t>On the demand side, digital payment adoption has advanced rapidly in Bangladesh and is now routinely observed at the consumer end of food markets, although cash remains dominant in wet markets. The relevant point for this study is empirical rather than theoretical: payment-mode composition must be measured separately from payment-mode adoption behaviour, because the two can move in opposite directions across strata (Section 4.2).</w:t>
      </w:r>
    </w:p>
    <w:p>
      <w:pPr>
        <w:pStyle w:val="Heading2"/>
      </w:pPr>
      <w:r>
        <w:t>2.4 Spatial price variation and market integration</w:t>
      </w:r>
    </w:p>
    <w:p>
      <w:pPr>
        <w:spacing w:line="317" w:lineRule="auto" w:before="0" w:after="200"/>
        <w:jc w:val="left"/>
      </w:pPr>
      <w:r>
        <w:rPr>
          <w:rFonts w:ascii="Times New Roman" w:hAnsi="Times New Roman"/>
          <w:b w:val="0"/>
          <w:i w:val="0"/>
          <w:sz w:val="24"/>
        </w:rPr>
        <w:t>Price dispersion across markets within a city is the observable counterpart of information failure. Datta and Mustafa (2026) analyse 42 marine fish species across 20 retail markets in Chattogram and identify three distinct market clusters, with retail availability differing significantly from national production patterns: pomfret, tuna and jewfish are overrepresented while hilsa, Bombay duck and sardines are underrepresented. Their elasticity analysis indicates that aggregate demand for marine fish in Chattogram is relatively inelastic but remains responsive to price, with a simulated 10 per cent supply reduction raising projected retail prices by 8.10 per cent, and they find 95.2 per cent of species highly or moderately affordable. Their evidence of clustering within a single city makes spatial price variation a plausible expectation for the six markets studied here, and their supply-sensitivity result gives a reason to expect the dispersion to be more than random noise.</w:t>
      </w:r>
    </w:p>
    <w:p>
      <w:pPr>
        <w:pStyle w:val="Heading2"/>
      </w:pPr>
      <w:r>
        <w:t>2.5 Statistical approaches in comparable studies</w:t>
      </w:r>
    </w:p>
    <w:p>
      <w:pPr>
        <w:spacing w:line="317" w:lineRule="auto" w:before="0" w:after="200"/>
        <w:jc w:val="left"/>
      </w:pPr>
      <w:r>
        <w:rPr>
          <w:rFonts w:ascii="Times New Roman" w:hAnsi="Times New Roman"/>
          <w:b w:val="0"/>
          <w:i w:val="0"/>
          <w:sz w:val="24"/>
        </w:rPr>
        <w:t>Because fish prices in informal markets rarely satisfy normality or homogeneity of variance, comparable studies rely on distribution-free procedures. This study pre-registers Kruskal-Wallis H with Dunn post-hoc under Holm step-down control for inter-market price comparisons (Kruskal &amp; Wallis, 1952; Dunn, 1964; Holm, 1979), Mann-Whitney U for stratum margin contrasts, Wilcoxon signed-rank for matched buyer-seller pairs, chi-square with a sparse-cell fallback for payment-mode adoption, and Spearman's rank correlation for the marketing-cost and profit relationship, all evaluated two-sidedly at the five per cent level and preceded by Shapiro-Wilk normality screening (Section 3.8). Wilcoxon signed-rank validation of matched buy-versus-sell self-reports has been recommended as a quality screen in market surveys of this type, with the caveat that the number of genuinely matched pairs is usually small, so the test should be read as a diagnostic rather than a powered hypothesis test.</w:t>
      </w:r>
    </w:p>
    <w:p>
      <w:pPr>
        <w:pStyle w:val="Heading2"/>
      </w:pPr>
      <w:r>
        <w:t>2.6 Research gap addressed by this study</w:t>
      </w:r>
    </w:p>
    <w:p>
      <w:pPr>
        <w:spacing w:line="317" w:lineRule="auto" w:before="0" w:after="200"/>
        <w:jc w:val="left"/>
      </w:pPr>
      <w:r>
        <w:rPr>
          <w:rFonts w:ascii="Times New Roman" w:hAnsi="Times New Roman"/>
          <w:b w:val="0"/>
          <w:i w:val="0"/>
          <w:sz w:val="24"/>
        </w:rPr>
        <w:t>Two gaps recur in the literature reviewed above. First, despite Chattogram being the country's principal marine fish trading hub, published margin decomposition work for the city is thin. Datta and Mustafa (2026) characterise the retail tier comprehensively across 20 markets but do not decompose the spread across intermediaries, while the margin studies that do decompose it are anchored elsewhere, in Bagerhat (Rafi et al., 2024), Rajbari (Nadia et al., 2022), Noakhali (Dipty et al., 2026) or on national species series (Jahan et al., 2024). Chattogram combines landing-linked wholesale arats with dense retail markets within one urban system, which permits first-sale and consumer prices to be observed in a single survey frame. Second, published work rarely validates trader-quoted margins against matched transaction pairs and consumer exit slips. This study contributes a six-market, four-stratum price chain for ten commercial marine species in which every margin estimate is chain-anchored, internally additive by construction, and screened by matched-pair and consumer-slip checks.</w:t>
      </w:r>
    </w:p>
    <w:p>
      <w:r>
        <w:br w:type="page"/>
      </w:r>
    </w:p>
    <w:p>
      <w:pPr>
        <w:spacing w:line="276" w:lineRule="auto" w:before="0" w:after="120"/>
        <w:jc w:val="center"/>
      </w:pPr>
      <w:r>
        <w:rPr>
          <w:rFonts w:ascii="Times New Roman" w:hAnsi="Times New Roman"/>
          <w:b/>
          <w:i w:val="0"/>
          <w:sz w:val="32"/>
        </w:rPr>
        <w:t>CHAPTER 3</w:t>
      </w:r>
    </w:p>
    <w:p>
      <w:pPr>
        <w:spacing w:line="276" w:lineRule="auto" w:before="0" w:after="120"/>
        <w:jc w:val="center"/>
      </w:pPr>
      <w:r>
        <w:rPr>
          <w:rFonts w:ascii="Times New Roman" w:hAnsi="Times New Roman"/>
          <w:b/>
          <w:i w:val="0"/>
          <w:sz w:val="32"/>
        </w:rPr>
        <w:t>MATERIALS AND METHODS</w:t>
      </w:r>
    </w:p>
    <w:p>
      <w:pPr>
        <w:spacing w:line="317" w:lineRule="auto" w:before="0" w:after="200"/>
        <w:jc w:val="left"/>
      </w:pPr>
    </w:p>
    <w:p>
      <w:pPr>
        <w:pStyle w:val="Heading2"/>
      </w:pPr>
      <w:r>
        <w:t>3.1 Description of the study area</w:t>
      </w:r>
    </w:p>
    <w:p>
      <w:pPr>
        <w:spacing w:line="317" w:lineRule="auto" w:before="0" w:after="200"/>
        <w:jc w:val="left"/>
      </w:pPr>
      <w:r>
        <w:rPr>
          <w:rFonts w:ascii="Times New Roman" w:hAnsi="Times New Roman"/>
          <w:b w:val="0"/>
          <w:i w:val="0"/>
          <w:sz w:val="24"/>
        </w:rPr>
        <w:t>The study area covers the marine fish marketing network of the Chattogram metropolitan region, the principal coastal trade hub of Bangladesh through which a large share of the country's marine landings passes before reaching inland markets (DoF, 2024). Chattogram was selected because it combines all structural segments of the marine fish channel within one urban economy: beach landing points, wholesale assembly markets, intermediary trading yards and dense retail neighbourhoods.</w:t>
      </w:r>
    </w:p>
    <w:p>
      <w:pPr>
        <w:spacing w:line="317" w:lineRule="auto" w:before="0" w:after="200"/>
        <w:jc w:val="left"/>
      </w:pPr>
      <w:r>
        <w:rPr>
          <w:rFonts w:ascii="Times New Roman" w:hAnsi="Times New Roman"/>
          <w:b w:val="0"/>
          <w:i w:val="0"/>
          <w:sz w:val="24"/>
        </w:rPr>
        <w:t>Six markets constitute the empirical frame (Table 3.1). Two are landing-linked and operate on a mixed wholesale-cum-retail pattern, Fishery Ghat (M1), which opens at 03:30 and is the city's principal first-sale point, and Patenga (M6), a coast-side market opening at 04:00. Four are retail markets distributed across old-town, central and newer residential areas, Chawkbazar (M2), Kazir Dewri (M3), Karnaphuli Complex (M4) and Bahaddarhat (M5), so that consumer-side demand heterogeneity is represented. The two landing-linked markets are what make producer-side first-sale prices observable within the same survey frame as consumer prices, which is the design advantage noted in Section 1.1. Four of the six (Fishery Ghat, Chawkbazar, Kazir Dewri, Karnaphuli Complex) repeat the sites of the author's earlier 2019 baseline study, supporting a decade-level comparison, while Bahaddarhat and Patenga extend the frame to a newer residential market and a second landing point.</w:t>
      </w:r>
    </w:p>
    <w:p>
      <w:pPr>
        <w:keepNext/>
        <w:spacing w:line="240" w:lineRule="auto" w:before="200" w:after="60"/>
        <w:jc w:val="center"/>
      </w:pPr>
      <w:r>
        <w:rPr>
          <w:rFonts w:ascii="Times New Roman" w:hAnsi="Times New Roman"/>
          <w:b/>
          <w:i w:val="0"/>
          <w:sz w:val="20"/>
        </w:rPr>
        <w:t>Table 3.1: Study markets, market type and primary analytical contribution</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290"/>
        <w:gridCol w:w="1290"/>
        <w:gridCol w:w="1290"/>
        <w:gridCol w:w="1290"/>
        <w:gridCol w:w="1290"/>
        <w:gridCol w:w="1290"/>
        <w:gridCol w:w="1290"/>
      </w:tblGrid>
      <w:tr>
        <w:tc>
          <w:tcPr>
            <w:tcW w:type="dxa" w:w="792"/>
          </w:tcPr>
          <w:p>
            <w:pPr>
              <w:spacing w:line="240" w:lineRule="auto" w:before="20" w:after="20"/>
              <w:jc w:val="left"/>
            </w:pPr>
            <w:r/>
            <w:r>
              <w:rPr>
                <w:rFonts w:ascii="Times New Roman" w:hAnsi="Times New Roman"/>
                <w:b/>
                <w:sz w:val="20"/>
              </w:rPr>
              <w:t>Code</w:t>
            </w:r>
          </w:p>
        </w:tc>
        <w:tc>
          <w:tcPr>
            <w:tcW w:type="dxa" w:w="1428"/>
          </w:tcPr>
          <w:p>
            <w:pPr>
              <w:spacing w:line="240" w:lineRule="auto" w:before="20" w:after="20"/>
              <w:jc w:val="left"/>
            </w:pPr>
            <w:r/>
            <w:r>
              <w:rPr>
                <w:rFonts w:ascii="Times New Roman" w:hAnsi="Times New Roman"/>
                <w:b/>
                <w:sz w:val="20"/>
              </w:rPr>
              <w:t>Market</w:t>
            </w:r>
          </w:p>
        </w:tc>
        <w:tc>
          <w:tcPr>
            <w:tcW w:type="dxa" w:w="1428"/>
          </w:tcPr>
          <w:p>
            <w:pPr>
              <w:spacing w:line="240" w:lineRule="auto" w:before="20" w:after="20"/>
              <w:jc w:val="left"/>
            </w:pPr>
            <w:r/>
            <w:r>
              <w:rPr>
                <w:rFonts w:ascii="Times New Roman" w:hAnsi="Times New Roman"/>
                <w:b/>
                <w:sz w:val="20"/>
              </w:rPr>
              <w:t>Market type</w:t>
            </w:r>
          </w:p>
        </w:tc>
        <w:tc>
          <w:tcPr>
            <w:tcW w:type="dxa" w:w="1428"/>
          </w:tcPr>
          <w:p>
            <w:pPr>
              <w:spacing w:line="240" w:lineRule="auto" w:before="20" w:after="20"/>
              <w:jc w:val="left"/>
            </w:pPr>
            <w:r/>
            <w:r>
              <w:rPr>
                <w:rFonts w:ascii="Times New Roman" w:hAnsi="Times New Roman"/>
                <w:b/>
                <w:sz w:val="20"/>
              </w:rPr>
              <w:t>Trading hours</w:t>
            </w:r>
          </w:p>
        </w:tc>
        <w:tc>
          <w:tcPr>
            <w:tcW w:type="dxa" w:w="1428"/>
          </w:tcPr>
          <w:p>
            <w:pPr>
              <w:spacing w:line="240" w:lineRule="auto" w:before="20" w:after="20"/>
              <w:jc w:val="right"/>
            </w:pPr>
            <w:r/>
            <w:r>
              <w:rPr>
                <w:rFonts w:ascii="Times New Roman" w:hAnsi="Times New Roman"/>
                <w:b/>
                <w:sz w:val="20"/>
              </w:rPr>
              <w:t>Retail stalls</w:t>
            </w:r>
          </w:p>
        </w:tc>
        <w:tc>
          <w:tcPr>
            <w:tcW w:type="dxa" w:w="1428"/>
          </w:tcPr>
          <w:p>
            <w:pPr>
              <w:spacing w:line="240" w:lineRule="auto" w:before="20" w:after="20"/>
              <w:jc w:val="right"/>
            </w:pPr>
            <w:r/>
            <w:r>
              <w:rPr>
                <w:rFonts w:ascii="Times New Roman" w:hAnsi="Times New Roman"/>
                <w:b/>
                <w:sz w:val="20"/>
              </w:rPr>
              <w:t>Fee arrangement</w:t>
            </w:r>
          </w:p>
        </w:tc>
        <w:tc>
          <w:tcPr>
            <w:tcW w:type="dxa" w:w="1428"/>
          </w:tcPr>
          <w:p>
            <w:pPr>
              <w:spacing w:line="240" w:lineRule="auto" w:before="20" w:after="20"/>
              <w:jc w:val="right"/>
            </w:pPr>
            <w:r/>
            <w:r>
              <w:rPr>
                <w:rFonts w:ascii="Times New Roman" w:hAnsi="Times New Roman"/>
                <w:b/>
                <w:sz w:val="20"/>
              </w:rPr>
              <w:t>Primary analytical contribution</w:t>
            </w:r>
          </w:p>
        </w:tc>
      </w:tr>
      <w:tr>
        <w:tc>
          <w:tcPr>
            <w:tcW w:type="dxa" w:w="792"/>
          </w:tcPr>
          <w:p>
            <w:pPr>
              <w:spacing w:line="240" w:lineRule="auto" w:before="20" w:after="20"/>
              <w:jc w:val="left"/>
            </w:pPr>
            <w:r/>
            <w:r>
              <w:rPr>
                <w:rFonts w:ascii="Times New Roman" w:hAnsi="Times New Roman"/>
                <w:b w:val="0"/>
                <w:sz w:val="20"/>
              </w:rPr>
              <w:t>M1</w:t>
            </w:r>
          </w:p>
        </w:tc>
        <w:tc>
          <w:tcPr>
            <w:tcW w:type="dxa" w:w="1428"/>
          </w:tcPr>
          <w:p>
            <w:pPr>
              <w:spacing w:line="240" w:lineRule="auto" w:before="20" w:after="20"/>
              <w:jc w:val="left"/>
            </w:pPr>
            <w:r/>
            <w:r>
              <w:rPr>
                <w:rFonts w:ascii="Times New Roman" w:hAnsi="Times New Roman"/>
                <w:b w:val="0"/>
                <w:sz w:val="20"/>
              </w:rPr>
              <w:t>Fishery Ghat</w:t>
            </w:r>
          </w:p>
        </w:tc>
        <w:tc>
          <w:tcPr>
            <w:tcW w:type="dxa" w:w="1428"/>
          </w:tcPr>
          <w:p>
            <w:pPr>
              <w:spacing w:line="240" w:lineRule="auto" w:before="20" w:after="20"/>
              <w:jc w:val="left"/>
            </w:pPr>
            <w:r/>
            <w:r>
              <w:rPr>
                <w:rFonts w:ascii="Times New Roman" w:hAnsi="Times New Roman"/>
                <w:b w:val="0"/>
                <w:sz w:val="20"/>
              </w:rPr>
              <w:t>Mixed</w:t>
            </w:r>
          </w:p>
        </w:tc>
        <w:tc>
          <w:tcPr>
            <w:tcW w:type="dxa" w:w="1428"/>
          </w:tcPr>
          <w:p>
            <w:pPr>
              <w:spacing w:line="240" w:lineRule="auto" w:before="20" w:after="20"/>
              <w:jc w:val="left"/>
            </w:pPr>
            <w:r/>
            <w:r>
              <w:rPr>
                <w:rFonts w:ascii="Times New Roman" w:hAnsi="Times New Roman"/>
                <w:b w:val="0"/>
                <w:sz w:val="20"/>
              </w:rPr>
              <w:t>03:30-13:00</w:t>
            </w:r>
          </w:p>
        </w:tc>
        <w:tc>
          <w:tcPr>
            <w:tcW w:type="dxa" w:w="1428"/>
          </w:tcPr>
          <w:p>
            <w:pPr>
              <w:spacing w:line="240" w:lineRule="auto" w:before="20" w:after="20"/>
              <w:jc w:val="right"/>
            </w:pPr>
            <w:r/>
            <w:r>
              <w:rPr>
                <w:rFonts w:ascii="Times New Roman" w:hAnsi="Times New Roman"/>
                <w:b w:val="0"/>
                <w:sz w:val="20"/>
              </w:rPr>
              <w:t>210</w:t>
            </w:r>
          </w:p>
        </w:tc>
        <w:tc>
          <w:tcPr>
            <w:tcW w:type="dxa" w:w="1428"/>
          </w:tcPr>
          <w:p>
            <w:pPr>
              <w:spacing w:line="240" w:lineRule="auto" w:before="20" w:after="20"/>
              <w:jc w:val="right"/>
            </w:pPr>
            <w:r/>
            <w:r>
              <w:rPr>
                <w:rFonts w:ascii="Times New Roman" w:hAnsi="Times New Roman"/>
                <w:b w:val="0"/>
                <w:sz w:val="20"/>
              </w:rPr>
              <w:t>Aratdar</w:t>
            </w:r>
          </w:p>
        </w:tc>
        <w:tc>
          <w:tcPr>
            <w:tcW w:type="dxa" w:w="1428"/>
          </w:tcPr>
          <w:p>
            <w:pPr>
              <w:spacing w:line="240" w:lineRule="auto" w:before="20" w:after="20"/>
              <w:jc w:val="right"/>
            </w:pPr>
            <w:r/>
            <w:r>
              <w:rPr>
                <w:rFonts w:ascii="Times New Roman" w:hAnsi="Times New Roman"/>
                <w:b w:val="0"/>
                <w:sz w:val="20"/>
              </w:rPr>
              <w:t>First-sale (producer-side) price observations</w:t>
            </w:r>
          </w:p>
        </w:tc>
      </w:tr>
      <w:tr>
        <w:tc>
          <w:tcPr>
            <w:tcW w:type="dxa" w:w="792"/>
          </w:tcPr>
          <w:p>
            <w:pPr>
              <w:spacing w:line="240" w:lineRule="auto" w:before="20" w:after="20"/>
              <w:jc w:val="left"/>
            </w:pPr>
            <w:r/>
            <w:r>
              <w:rPr>
                <w:rFonts w:ascii="Times New Roman" w:hAnsi="Times New Roman"/>
                <w:b w:val="0"/>
                <w:sz w:val="20"/>
              </w:rPr>
              <w:t>M2</w:t>
            </w:r>
          </w:p>
        </w:tc>
        <w:tc>
          <w:tcPr>
            <w:tcW w:type="dxa" w:w="1428"/>
          </w:tcPr>
          <w:p>
            <w:pPr>
              <w:spacing w:line="240" w:lineRule="auto" w:before="20" w:after="20"/>
              <w:jc w:val="left"/>
            </w:pPr>
            <w:r/>
            <w:r>
              <w:rPr>
                <w:rFonts w:ascii="Times New Roman" w:hAnsi="Times New Roman"/>
                <w:b w:val="0"/>
                <w:sz w:val="20"/>
              </w:rPr>
              <w:t>Chawkbazar</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06:00-20:00</w:t>
            </w:r>
          </w:p>
        </w:tc>
        <w:tc>
          <w:tcPr>
            <w:tcW w:type="dxa" w:w="1428"/>
          </w:tcPr>
          <w:p>
            <w:pPr>
              <w:spacing w:line="240" w:lineRule="auto" w:before="20" w:after="20"/>
              <w:jc w:val="right"/>
            </w:pPr>
            <w:r/>
            <w:r>
              <w:rPr>
                <w:rFonts w:ascii="Times New Roman" w:hAnsi="Times New Roman"/>
                <w:b w:val="0"/>
                <w:sz w:val="20"/>
              </w:rPr>
              <w:t>160</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and trade volume quotes</w:t>
            </w:r>
          </w:p>
        </w:tc>
      </w:tr>
      <w:tr>
        <w:tc>
          <w:tcPr>
            <w:tcW w:type="dxa" w:w="792"/>
          </w:tcPr>
          <w:p>
            <w:pPr>
              <w:spacing w:line="240" w:lineRule="auto" w:before="20" w:after="20"/>
              <w:jc w:val="left"/>
            </w:pPr>
            <w:r/>
            <w:r>
              <w:rPr>
                <w:rFonts w:ascii="Times New Roman" w:hAnsi="Times New Roman"/>
                <w:b w:val="0"/>
                <w:sz w:val="20"/>
              </w:rPr>
              <w:t>M3</w:t>
            </w:r>
          </w:p>
        </w:tc>
        <w:tc>
          <w:tcPr>
            <w:tcW w:type="dxa" w:w="1428"/>
          </w:tcPr>
          <w:p>
            <w:pPr>
              <w:spacing w:line="240" w:lineRule="auto" w:before="20" w:after="20"/>
              <w:jc w:val="left"/>
            </w:pPr>
            <w:r/>
            <w:r>
              <w:rPr>
                <w:rFonts w:ascii="Times New Roman" w:hAnsi="Times New Roman"/>
                <w:b w:val="0"/>
                <w:sz w:val="20"/>
              </w:rPr>
              <w:t>Kazir Dewri</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06:30-19:30</w:t>
            </w:r>
          </w:p>
        </w:tc>
        <w:tc>
          <w:tcPr>
            <w:tcW w:type="dxa" w:w="1428"/>
          </w:tcPr>
          <w:p>
            <w:pPr>
              <w:spacing w:line="240" w:lineRule="auto" w:before="20" w:after="20"/>
              <w:jc w:val="right"/>
            </w:pPr>
            <w:r/>
            <w:r>
              <w:rPr>
                <w:rFonts w:ascii="Times New Roman" w:hAnsi="Times New Roman"/>
                <w:b w:val="0"/>
                <w:sz w:val="20"/>
              </w:rPr>
              <w:t>85</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and vendor practices</w:t>
            </w:r>
          </w:p>
        </w:tc>
      </w:tr>
      <w:tr>
        <w:tc>
          <w:tcPr>
            <w:tcW w:type="dxa" w:w="792"/>
          </w:tcPr>
          <w:p>
            <w:pPr>
              <w:spacing w:line="240" w:lineRule="auto" w:before="20" w:after="20"/>
              <w:jc w:val="left"/>
            </w:pPr>
            <w:r/>
            <w:r>
              <w:rPr>
                <w:rFonts w:ascii="Times New Roman" w:hAnsi="Times New Roman"/>
                <w:b w:val="0"/>
                <w:sz w:val="20"/>
              </w:rPr>
              <w:t>M4</w:t>
            </w:r>
          </w:p>
        </w:tc>
        <w:tc>
          <w:tcPr>
            <w:tcW w:type="dxa" w:w="1428"/>
          </w:tcPr>
          <w:p>
            <w:pPr>
              <w:spacing w:line="240" w:lineRule="auto" w:before="20" w:after="20"/>
              <w:jc w:val="left"/>
            </w:pPr>
            <w:r/>
            <w:r>
              <w:rPr>
                <w:rFonts w:ascii="Times New Roman" w:hAnsi="Times New Roman"/>
                <w:b w:val="0"/>
                <w:sz w:val="20"/>
              </w:rPr>
              <w:t>Karnaphuli Complex</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06:00-20:00</w:t>
            </w:r>
          </w:p>
        </w:tc>
        <w:tc>
          <w:tcPr>
            <w:tcW w:type="dxa" w:w="1428"/>
          </w:tcPr>
          <w:p>
            <w:pPr>
              <w:spacing w:line="240" w:lineRule="auto" w:before="20" w:after="20"/>
              <w:jc w:val="right"/>
            </w:pPr>
            <w:r/>
            <w:r>
              <w:rPr>
                <w:rFonts w:ascii="Times New Roman" w:hAnsi="Times New Roman"/>
                <w:b w:val="0"/>
                <w:sz w:val="20"/>
              </w:rPr>
              <w:t>120</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Retail prices; comparability with the 2019 baseline</w:t>
            </w:r>
          </w:p>
        </w:tc>
      </w:tr>
      <w:tr>
        <w:tc>
          <w:tcPr>
            <w:tcW w:type="dxa" w:w="792"/>
          </w:tcPr>
          <w:p>
            <w:pPr>
              <w:spacing w:line="240" w:lineRule="auto" w:before="20" w:after="20"/>
              <w:jc w:val="left"/>
            </w:pPr>
            <w:r/>
            <w:r>
              <w:rPr>
                <w:rFonts w:ascii="Times New Roman" w:hAnsi="Times New Roman"/>
                <w:b w:val="0"/>
                <w:sz w:val="20"/>
              </w:rPr>
              <w:t>M5</w:t>
            </w:r>
          </w:p>
        </w:tc>
        <w:tc>
          <w:tcPr>
            <w:tcW w:type="dxa" w:w="1428"/>
          </w:tcPr>
          <w:p>
            <w:pPr>
              <w:spacing w:line="240" w:lineRule="auto" w:before="20" w:after="20"/>
              <w:jc w:val="left"/>
            </w:pPr>
            <w:r/>
            <w:r>
              <w:rPr>
                <w:rFonts w:ascii="Times New Roman" w:hAnsi="Times New Roman"/>
                <w:b w:val="0"/>
                <w:sz w:val="20"/>
              </w:rPr>
              <w:t>Bahaddarhat</w:t>
            </w:r>
          </w:p>
        </w:tc>
        <w:tc>
          <w:tcPr>
            <w:tcW w:type="dxa" w:w="1428"/>
          </w:tcPr>
          <w:p>
            <w:pPr>
              <w:spacing w:line="240" w:lineRule="auto" w:before="20" w:after="20"/>
              <w:jc w:val="left"/>
            </w:pPr>
            <w:r/>
            <w:r>
              <w:rPr>
                <w:rFonts w:ascii="Times New Roman" w:hAnsi="Times New Roman"/>
                <w:b w:val="0"/>
                <w:sz w:val="20"/>
              </w:rPr>
              <w:t>Retail</w:t>
            </w:r>
          </w:p>
        </w:tc>
        <w:tc>
          <w:tcPr>
            <w:tcW w:type="dxa" w:w="1428"/>
          </w:tcPr>
          <w:p>
            <w:pPr>
              <w:spacing w:line="240" w:lineRule="auto" w:before="20" w:after="20"/>
              <w:jc w:val="left"/>
            </w:pPr>
            <w:r/>
            <w:r>
              <w:rPr>
                <w:rFonts w:ascii="Times New Roman" w:hAnsi="Times New Roman"/>
                <w:b w:val="0"/>
                <w:sz w:val="20"/>
              </w:rPr>
              <w:t>06:30-20:00</w:t>
            </w:r>
          </w:p>
        </w:tc>
        <w:tc>
          <w:tcPr>
            <w:tcW w:type="dxa" w:w="1428"/>
          </w:tcPr>
          <w:p>
            <w:pPr>
              <w:spacing w:line="240" w:lineRule="auto" w:before="20" w:after="20"/>
              <w:jc w:val="right"/>
            </w:pPr>
            <w:r/>
            <w:r>
              <w:rPr>
                <w:rFonts w:ascii="Times New Roman" w:hAnsi="Times New Roman"/>
                <w:b w:val="0"/>
                <w:sz w:val="20"/>
              </w:rPr>
              <w:t>110</w:t>
            </w:r>
          </w:p>
        </w:tc>
        <w:tc>
          <w:tcPr>
            <w:tcW w:type="dxa" w:w="1428"/>
          </w:tcPr>
          <w:p>
            <w:pPr>
              <w:spacing w:line="240" w:lineRule="auto" w:before="20" w:after="20"/>
              <w:jc w:val="right"/>
            </w:pPr>
            <w:r/>
            <w:r>
              <w:rPr>
                <w:rFonts w:ascii="Times New Roman" w:hAnsi="Times New Roman"/>
                <w:b w:val="0"/>
                <w:sz w:val="20"/>
              </w:rPr>
              <w:t>Mixed</w:t>
            </w:r>
          </w:p>
        </w:tc>
        <w:tc>
          <w:tcPr>
            <w:tcW w:type="dxa" w:w="1428"/>
          </w:tcPr>
          <w:p>
            <w:pPr>
              <w:spacing w:line="240" w:lineRule="auto" w:before="20" w:after="20"/>
              <w:jc w:val="right"/>
            </w:pPr>
            <w:r/>
            <w:r>
              <w:rPr>
                <w:rFonts w:ascii="Times New Roman" w:hAnsi="Times New Roman"/>
                <w:b w:val="0"/>
                <w:sz w:val="20"/>
              </w:rPr>
              <w:t>Newer-generation retail turnover</w:t>
            </w:r>
          </w:p>
        </w:tc>
      </w:tr>
      <w:tr>
        <w:tc>
          <w:tcPr>
            <w:tcW w:type="dxa" w:w="792"/>
          </w:tcPr>
          <w:p>
            <w:pPr>
              <w:spacing w:line="240" w:lineRule="auto" w:before="20" w:after="20"/>
              <w:jc w:val="left"/>
            </w:pPr>
            <w:r/>
            <w:r>
              <w:rPr>
                <w:rFonts w:ascii="Times New Roman" w:hAnsi="Times New Roman"/>
                <w:b w:val="0"/>
                <w:sz w:val="20"/>
              </w:rPr>
              <w:t>M6</w:t>
            </w:r>
          </w:p>
        </w:tc>
        <w:tc>
          <w:tcPr>
            <w:tcW w:type="dxa" w:w="1428"/>
          </w:tcPr>
          <w:p>
            <w:pPr>
              <w:spacing w:line="240" w:lineRule="auto" w:before="20" w:after="20"/>
              <w:jc w:val="left"/>
            </w:pPr>
            <w:r/>
            <w:r>
              <w:rPr>
                <w:rFonts w:ascii="Times New Roman" w:hAnsi="Times New Roman"/>
                <w:b w:val="0"/>
                <w:sz w:val="20"/>
              </w:rPr>
              <w:t>Patenga</w:t>
            </w:r>
          </w:p>
        </w:tc>
        <w:tc>
          <w:tcPr>
            <w:tcW w:type="dxa" w:w="1428"/>
          </w:tcPr>
          <w:p>
            <w:pPr>
              <w:spacing w:line="240" w:lineRule="auto" w:before="20" w:after="20"/>
              <w:jc w:val="left"/>
            </w:pPr>
            <w:r/>
            <w:r>
              <w:rPr>
                <w:rFonts w:ascii="Times New Roman" w:hAnsi="Times New Roman"/>
                <w:b w:val="0"/>
                <w:sz w:val="20"/>
              </w:rPr>
              <w:t>Mixed</w:t>
            </w:r>
          </w:p>
        </w:tc>
        <w:tc>
          <w:tcPr>
            <w:tcW w:type="dxa" w:w="1428"/>
          </w:tcPr>
          <w:p>
            <w:pPr>
              <w:spacing w:line="240" w:lineRule="auto" w:before="20" w:after="20"/>
              <w:jc w:val="left"/>
            </w:pPr>
            <w:r/>
            <w:r>
              <w:rPr>
                <w:rFonts w:ascii="Times New Roman" w:hAnsi="Times New Roman"/>
                <w:b w:val="0"/>
                <w:sz w:val="20"/>
              </w:rPr>
              <w:t>04:00-12:30</w:t>
            </w:r>
          </w:p>
        </w:tc>
        <w:tc>
          <w:tcPr>
            <w:tcW w:type="dxa" w:w="1428"/>
          </w:tcPr>
          <w:p>
            <w:pPr>
              <w:spacing w:line="240" w:lineRule="auto" w:before="20" w:after="20"/>
              <w:jc w:val="right"/>
            </w:pPr>
            <w:r/>
            <w:r>
              <w:rPr>
                <w:rFonts w:ascii="Times New Roman" w:hAnsi="Times New Roman"/>
                <w:b w:val="0"/>
                <w:sz w:val="20"/>
              </w:rPr>
              <w:t>65</w:t>
            </w:r>
          </w:p>
        </w:tc>
        <w:tc>
          <w:tcPr>
            <w:tcW w:type="dxa" w:w="1428"/>
          </w:tcPr>
          <w:p>
            <w:pPr>
              <w:spacing w:line="240" w:lineRule="auto" w:before="20" w:after="20"/>
              <w:jc w:val="right"/>
            </w:pPr>
            <w:r/>
            <w:r>
              <w:rPr>
                <w:rFonts w:ascii="Times New Roman" w:hAnsi="Times New Roman"/>
                <w:b w:val="0"/>
                <w:sz w:val="20"/>
              </w:rPr>
              <w:t>Committee</w:t>
            </w:r>
          </w:p>
        </w:tc>
        <w:tc>
          <w:tcPr>
            <w:tcW w:type="dxa" w:w="1428"/>
          </w:tcPr>
          <w:p>
            <w:pPr>
              <w:spacing w:line="240" w:lineRule="auto" w:before="20" w:after="20"/>
              <w:jc w:val="right"/>
            </w:pPr>
            <w:r/>
            <w:r>
              <w:rPr>
                <w:rFonts w:ascii="Times New Roman" w:hAnsi="Times New Roman"/>
                <w:b w:val="0"/>
                <w:sz w:val="20"/>
              </w:rPr>
              <w:t>Coast-side buy prices supporting producer-share estimation</w:t>
            </w:r>
          </w:p>
        </w:tc>
      </w:tr>
    </w:tbl>
    <w:p>
      <w:pPr>
        <w:spacing w:line="264" w:lineRule="auto" w:before="40" w:after="120"/>
        <w:jc w:val="left"/>
      </w:pPr>
      <w:r>
        <w:rPr>
          <w:rFonts w:ascii="Times New Roman" w:hAnsi="Times New Roman"/>
          <w:b w:val="0"/>
          <w:i/>
          <w:sz w:val="18"/>
        </w:rPr>
        <w:t>Source: Form M direct observation, 3 to 7 March 2026. Fee arrangement records whether market dues accrue to an aratdar, to a market committee or to a mixed arrangement.</w:t>
      </w:r>
    </w:p>
    <w:p>
      <w:pPr>
        <w:pStyle w:val="Heading2"/>
      </w:pPr>
      <w:r>
        <w:t>3.2 Study period and research design</w:t>
      </w:r>
    </w:p>
    <w:p>
      <w:pPr>
        <w:spacing w:line="317" w:lineRule="auto" w:before="0" w:after="200"/>
        <w:jc w:val="left"/>
      </w:pPr>
      <w:r>
        <w:rPr>
          <w:rFonts w:ascii="Times New Roman" w:hAnsi="Times New Roman"/>
          <w:b w:val="0"/>
          <w:i w:val="0"/>
          <w:sz w:val="24"/>
        </w:rPr>
        <w:t>The investigation follows a descriptive-cum-analytical cross-sectional survey design executed within a ten-day operational window: one preparation day including pilot testing, approximately five consecutive days of primary data collection distributed over different weekday market sessions, one reserve day for weather or availability contingencies, and the remaining days for data entry, verification and analysis. Field scheduling spreads each market across different weekdays, which the collection log confirms, so that systematic differences between busy and slack trading sessions do not contaminate between-market price comparisons. The single-season snapshot character of this design is reported transparently as a limitation in Section 3.11, and temporal interpretation is restricted to the survey period. In the implementation reported here the pilot fell on 2 March 2026 and collection on 3 to 7 March 2026.</w:t>
      </w:r>
    </w:p>
    <w:p>
      <w:pPr>
        <w:spacing w:line="317" w:lineRule="auto" w:before="0" w:after="200"/>
        <w:jc w:val="left"/>
      </w:pPr>
      <w:r>
        <w:rPr>
          <w:rFonts w:ascii="Times New Roman" w:hAnsi="Times New Roman"/>
          <w:b w:val="0"/>
          <w:i w:val="0"/>
          <w:sz w:val="24"/>
        </w:rPr>
        <w:t>The unit of inquiry is an individual market actor interviewed once. The unit of price observation is one respondent-by-species quote, expressed in Bangladeshi taka (BDT) per kilogram under fresh, ice-touched, whole-fish condition. Because respondents transact in heterogeneous lots, quantities quoted in maunds are converted using 1 maund = 37.32 kg, and monetary values are standardised to per-kilogram terms during data preparation. Prices refer to transactions on the interview day, supplemented by the previous high-volume day when trade was thin, and the reference day is recorded on every form.</w:t>
      </w:r>
    </w:p>
    <w:p>
      <w:pPr>
        <w:pStyle w:val="Heading2"/>
      </w:pPr>
      <w:r>
        <w:t>3.3 Target population and sampling procedure</w:t>
      </w:r>
    </w:p>
    <w:p>
      <w:pPr>
        <w:pStyle w:val="Heading3"/>
      </w:pPr>
      <w:r>
        <w:t>3.3.1 Population definition</w:t>
      </w:r>
    </w:p>
    <w:p>
      <w:pPr>
        <w:spacing w:line="317" w:lineRule="auto" w:before="0" w:after="200"/>
        <w:jc w:val="left"/>
      </w:pPr>
      <w:r>
        <w:rPr>
          <w:rFonts w:ascii="Times New Roman" w:hAnsi="Times New Roman"/>
          <w:b w:val="0"/>
          <w:i w:val="0"/>
          <w:sz w:val="24"/>
        </w:rPr>
        <w:t>The target population comprises all market intermediaries handling the selected marine fish species at the six study markets, together with purchasing consumers at those markets. Three operator categories define the sampling strata. An aratdar operates the physical arat, provides trading space plus services such as weighing facilities and auction coordination, and earns commission or lease income on transactions routed through his premises; he is a commission-earning facilitator, not the owner of the fish. A bepari or faria is a mobile wholesaler who buys at landing points or upstream yards, transports consignments, and sells through arats either to retailers or to other wholesalers. A khuchra vendor sells directly to end-consumers from fixed stalls or vending spots inside the market. In the realised sample the 30 bepari or faria respondents comprise 22 beparis, 73.3 per cent, and 8 farias, 26.7 per cent, and 63.3 per cent of them trade year-round against 36.7 per cent trading seasonally.</w:t>
      </w:r>
    </w:p>
    <w:p>
      <w:pPr>
        <w:pStyle w:val="Heading3"/>
      </w:pPr>
      <w:r>
        <w:t>3.3.2 Sample size determination</w:t>
      </w:r>
    </w:p>
    <w:p>
      <w:pPr>
        <w:spacing w:line="317" w:lineRule="auto" w:before="0" w:after="200"/>
        <w:jc w:val="left"/>
      </w:pPr>
      <w:r>
        <w:rPr>
          <w:rFonts w:ascii="Times New Roman" w:hAnsi="Times New Roman"/>
          <w:b w:val="0"/>
          <w:i w:val="0"/>
          <w:sz w:val="24"/>
        </w:rPr>
        <w:t>No complete census register of operators exists in these informal markets, so a planning benchmark is first obtained from Cochran's (1977) single-proportion formula, adopting a 95 per cent confidence level (Z = 1.96), maximum response variance (p = q = 0.5) and an eight per cent permissible error, relaxed from the conventional five per cent given fixed field resources:</w:t>
      </w:r>
    </w:p>
    <w:p>
      <w:pPr>
        <w:tabs>
          <w:tab w:pos="9360" w:val="right"/>
        </w:tabs>
        <w:spacing w:line="317" w:lineRule="auto" w:before="80" w:after="80"/>
      </w:pPr>
      <w:r>
        <w:rPr>
          <w:rFonts w:ascii="Times New Roman" w:hAnsi="Times New Roman"/>
          <w:i/>
          <w:sz w:val="24"/>
        </w:rPr>
        <w:t>n0 = Z^2 p q / e^2 = (1.96)^2 (0.5)(0.5) / (0.08)^2 = 150</w:t>
        <w:tab/>
        <w:t>(3.1)</w:t>
      </w:r>
    </w:p>
    <w:p>
      <w:pPr>
        <w:spacing w:line="317" w:lineRule="auto" w:before="0" w:after="200"/>
        <w:jc w:val="left"/>
      </w:pPr>
      <w:r>
        <w:rPr>
          <w:rFonts w:ascii="Times New Roman" w:hAnsi="Times New Roman"/>
          <w:b w:val="0"/>
          <w:i w:val="0"/>
          <w:sz w:val="24"/>
        </w:rPr>
        <w:t>As a robustness check, Yamane's (1967) finite-population formula, applied to an illustrative frame of N = 1,000 operators that plausibly exceeds the number of active intermediaries trading across six markets during any session, with the same e = 0.08, gives:</w:t>
      </w:r>
    </w:p>
    <w:p>
      <w:pPr>
        <w:tabs>
          <w:tab w:pos="9360" w:val="right"/>
        </w:tabs>
        <w:spacing w:line="317" w:lineRule="auto" w:before="80" w:after="80"/>
      </w:pPr>
      <w:r>
        <w:rPr>
          <w:rFonts w:ascii="Times New Roman" w:hAnsi="Times New Roman"/>
          <w:i/>
          <w:sz w:val="24"/>
        </w:rPr>
        <w:t>n = N / (1 + N e^2) = 1,000 / (1 + 1,000 x 0.0064) = 135</w:t>
        <w:tab/>
        <w:t>(3.2)</w:t>
      </w:r>
    </w:p>
    <w:p>
      <w:pPr>
        <w:spacing w:line="317" w:lineRule="auto" w:before="0" w:after="200"/>
        <w:jc w:val="left"/>
      </w:pPr>
      <w:r>
        <w:rPr>
          <w:rFonts w:ascii="Times New Roman" w:hAnsi="Times New Roman"/>
          <w:b w:val="0"/>
          <w:i w:val="0"/>
          <w:sz w:val="24"/>
        </w:rPr>
        <w:t>Both benchmarks, n0 = 150 and n = 135, set an upper planning ceiling. Cochran's formula is designed for estimating a single population proportion, whereas the study's actual inferential targets are continuous price and margin comparisons, for which a formal power calculation against an expected effect size would be the methodologically ideal approach. In the absence of a reliable prior effect-size estimate for this market, the proportion-based ceiling is used only as a planning bound, and the field target actually applied is fixed independently below, on resource and design grounds rather than on the ceiling itself.</w:t>
      </w:r>
    </w:p>
    <w:p>
      <w:pPr>
        <w:pStyle w:val="Heading3"/>
      </w:pPr>
      <w:r>
        <w:t>3.3.3 Allocation and selection of respondents</w:t>
      </w:r>
    </w:p>
    <w:p>
      <w:pPr>
        <w:spacing w:line="317" w:lineRule="auto" w:before="0" w:after="200"/>
        <w:jc w:val="left"/>
      </w:pPr>
      <w:r>
        <w:rPr>
          <w:rFonts w:ascii="Times New Roman" w:hAnsi="Times New Roman"/>
          <w:b w:val="0"/>
          <w:i w:val="0"/>
          <w:sz w:val="24"/>
        </w:rPr>
        <w:t>The applied field target is 120 valid interviews, allocated equally across the three trader strata, that is 30 aratdars, 30 beparis or farias and 30 khuchra retailers, giving 90 traders, plus 30 exit-intercepted consumers, distributed as 5 respondents per stratum per market across six markets. This total is below the Cochran ceiling of 150 but is deliberately chosen over an unequal, retail-heavy split so that each trader stratum carries equal analytical weight in the between-stratum comparisons of Section 3.8. The trade-off, fewer total interviews in exchange for balanced strata, is stated explicitly rather than left implicit.</w:t>
      </w:r>
    </w:p>
    <w:p>
      <w:pPr>
        <w:spacing w:line="317" w:lineRule="auto" w:before="0" w:after="200"/>
        <w:jc w:val="left"/>
      </w:pPr>
      <w:r>
        <w:rPr>
          <w:rFonts w:ascii="Times New Roman" w:hAnsi="Times New Roman"/>
          <w:b w:val="0"/>
          <w:i w:val="0"/>
          <w:sz w:val="24"/>
        </w:rPr>
        <w:t>Markets themselves constitute the primary stratum and were purposively nominated on the criteria in Section 3.1, because informal operator registers cannot provide an equal-probability frame. Within each selected market, aratdar and bepari or faria participants are drawn purposively among operators active during the survey session, prioritising informants handling the focal species, while khuchra vendors are taken successively along the market rows until the quota fills. Consumer observations use systematic exit interception of purchasers leaving the market with visible fish purchases. This stratified purposive-cum-quota procedure is disclosed honestly rather than presented as probability sampling, and inferential results are therefore interpreted as analytical generalisation within the studied system rather than statistical generalisation to a wider population.</w:t>
      </w:r>
    </w:p>
    <w:p>
      <w:pPr>
        <w:pStyle w:val="Heading3"/>
      </w:pPr>
      <w:r>
        <w:t>3.3.4 Price matching protocol</w:t>
      </w:r>
    </w:p>
    <w:p>
      <w:pPr>
        <w:spacing w:line="317" w:lineRule="auto" w:before="0" w:after="200"/>
        <w:jc w:val="left"/>
      </w:pPr>
      <w:r>
        <w:rPr>
          <w:rFonts w:ascii="Times New Roman" w:hAnsi="Times New Roman"/>
          <w:b w:val="0"/>
          <w:i w:val="0"/>
          <w:sz w:val="24"/>
        </w:rPr>
        <w:t>To validate quoted margins against actually traded prices, each trader interview records the respondent's principal supply linkage, that is from whom the respondent purchased and to whom the respondent sold during the session. Whenever a retailer reports purchasing a surveyed species on the interview day and the corresponding seller is also interviewed, the transaction receives a common pair identifier linking buyer and seller forms. Matched pairs enable Wilcoxon signed-rank validation of self-reported buy-versus-sell consistency and add an independent quality screen on stated margins. Given the compressed schedule, the number of genuinely matched pairs is expected to be modest, so this test is read as a diagnostic quality check rather than a fully powered hypothesis test, and the achieved number of matched pairs is reported alongside the result (Section 4.9).</w:t>
      </w:r>
    </w:p>
    <w:p>
      <w:pPr>
        <w:pStyle w:val="Heading2"/>
      </w:pPr>
      <w:r>
        <w:t>3.4 Selection of fish species</w:t>
      </w:r>
    </w:p>
    <w:p>
      <w:pPr>
        <w:spacing w:line="317" w:lineRule="auto" w:before="0" w:after="200"/>
        <w:jc w:val="left"/>
      </w:pPr>
      <w:r>
        <w:rPr>
          <w:rFonts w:ascii="Times New Roman" w:hAnsi="Times New Roman"/>
          <w:b w:val="0"/>
          <w:i w:val="0"/>
          <w:sz w:val="24"/>
        </w:rPr>
        <w:t>Ten commercially important marine species form the analytical core of the study, selected against four criteria: persistent presence across the six survey markets during preliminary reconnaissance, substantial share in daily trade volume or value at Chattogram retail outlets, coverage of high, medium and low price tiers so that margin behaviour can be compared across market segments, and documented importance in national marine fisheries statistics (Table 3.2). Scientific names follow FishBase (2026).</w:t>
      </w:r>
    </w:p>
    <w:p>
      <w:pPr>
        <w:keepNext/>
        <w:spacing w:line="240" w:lineRule="auto" w:before="200" w:after="60"/>
        <w:jc w:val="center"/>
      </w:pPr>
      <w:r>
        <w:rPr>
          <w:rFonts w:ascii="Times New Roman" w:hAnsi="Times New Roman"/>
          <w:b/>
          <w:i w:val="0"/>
          <w:sz w:val="20"/>
        </w:rPr>
        <w:t>Table 3.2: Ten marine fish species selected for the study</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806"/>
        <w:gridCol w:w="1806"/>
        <w:gridCol w:w="1806"/>
        <w:gridCol w:w="1806"/>
        <w:gridCol w:w="1806"/>
      </w:tblGrid>
      <w:tr>
        <w:tc>
          <w:tcPr>
            <w:tcW w:type="dxa" w:w="1806"/>
          </w:tcPr>
          <w:p>
            <w:pPr>
              <w:spacing w:line="240" w:lineRule="auto" w:before="20" w:after="20"/>
              <w:jc w:val="left"/>
            </w:pPr>
            <w:r/>
            <w:r>
              <w:rPr>
                <w:rFonts w:ascii="Times New Roman" w:hAnsi="Times New Roman"/>
                <w:b/>
                <w:sz w:val="20"/>
              </w:rPr>
              <w:t>Code</w:t>
            </w:r>
          </w:p>
        </w:tc>
        <w:tc>
          <w:tcPr>
            <w:tcW w:type="dxa" w:w="1806"/>
          </w:tcPr>
          <w:p>
            <w:pPr>
              <w:spacing w:line="240" w:lineRule="auto" w:before="20" w:after="20"/>
              <w:jc w:val="right"/>
            </w:pPr>
            <w:r/>
            <w:r>
              <w:rPr>
                <w:rFonts w:ascii="Times New Roman" w:hAnsi="Times New Roman"/>
                <w:b/>
                <w:sz w:val="20"/>
              </w:rPr>
              <w:t>Local name</w:t>
            </w:r>
          </w:p>
        </w:tc>
        <w:tc>
          <w:tcPr>
            <w:tcW w:type="dxa" w:w="1806"/>
          </w:tcPr>
          <w:p>
            <w:pPr>
              <w:spacing w:line="240" w:lineRule="auto" w:before="20" w:after="20"/>
              <w:jc w:val="right"/>
            </w:pPr>
            <w:r/>
            <w:r>
              <w:rPr>
                <w:rFonts w:ascii="Times New Roman" w:hAnsi="Times New Roman"/>
                <w:b/>
                <w:sz w:val="20"/>
              </w:rPr>
              <w:t>English common name</w:t>
            </w:r>
          </w:p>
        </w:tc>
        <w:tc>
          <w:tcPr>
            <w:tcW w:type="dxa" w:w="1806"/>
          </w:tcPr>
          <w:p>
            <w:pPr>
              <w:spacing w:line="240" w:lineRule="auto" w:before="20" w:after="20"/>
              <w:jc w:val="right"/>
            </w:pPr>
            <w:r/>
            <w:r>
              <w:rPr>
                <w:rFonts w:ascii="Times New Roman" w:hAnsi="Times New Roman"/>
                <w:b/>
                <w:sz w:val="20"/>
              </w:rPr>
              <w:t>Scientific name</w:t>
            </w:r>
          </w:p>
        </w:tc>
        <w:tc>
          <w:tcPr>
            <w:tcW w:type="dxa" w:w="1806"/>
          </w:tcPr>
          <w:p>
            <w:pPr>
              <w:spacing w:line="240" w:lineRule="auto" w:before="20" w:after="20"/>
              <w:jc w:val="right"/>
            </w:pPr>
            <w:r/>
            <w:r>
              <w:rPr>
                <w:rFonts w:ascii="Times New Roman" w:hAnsi="Times New Roman"/>
                <w:b/>
                <w:sz w:val="20"/>
              </w:rPr>
              <w:t>Price tier</w:t>
            </w:r>
          </w:p>
        </w:tc>
      </w:tr>
      <w:tr>
        <w:tc>
          <w:tcPr>
            <w:tcW w:type="dxa" w:w="1806"/>
          </w:tcPr>
          <w:p>
            <w:pPr>
              <w:spacing w:line="240" w:lineRule="auto" w:before="20" w:after="20"/>
              <w:jc w:val="left"/>
            </w:pPr>
            <w:r/>
            <w:r>
              <w:rPr>
                <w:rFonts w:ascii="Times New Roman" w:hAnsi="Times New Roman"/>
                <w:b w:val="0"/>
                <w:sz w:val="20"/>
              </w:rPr>
              <w:t>S01</w:t>
            </w:r>
          </w:p>
        </w:tc>
        <w:tc>
          <w:tcPr>
            <w:tcW w:type="dxa" w:w="1806"/>
          </w:tcPr>
          <w:p>
            <w:pPr>
              <w:spacing w:line="240" w:lineRule="auto" w:before="20" w:after="20"/>
              <w:jc w:val="right"/>
            </w:pPr>
            <w:r/>
            <w:r>
              <w:rPr>
                <w:rFonts w:ascii="Times New Roman" w:hAnsi="Times New Roman"/>
                <w:b w:val="0"/>
                <w:sz w:val="20"/>
              </w:rPr>
              <w:t>Ilish</w:t>
            </w:r>
          </w:p>
        </w:tc>
        <w:tc>
          <w:tcPr>
            <w:tcW w:type="dxa" w:w="1806"/>
          </w:tcPr>
          <w:p>
            <w:pPr>
              <w:spacing w:line="240" w:lineRule="auto" w:before="20" w:after="20"/>
              <w:jc w:val="right"/>
            </w:pPr>
            <w:r/>
            <w:r>
              <w:rPr>
                <w:rFonts w:ascii="Times New Roman" w:hAnsi="Times New Roman"/>
                <w:b w:val="0"/>
                <w:sz w:val="20"/>
              </w:rPr>
              <w:t>Hilsa shad</w:t>
            </w:r>
          </w:p>
        </w:tc>
        <w:tc>
          <w:tcPr>
            <w:tcW w:type="dxa" w:w="1806"/>
          </w:tcPr>
          <w:p>
            <w:pPr>
              <w:spacing w:line="240" w:lineRule="auto" w:before="20" w:after="20"/>
              <w:jc w:val="right"/>
            </w:pPr>
            <w:r/>
            <w:r>
              <w:rPr>
                <w:rFonts w:ascii="Times New Roman" w:hAnsi="Times New Roman"/>
                <w:b w:val="0"/>
                <w:sz w:val="20"/>
              </w:rPr>
              <w:t>Tenualosa ilisha</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S02</w:t>
            </w:r>
          </w:p>
        </w:tc>
        <w:tc>
          <w:tcPr>
            <w:tcW w:type="dxa" w:w="1806"/>
          </w:tcPr>
          <w:p>
            <w:pPr>
              <w:spacing w:line="240" w:lineRule="auto" w:before="20" w:after="20"/>
              <w:jc w:val="right"/>
            </w:pPr>
            <w:r/>
            <w:r>
              <w:rPr>
                <w:rFonts w:ascii="Times New Roman" w:hAnsi="Times New Roman"/>
                <w:b w:val="0"/>
                <w:sz w:val="20"/>
              </w:rPr>
              <w:t>Rupchanda</w:t>
            </w:r>
          </w:p>
        </w:tc>
        <w:tc>
          <w:tcPr>
            <w:tcW w:type="dxa" w:w="1806"/>
          </w:tcPr>
          <w:p>
            <w:pPr>
              <w:spacing w:line="240" w:lineRule="auto" w:before="20" w:after="20"/>
              <w:jc w:val="right"/>
            </w:pPr>
            <w:r/>
            <w:r>
              <w:rPr>
                <w:rFonts w:ascii="Times New Roman" w:hAnsi="Times New Roman"/>
                <w:b w:val="0"/>
                <w:sz w:val="20"/>
              </w:rPr>
              <w:t>Silver pomfret</w:t>
            </w:r>
          </w:p>
        </w:tc>
        <w:tc>
          <w:tcPr>
            <w:tcW w:type="dxa" w:w="1806"/>
          </w:tcPr>
          <w:p>
            <w:pPr>
              <w:spacing w:line="240" w:lineRule="auto" w:before="20" w:after="20"/>
              <w:jc w:val="right"/>
            </w:pPr>
            <w:r/>
            <w:r>
              <w:rPr>
                <w:rFonts w:ascii="Times New Roman" w:hAnsi="Times New Roman"/>
                <w:b w:val="0"/>
                <w:sz w:val="20"/>
              </w:rPr>
              <w:t>Pampus argenteus</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S03</w:t>
            </w:r>
          </w:p>
        </w:tc>
        <w:tc>
          <w:tcPr>
            <w:tcW w:type="dxa" w:w="1806"/>
          </w:tcPr>
          <w:p>
            <w:pPr>
              <w:spacing w:line="240" w:lineRule="auto" w:before="20" w:after="20"/>
              <w:jc w:val="right"/>
            </w:pPr>
            <w:r/>
            <w:r>
              <w:rPr>
                <w:rFonts w:ascii="Times New Roman" w:hAnsi="Times New Roman"/>
                <w:b w:val="0"/>
                <w:sz w:val="20"/>
              </w:rPr>
              <w:t>Lakkha</w:t>
            </w:r>
          </w:p>
        </w:tc>
        <w:tc>
          <w:tcPr>
            <w:tcW w:type="dxa" w:w="1806"/>
          </w:tcPr>
          <w:p>
            <w:pPr>
              <w:spacing w:line="240" w:lineRule="auto" w:before="20" w:after="20"/>
              <w:jc w:val="right"/>
            </w:pPr>
            <w:r/>
            <w:r>
              <w:rPr>
                <w:rFonts w:ascii="Times New Roman" w:hAnsi="Times New Roman"/>
                <w:b w:val="0"/>
                <w:sz w:val="20"/>
              </w:rPr>
              <w:t>Indian salmon (four-finger threadfin)</w:t>
            </w:r>
          </w:p>
        </w:tc>
        <w:tc>
          <w:tcPr>
            <w:tcW w:type="dxa" w:w="1806"/>
          </w:tcPr>
          <w:p>
            <w:pPr>
              <w:spacing w:line="240" w:lineRule="auto" w:before="20" w:after="20"/>
              <w:jc w:val="right"/>
            </w:pPr>
            <w:r/>
            <w:r>
              <w:rPr>
                <w:rFonts w:ascii="Times New Roman" w:hAnsi="Times New Roman"/>
                <w:b w:val="0"/>
                <w:sz w:val="20"/>
              </w:rPr>
              <w:t>Eleutheronema tetradactylum</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S04</w:t>
            </w:r>
          </w:p>
        </w:tc>
        <w:tc>
          <w:tcPr>
            <w:tcW w:type="dxa" w:w="1806"/>
          </w:tcPr>
          <w:p>
            <w:pPr>
              <w:spacing w:line="240" w:lineRule="auto" w:before="20" w:after="20"/>
              <w:jc w:val="right"/>
            </w:pPr>
            <w:r/>
            <w:r>
              <w:rPr>
                <w:rFonts w:ascii="Times New Roman" w:hAnsi="Times New Roman"/>
                <w:b w:val="0"/>
                <w:sz w:val="20"/>
              </w:rPr>
              <w:t>Koral/Kurl</w:t>
            </w:r>
          </w:p>
        </w:tc>
        <w:tc>
          <w:tcPr>
            <w:tcW w:type="dxa" w:w="1806"/>
          </w:tcPr>
          <w:p>
            <w:pPr>
              <w:spacing w:line="240" w:lineRule="auto" w:before="20" w:after="20"/>
              <w:jc w:val="right"/>
            </w:pPr>
            <w:r/>
            <w:r>
              <w:rPr>
                <w:rFonts w:ascii="Times New Roman" w:hAnsi="Times New Roman"/>
                <w:b w:val="0"/>
                <w:sz w:val="20"/>
              </w:rPr>
              <w:t>Asian sea bass</w:t>
            </w:r>
          </w:p>
        </w:tc>
        <w:tc>
          <w:tcPr>
            <w:tcW w:type="dxa" w:w="1806"/>
          </w:tcPr>
          <w:p>
            <w:pPr>
              <w:spacing w:line="240" w:lineRule="auto" w:before="20" w:after="20"/>
              <w:jc w:val="right"/>
            </w:pPr>
            <w:r/>
            <w:r>
              <w:rPr>
                <w:rFonts w:ascii="Times New Roman" w:hAnsi="Times New Roman"/>
                <w:b w:val="0"/>
                <w:sz w:val="20"/>
              </w:rPr>
              <w:t>Lates calcarifer</w:t>
            </w:r>
          </w:p>
        </w:tc>
        <w:tc>
          <w:tcPr>
            <w:tcW w:type="dxa" w:w="1806"/>
          </w:tcPr>
          <w:p>
            <w:pPr>
              <w:spacing w:line="240" w:lineRule="auto" w:before="20" w:after="20"/>
              <w:jc w:val="right"/>
            </w:pPr>
            <w:r/>
            <w:r>
              <w:rPr>
                <w:rFonts w:ascii="Times New Roman" w:hAnsi="Times New Roman"/>
                <w:b w:val="0"/>
                <w:sz w:val="20"/>
              </w:rPr>
              <w:t>High</w:t>
            </w:r>
          </w:p>
        </w:tc>
      </w:tr>
      <w:tr>
        <w:tc>
          <w:tcPr>
            <w:tcW w:type="dxa" w:w="1806"/>
          </w:tcPr>
          <w:p>
            <w:pPr>
              <w:spacing w:line="240" w:lineRule="auto" w:before="20" w:after="20"/>
              <w:jc w:val="left"/>
            </w:pPr>
            <w:r/>
            <w:r>
              <w:rPr>
                <w:rFonts w:ascii="Times New Roman" w:hAnsi="Times New Roman"/>
                <w:b w:val="0"/>
                <w:sz w:val="20"/>
              </w:rPr>
              <w:t>S05</w:t>
            </w:r>
          </w:p>
        </w:tc>
        <w:tc>
          <w:tcPr>
            <w:tcW w:type="dxa" w:w="1806"/>
          </w:tcPr>
          <w:p>
            <w:pPr>
              <w:spacing w:line="240" w:lineRule="auto" w:before="20" w:after="20"/>
              <w:jc w:val="right"/>
            </w:pPr>
            <w:r/>
            <w:r>
              <w:rPr>
                <w:rFonts w:ascii="Times New Roman" w:hAnsi="Times New Roman"/>
                <w:b w:val="0"/>
                <w:sz w:val="20"/>
              </w:rPr>
              <w:t>Surma</w:t>
            </w:r>
          </w:p>
        </w:tc>
        <w:tc>
          <w:tcPr>
            <w:tcW w:type="dxa" w:w="1806"/>
          </w:tcPr>
          <w:p>
            <w:pPr>
              <w:spacing w:line="240" w:lineRule="auto" w:before="20" w:after="20"/>
              <w:jc w:val="right"/>
            </w:pPr>
            <w:r/>
            <w:r>
              <w:rPr>
                <w:rFonts w:ascii="Times New Roman" w:hAnsi="Times New Roman"/>
                <w:b w:val="0"/>
                <w:sz w:val="20"/>
              </w:rPr>
              <w:t>Indian mackerel</w:t>
            </w:r>
          </w:p>
        </w:tc>
        <w:tc>
          <w:tcPr>
            <w:tcW w:type="dxa" w:w="1806"/>
          </w:tcPr>
          <w:p>
            <w:pPr>
              <w:spacing w:line="240" w:lineRule="auto" w:before="20" w:after="20"/>
              <w:jc w:val="right"/>
            </w:pPr>
            <w:r/>
            <w:r>
              <w:rPr>
                <w:rFonts w:ascii="Times New Roman" w:hAnsi="Times New Roman"/>
                <w:b w:val="0"/>
                <w:sz w:val="20"/>
              </w:rPr>
              <w:t>Rastrelliger kanagurta</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S06</w:t>
            </w:r>
          </w:p>
        </w:tc>
        <w:tc>
          <w:tcPr>
            <w:tcW w:type="dxa" w:w="1806"/>
          </w:tcPr>
          <w:p>
            <w:pPr>
              <w:spacing w:line="240" w:lineRule="auto" w:before="20" w:after="20"/>
              <w:jc w:val="right"/>
            </w:pPr>
            <w:r/>
            <w:r>
              <w:rPr>
                <w:rFonts w:ascii="Times New Roman" w:hAnsi="Times New Roman"/>
                <w:b w:val="0"/>
                <w:sz w:val="20"/>
              </w:rPr>
              <w:t>Churi</w:t>
            </w:r>
          </w:p>
        </w:tc>
        <w:tc>
          <w:tcPr>
            <w:tcW w:type="dxa" w:w="1806"/>
          </w:tcPr>
          <w:p>
            <w:pPr>
              <w:spacing w:line="240" w:lineRule="auto" w:before="20" w:after="20"/>
              <w:jc w:val="right"/>
            </w:pPr>
            <w:r/>
            <w:r>
              <w:rPr>
                <w:rFonts w:ascii="Times New Roman" w:hAnsi="Times New Roman"/>
                <w:b w:val="0"/>
                <w:sz w:val="20"/>
              </w:rPr>
              <w:t>Largehead ribbonfish</w:t>
            </w:r>
          </w:p>
        </w:tc>
        <w:tc>
          <w:tcPr>
            <w:tcW w:type="dxa" w:w="1806"/>
          </w:tcPr>
          <w:p>
            <w:pPr>
              <w:spacing w:line="240" w:lineRule="auto" w:before="20" w:after="20"/>
              <w:jc w:val="right"/>
            </w:pPr>
            <w:r/>
            <w:r>
              <w:rPr>
                <w:rFonts w:ascii="Times New Roman" w:hAnsi="Times New Roman"/>
                <w:b w:val="0"/>
                <w:sz w:val="20"/>
              </w:rPr>
              <w:t>Trichiurus lepturus</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S07</w:t>
            </w:r>
          </w:p>
        </w:tc>
        <w:tc>
          <w:tcPr>
            <w:tcW w:type="dxa" w:w="1806"/>
          </w:tcPr>
          <w:p>
            <w:pPr>
              <w:spacing w:line="240" w:lineRule="auto" w:before="20" w:after="20"/>
              <w:jc w:val="right"/>
            </w:pPr>
            <w:r/>
            <w:r>
              <w:rPr>
                <w:rFonts w:ascii="Times New Roman" w:hAnsi="Times New Roman"/>
                <w:b w:val="0"/>
                <w:sz w:val="20"/>
              </w:rPr>
              <w:t>Poa</w:t>
            </w:r>
          </w:p>
        </w:tc>
        <w:tc>
          <w:tcPr>
            <w:tcW w:type="dxa" w:w="1806"/>
          </w:tcPr>
          <w:p>
            <w:pPr>
              <w:spacing w:line="240" w:lineRule="auto" w:before="20" w:after="20"/>
              <w:jc w:val="right"/>
            </w:pPr>
            <w:r/>
            <w:r>
              <w:rPr>
                <w:rFonts w:ascii="Times New Roman" w:hAnsi="Times New Roman"/>
                <w:b w:val="0"/>
                <w:sz w:val="20"/>
              </w:rPr>
              <w:t>Pama croaker</w:t>
            </w:r>
          </w:p>
        </w:tc>
        <w:tc>
          <w:tcPr>
            <w:tcW w:type="dxa" w:w="1806"/>
          </w:tcPr>
          <w:p>
            <w:pPr>
              <w:spacing w:line="240" w:lineRule="auto" w:before="20" w:after="20"/>
              <w:jc w:val="right"/>
            </w:pPr>
            <w:r/>
            <w:r>
              <w:rPr>
                <w:rFonts w:ascii="Times New Roman" w:hAnsi="Times New Roman"/>
                <w:b w:val="0"/>
                <w:sz w:val="20"/>
              </w:rPr>
              <w:t>Otolithoides pama</w:t>
            </w:r>
          </w:p>
        </w:tc>
        <w:tc>
          <w:tcPr>
            <w:tcW w:type="dxa" w:w="1806"/>
          </w:tcPr>
          <w:p>
            <w:pPr>
              <w:spacing w:line="240" w:lineRule="auto" w:before="20" w:after="20"/>
              <w:jc w:val="right"/>
            </w:pPr>
            <w:r/>
            <w:r>
              <w:rPr>
                <w:rFonts w:ascii="Times New Roman" w:hAnsi="Times New Roman"/>
                <w:b w:val="0"/>
                <w:sz w:val="20"/>
              </w:rPr>
              <w:t>Medium</w:t>
            </w:r>
          </w:p>
        </w:tc>
      </w:tr>
      <w:tr>
        <w:tc>
          <w:tcPr>
            <w:tcW w:type="dxa" w:w="1806"/>
          </w:tcPr>
          <w:p>
            <w:pPr>
              <w:spacing w:line="240" w:lineRule="auto" w:before="20" w:after="20"/>
              <w:jc w:val="left"/>
            </w:pPr>
            <w:r/>
            <w:r>
              <w:rPr>
                <w:rFonts w:ascii="Times New Roman" w:hAnsi="Times New Roman"/>
                <w:b w:val="0"/>
                <w:sz w:val="20"/>
              </w:rPr>
              <w:t>S08</w:t>
            </w:r>
          </w:p>
        </w:tc>
        <w:tc>
          <w:tcPr>
            <w:tcW w:type="dxa" w:w="1806"/>
          </w:tcPr>
          <w:p>
            <w:pPr>
              <w:spacing w:line="240" w:lineRule="auto" w:before="20" w:after="20"/>
              <w:jc w:val="right"/>
            </w:pPr>
            <w:r/>
            <w:r>
              <w:rPr>
                <w:rFonts w:ascii="Times New Roman" w:hAnsi="Times New Roman"/>
                <w:b w:val="0"/>
                <w:sz w:val="20"/>
              </w:rPr>
              <w:t>Kankoita</w:t>
            </w:r>
          </w:p>
        </w:tc>
        <w:tc>
          <w:tcPr>
            <w:tcW w:type="dxa" w:w="1806"/>
          </w:tcPr>
          <w:p>
            <w:pPr>
              <w:spacing w:line="240" w:lineRule="auto" w:before="20" w:after="20"/>
              <w:jc w:val="right"/>
            </w:pPr>
            <w:r/>
            <w:r>
              <w:rPr>
                <w:rFonts w:ascii="Times New Roman" w:hAnsi="Times New Roman"/>
                <w:b w:val="0"/>
                <w:sz w:val="20"/>
              </w:rPr>
              <w:t>Thorny/Indian anchovy</w:t>
            </w:r>
          </w:p>
        </w:tc>
        <w:tc>
          <w:tcPr>
            <w:tcW w:type="dxa" w:w="1806"/>
          </w:tcPr>
          <w:p>
            <w:pPr>
              <w:spacing w:line="240" w:lineRule="auto" w:before="20" w:after="20"/>
              <w:jc w:val="right"/>
            </w:pPr>
            <w:r/>
            <w:r>
              <w:rPr>
                <w:rFonts w:ascii="Times New Roman" w:hAnsi="Times New Roman"/>
                <w:b w:val="0"/>
                <w:sz w:val="20"/>
              </w:rPr>
              <w:t>Stolephorus indicus</w:t>
            </w:r>
          </w:p>
        </w:tc>
        <w:tc>
          <w:tcPr>
            <w:tcW w:type="dxa" w:w="1806"/>
          </w:tcPr>
          <w:p>
            <w:pPr>
              <w:spacing w:line="240" w:lineRule="auto" w:before="20" w:after="20"/>
              <w:jc w:val="right"/>
            </w:pPr>
            <w:r/>
            <w:r>
              <w:rPr>
                <w:rFonts w:ascii="Times New Roman" w:hAnsi="Times New Roman"/>
                <w:b w:val="0"/>
                <w:sz w:val="20"/>
              </w:rPr>
              <w:t>Low-volume</w:t>
            </w:r>
          </w:p>
        </w:tc>
      </w:tr>
      <w:tr>
        <w:tc>
          <w:tcPr>
            <w:tcW w:type="dxa" w:w="1806"/>
          </w:tcPr>
          <w:p>
            <w:pPr>
              <w:spacing w:line="240" w:lineRule="auto" w:before="20" w:after="20"/>
              <w:jc w:val="left"/>
            </w:pPr>
            <w:r/>
            <w:r>
              <w:rPr>
                <w:rFonts w:ascii="Times New Roman" w:hAnsi="Times New Roman"/>
                <w:b w:val="0"/>
                <w:sz w:val="20"/>
              </w:rPr>
              <w:t>S09</w:t>
            </w:r>
          </w:p>
        </w:tc>
        <w:tc>
          <w:tcPr>
            <w:tcW w:type="dxa" w:w="1806"/>
          </w:tcPr>
          <w:p>
            <w:pPr>
              <w:spacing w:line="240" w:lineRule="auto" w:before="20" w:after="20"/>
              <w:jc w:val="right"/>
            </w:pPr>
            <w:r/>
            <w:r>
              <w:rPr>
                <w:rFonts w:ascii="Times New Roman" w:hAnsi="Times New Roman"/>
                <w:b w:val="0"/>
                <w:sz w:val="20"/>
              </w:rPr>
              <w:t>Loitta</w:t>
            </w:r>
          </w:p>
        </w:tc>
        <w:tc>
          <w:tcPr>
            <w:tcW w:type="dxa" w:w="1806"/>
          </w:tcPr>
          <w:p>
            <w:pPr>
              <w:spacing w:line="240" w:lineRule="auto" w:before="20" w:after="20"/>
              <w:jc w:val="right"/>
            </w:pPr>
            <w:r/>
            <w:r>
              <w:rPr>
                <w:rFonts w:ascii="Times New Roman" w:hAnsi="Times New Roman"/>
                <w:b w:val="0"/>
                <w:sz w:val="20"/>
              </w:rPr>
              <w:t>Bombay duck</w:t>
            </w:r>
          </w:p>
        </w:tc>
        <w:tc>
          <w:tcPr>
            <w:tcW w:type="dxa" w:w="1806"/>
          </w:tcPr>
          <w:p>
            <w:pPr>
              <w:spacing w:line="240" w:lineRule="auto" w:before="20" w:after="20"/>
              <w:jc w:val="right"/>
            </w:pPr>
            <w:r/>
            <w:r>
              <w:rPr>
                <w:rFonts w:ascii="Times New Roman" w:hAnsi="Times New Roman"/>
                <w:b w:val="0"/>
                <w:sz w:val="20"/>
              </w:rPr>
              <w:t>Harpadon nehereus</w:t>
            </w:r>
          </w:p>
        </w:tc>
        <w:tc>
          <w:tcPr>
            <w:tcW w:type="dxa" w:w="1806"/>
          </w:tcPr>
          <w:p>
            <w:pPr>
              <w:spacing w:line="240" w:lineRule="auto" w:before="20" w:after="20"/>
              <w:jc w:val="right"/>
            </w:pPr>
            <w:r/>
            <w:r>
              <w:rPr>
                <w:rFonts w:ascii="Times New Roman" w:hAnsi="Times New Roman"/>
                <w:b w:val="0"/>
                <w:sz w:val="20"/>
              </w:rPr>
              <w:t>Low</w:t>
            </w:r>
          </w:p>
        </w:tc>
      </w:tr>
      <w:tr>
        <w:tc>
          <w:tcPr>
            <w:tcW w:type="dxa" w:w="1806"/>
          </w:tcPr>
          <w:p>
            <w:pPr>
              <w:spacing w:line="240" w:lineRule="auto" w:before="20" w:after="20"/>
              <w:jc w:val="left"/>
            </w:pPr>
            <w:r/>
            <w:r>
              <w:rPr>
                <w:rFonts w:ascii="Times New Roman" w:hAnsi="Times New Roman"/>
                <w:b w:val="0"/>
                <w:sz w:val="20"/>
              </w:rPr>
              <w:t>S10</w:t>
            </w:r>
          </w:p>
        </w:tc>
        <w:tc>
          <w:tcPr>
            <w:tcW w:type="dxa" w:w="1806"/>
          </w:tcPr>
          <w:p>
            <w:pPr>
              <w:spacing w:line="240" w:lineRule="auto" w:before="20" w:after="20"/>
              <w:jc w:val="right"/>
            </w:pPr>
            <w:r/>
            <w:r>
              <w:rPr>
                <w:rFonts w:ascii="Times New Roman" w:hAnsi="Times New Roman"/>
                <w:b w:val="0"/>
                <w:sz w:val="20"/>
              </w:rPr>
              <w:t>Harina</w:t>
            </w:r>
          </w:p>
        </w:tc>
        <w:tc>
          <w:tcPr>
            <w:tcW w:type="dxa" w:w="1806"/>
          </w:tcPr>
          <w:p>
            <w:pPr>
              <w:spacing w:line="240" w:lineRule="auto" w:before="20" w:after="20"/>
              <w:jc w:val="right"/>
            </w:pPr>
            <w:r/>
            <w:r>
              <w:rPr>
                <w:rFonts w:ascii="Times New Roman" w:hAnsi="Times New Roman"/>
                <w:b w:val="0"/>
                <w:sz w:val="20"/>
              </w:rPr>
              <w:t>Chacunda gizzard shad</w:t>
            </w:r>
          </w:p>
        </w:tc>
        <w:tc>
          <w:tcPr>
            <w:tcW w:type="dxa" w:w="1806"/>
          </w:tcPr>
          <w:p>
            <w:pPr>
              <w:spacing w:line="240" w:lineRule="auto" w:before="20" w:after="20"/>
              <w:jc w:val="right"/>
            </w:pPr>
            <w:r/>
            <w:r>
              <w:rPr>
                <w:rFonts w:ascii="Times New Roman" w:hAnsi="Times New Roman"/>
                <w:b w:val="0"/>
                <w:sz w:val="20"/>
              </w:rPr>
              <w:t>Anodontostoma chacunda</w:t>
            </w:r>
          </w:p>
        </w:tc>
        <w:tc>
          <w:tcPr>
            <w:tcW w:type="dxa" w:w="1806"/>
          </w:tcPr>
          <w:p>
            <w:pPr>
              <w:spacing w:line="240" w:lineRule="auto" w:before="20" w:after="20"/>
              <w:jc w:val="right"/>
            </w:pPr>
            <w:r/>
            <w:r>
              <w:rPr>
                <w:rFonts w:ascii="Times New Roman" w:hAnsi="Times New Roman"/>
                <w:b w:val="0"/>
                <w:sz w:val="20"/>
              </w:rPr>
              <w:t>Low</w:t>
            </w:r>
          </w:p>
        </w:tc>
      </w:tr>
    </w:tbl>
    <w:p>
      <w:pPr>
        <w:spacing w:line="264" w:lineRule="auto" w:before="40" w:after="120"/>
        <w:jc w:val="left"/>
      </w:pPr>
      <w:r>
        <w:rPr>
          <w:rFonts w:ascii="Times New Roman" w:hAnsi="Times New Roman"/>
          <w:b w:val="0"/>
          <w:i/>
          <w:sz w:val="18"/>
        </w:rPr>
        <w:t>Scientific names follow FishBase (2026). Two taxonomic corrections were applied to the initial candidate list: Lakkha replaced the previously listed tiger prawn so that all ten entries are true fish, and the anchovy entry was narrowed to a single species, Stolephorus indicus, so that each code maps to one identifiable species for per-species price analysis. Kankoita, Loitta and Harina are low-volume or low-price species that appeared in only one or two markets and therefore do not support chain-level decomposition.</w:t>
      </w:r>
    </w:p>
    <w:p>
      <w:pPr>
        <w:spacing w:line="317" w:lineRule="auto" w:before="0" w:after="200"/>
        <w:jc w:val="left"/>
      </w:pPr>
      <w:r>
        <w:rPr>
          <w:rFonts w:ascii="Times New Roman" w:hAnsi="Times New Roman"/>
          <w:b w:val="0"/>
          <w:i w:val="0"/>
          <w:sz w:val="24"/>
        </w:rPr>
        <w:t>Should the pilot round reveal that any species is scarcely transacted at the study markets, a pre-specified substitution rule applies: the affected species is replaced by the closest-tier available alternative observed during the pilot, the change and its justification are recorded with date and supervisor acknowledgement before large-scale collection begins, and no further substitutions occur thereafter so that the instrument remains stable throughout the survey.</w:t>
      </w:r>
    </w:p>
    <w:p>
      <w:pPr>
        <w:pStyle w:val="Heading2"/>
      </w:pPr>
      <w:r>
        <w:t>3.5 Instruments and data collection procedure</w:t>
      </w:r>
    </w:p>
    <w:p>
      <w:pPr>
        <w:spacing w:line="317" w:lineRule="auto" w:before="0" w:after="200"/>
        <w:jc w:val="left"/>
      </w:pPr>
      <w:r>
        <w:rPr>
          <w:rFonts w:ascii="Times New Roman" w:hAnsi="Times New Roman"/>
          <w:b w:val="0"/>
          <w:i w:val="0"/>
          <w:sz w:val="24"/>
        </w:rPr>
        <w:t>Data were collected through pre-structured, interviewer-administered instruments prepared in Bangla to guarantee conceptual equivalence with respondents, accompanied by an English analytical specification for the researcher. The instrument battery comprises five coordinated forms, each carrying its form identifier printed in its header so that field forms, data entry and this methodology stay unambiguously cross-referenced. Nothing outside these fields was collected, in line with the minimised-data principle adopted for the study.</w:t>
      </w:r>
    </w:p>
    <w:p>
      <w:pPr>
        <w:spacing w:line="317" w:lineRule="auto" w:before="0" w:after="200"/>
        <w:jc w:val="left"/>
      </w:pPr>
      <w:r>
        <w:rPr>
          <w:rFonts w:ascii="Times New Roman" w:hAnsi="Times New Roman"/>
          <w:b w:val="0"/>
          <w:i w:val="0"/>
          <w:sz w:val="24"/>
        </w:rPr>
        <w:t>Trader questionnaires comprise Form A for the aratdar, Form B for the bepari or faria, and Form R for the khuchra retailer. A shared structural template underlies all three, with actor-specific filtering. Common modules capture basic demographics, that is age, education and duration in the marine fish trade, principal supply linkage, quantities handled per day in kilograms, buy-and-sell quotations for each focal species, mode of payment, that is cash, bKash or Nagad, and credit, plus actor-specific cost modules. On Form A the price-grid columns record the auction-clearing prices the aratdar facilitates, that is what the fisherman receives and what the bepari pays, as pass-through prices rather than the aratdar's own trading margin; his income is captured separately as commission or lease income in the cost module, so that his margin is not double-counted once as a price spread and again as commission. Form B adds transport fares, icing quantity and expenditure, commission paid to aratdars, and transit damage percentages. Form R covers stall rent, icing cost, wash-water and tool expenses, self-reported spoilage percentages, and customer composition.</w:t>
      </w:r>
    </w:p>
    <w:p>
      <w:pPr>
        <w:spacing w:line="317" w:lineRule="auto" w:before="0" w:after="200"/>
        <w:jc w:val="left"/>
      </w:pPr>
      <w:r>
        <w:rPr>
          <w:rFonts w:ascii="Times New Roman" w:hAnsi="Times New Roman"/>
          <w:b w:val="0"/>
          <w:i w:val="0"/>
          <w:sz w:val="24"/>
        </w:rPr>
        <w:t>The market observation checklist, Form M, is completed once per market by direct physical observation of twelve infrastructure characteristics, that is market type and hours, retail stall count, transport access, platform condition, roofing, drainage, electricity, ice availability, sanitation, water supply and lease or toll arrangement, each marked with its evidence source, plus GPS coordinates. The consumer exit slip, Form C, is completed by five purchasers leaving each market and records focal-species purchases with price paid, quantities, any other fish bought, and payment mode, providing an independent consumer-side check on retailer selling prices. A supplementary tag-price sheet was transcribed opportunistically at zero interview burden and does not enter the hypothesis tests.</w:t>
      </w:r>
    </w:p>
    <w:p>
      <w:pPr>
        <w:spacing w:line="317" w:lineRule="auto" w:before="0" w:after="200"/>
        <w:jc w:val="left"/>
      </w:pPr>
      <w:r>
        <w:rPr>
          <w:rFonts w:ascii="Times New Roman" w:hAnsi="Times New Roman"/>
          <w:b w:val="0"/>
          <w:i w:val="0"/>
          <w:sz w:val="24"/>
        </w:rPr>
        <w:t>Interviews were conducted during the morning trading window, when wholesale arrivals and early transactions concentrate, extending into late-morning retail peaks at retail yards. Fieldwork opened with a one-day pilot at one market on approximately five respondents covering every stratum, in which interviewer phrasing, skip-pattern integrity, species recognisability, maund-to-kilogram conversions and response times were checked, after which only supervisor-approved corrections were applied. Questionnaire and species-list versions were frozen before systematic collection began.</w:t>
      </w:r>
    </w:p>
    <w:p>
      <w:pPr>
        <w:pStyle w:val="Heading2"/>
      </w:pPr>
      <w:r>
        <w:t>3.6 Variables and their measurement</w:t>
      </w:r>
    </w:p>
    <w:p>
      <w:pPr>
        <w:spacing w:line="317" w:lineRule="auto" w:before="0" w:after="200"/>
        <w:jc w:val="left"/>
      </w:pPr>
      <w:r>
        <w:rPr>
          <w:rFonts w:ascii="Times New Roman" w:hAnsi="Times New Roman"/>
          <w:b w:val="0"/>
          <w:i w:val="0"/>
          <w:sz w:val="24"/>
        </w:rPr>
        <w:t>Table 3.3 summarises the measured variables, their originating instrument fields, measurement scales and intended analytical roles.</w:t>
      </w:r>
    </w:p>
    <w:p>
      <w:pPr>
        <w:keepNext/>
        <w:spacing w:line="240" w:lineRule="auto" w:before="200" w:after="60"/>
        <w:jc w:val="center"/>
      </w:pPr>
      <w:r>
        <w:rPr>
          <w:rFonts w:ascii="Times New Roman" w:hAnsi="Times New Roman"/>
          <w:b/>
          <w:i w:val="0"/>
          <w:sz w:val="20"/>
        </w:rPr>
        <w:t>Table 3.3: Variable definitions, instrumentation and analytical roles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Variable</w:t>
            </w:r>
          </w:p>
        </w:tc>
        <w:tc>
          <w:tcPr>
            <w:tcW w:type="dxa" w:w="2257"/>
          </w:tcPr>
          <w:p>
            <w:pPr>
              <w:spacing w:line="240" w:lineRule="auto" w:before="20" w:after="20"/>
              <w:jc w:val="right"/>
            </w:pPr>
            <w:r/>
            <w:r>
              <w:rPr>
                <w:rFonts w:ascii="Times New Roman" w:hAnsi="Times New Roman"/>
                <w:b/>
                <w:sz w:val="20"/>
              </w:rPr>
              <w:t>Instrument source</w:t>
            </w:r>
          </w:p>
        </w:tc>
        <w:tc>
          <w:tcPr>
            <w:tcW w:type="dxa" w:w="2257"/>
          </w:tcPr>
          <w:p>
            <w:pPr>
              <w:spacing w:line="240" w:lineRule="auto" w:before="20" w:after="20"/>
              <w:jc w:val="right"/>
            </w:pPr>
            <w:r/>
            <w:r>
              <w:rPr>
                <w:rFonts w:ascii="Times New Roman" w:hAnsi="Times New Roman"/>
                <w:b/>
                <w:sz w:val="20"/>
              </w:rPr>
              <w:t>Scale or unit</w:t>
            </w:r>
          </w:p>
        </w:tc>
        <w:tc>
          <w:tcPr>
            <w:tcW w:type="dxa" w:w="2257"/>
          </w:tcPr>
          <w:p>
            <w:pPr>
              <w:spacing w:line="240" w:lineRule="auto" w:before="20" w:after="20"/>
              <w:jc w:val="right"/>
            </w:pPr>
            <w:r/>
            <w:r>
              <w:rPr>
                <w:rFonts w:ascii="Times New Roman" w:hAnsi="Times New Roman"/>
                <w:b/>
                <w:sz w:val="20"/>
              </w:rPr>
              <w:t>Analytical role</w:t>
            </w:r>
          </w:p>
        </w:tc>
      </w:tr>
      <w:tr>
        <w:tc>
          <w:tcPr>
            <w:tcW w:type="dxa" w:w="2257"/>
          </w:tcPr>
          <w:p>
            <w:pPr>
              <w:spacing w:line="240" w:lineRule="auto" w:before="20" w:after="20"/>
              <w:jc w:val="left"/>
            </w:pPr>
            <w:r/>
            <w:r>
              <w:rPr>
                <w:rFonts w:ascii="Times New Roman" w:hAnsi="Times New Roman"/>
                <w:b w:val="0"/>
                <w:sz w:val="20"/>
              </w:rPr>
              <w:t>Respondent identifiers</w:t>
            </w:r>
          </w:p>
        </w:tc>
        <w:tc>
          <w:tcPr>
            <w:tcW w:type="dxa" w:w="2257"/>
          </w:tcPr>
          <w:p>
            <w:pPr>
              <w:spacing w:line="240" w:lineRule="auto" w:before="20" w:after="20"/>
              <w:jc w:val="right"/>
            </w:pPr>
            <w:r/>
            <w:r>
              <w:rPr>
                <w:rFonts w:ascii="Times New Roman" w:hAnsi="Times New Roman"/>
                <w:b w:val="0"/>
                <w:sz w:val="20"/>
              </w:rPr>
              <w:t>Header block, all forms</w:t>
            </w:r>
          </w:p>
        </w:tc>
        <w:tc>
          <w:tcPr>
            <w:tcW w:type="dxa" w:w="2257"/>
          </w:tcPr>
          <w:p>
            <w:pPr>
              <w:spacing w:line="240" w:lineRule="auto" w:before="20" w:after="20"/>
              <w:jc w:val="right"/>
            </w:pPr>
            <w:r/>
            <w:r>
              <w:rPr>
                <w:rFonts w:ascii="Times New Roman" w:hAnsi="Times New Roman"/>
                <w:b w:val="0"/>
                <w:sz w:val="20"/>
              </w:rPr>
              <w:t>Codes M1 to M6, actor class, serial</w:t>
            </w:r>
          </w:p>
        </w:tc>
        <w:tc>
          <w:tcPr>
            <w:tcW w:type="dxa" w:w="2257"/>
          </w:tcPr>
          <w:p>
            <w:pPr>
              <w:spacing w:line="240" w:lineRule="auto" w:before="20" w:after="20"/>
              <w:jc w:val="right"/>
            </w:pPr>
            <w:r/>
            <w:r>
              <w:rPr>
                <w:rFonts w:ascii="Times New Roman" w:hAnsi="Times New Roman"/>
                <w:b w:val="0"/>
                <w:sz w:val="20"/>
              </w:rPr>
              <w:t>Stratification and linkage keys</w:t>
            </w:r>
          </w:p>
        </w:tc>
      </w:tr>
      <w:tr>
        <w:tc>
          <w:tcPr>
            <w:tcW w:type="dxa" w:w="2257"/>
          </w:tcPr>
          <w:p>
            <w:pPr>
              <w:spacing w:line="240" w:lineRule="auto" w:before="20" w:after="20"/>
              <w:jc w:val="left"/>
            </w:pPr>
            <w:r/>
            <w:r>
              <w:rPr>
                <w:rFonts w:ascii="Times New Roman" w:hAnsi="Times New Roman"/>
                <w:b w:val="0"/>
                <w:sz w:val="20"/>
              </w:rPr>
              <w:t>Age, education, trade experience</w:t>
            </w:r>
          </w:p>
        </w:tc>
        <w:tc>
          <w:tcPr>
            <w:tcW w:type="dxa" w:w="2257"/>
          </w:tcPr>
          <w:p>
            <w:pPr>
              <w:spacing w:line="240" w:lineRule="auto" w:before="20" w:after="20"/>
              <w:jc w:val="right"/>
            </w:pPr>
            <w:r/>
            <w:r>
              <w:rPr>
                <w:rFonts w:ascii="Times New Roman" w:hAnsi="Times New Roman"/>
                <w:b w:val="0"/>
                <w:sz w:val="20"/>
              </w:rPr>
              <w:t>Trader socio-economic module</w:t>
            </w:r>
          </w:p>
        </w:tc>
        <w:tc>
          <w:tcPr>
            <w:tcW w:type="dxa" w:w="2257"/>
          </w:tcPr>
          <w:p>
            <w:pPr>
              <w:spacing w:line="240" w:lineRule="auto" w:before="20" w:after="20"/>
              <w:jc w:val="right"/>
            </w:pPr>
            <w:r/>
            <w:r>
              <w:rPr>
                <w:rFonts w:ascii="Times New Roman" w:hAnsi="Times New Roman"/>
                <w:b w:val="0"/>
                <w:sz w:val="20"/>
              </w:rPr>
              <w:t>Years, grade, years</w:t>
            </w:r>
          </w:p>
        </w:tc>
        <w:tc>
          <w:tcPr>
            <w:tcW w:type="dxa" w:w="2257"/>
          </w:tcPr>
          <w:p>
            <w:pPr>
              <w:spacing w:line="240" w:lineRule="auto" w:before="20" w:after="20"/>
              <w:jc w:val="right"/>
            </w:pPr>
            <w:r/>
            <w:r>
              <w:rPr>
                <w:rFonts w:ascii="Times New Roman" w:hAnsi="Times New Roman"/>
                <w:b w:val="0"/>
                <w:sz w:val="20"/>
              </w:rPr>
              <w:t>Actor profile description</w:t>
            </w:r>
          </w:p>
        </w:tc>
      </w:tr>
      <w:tr>
        <w:tc>
          <w:tcPr>
            <w:tcW w:type="dxa" w:w="2257"/>
          </w:tcPr>
          <w:p>
            <w:pPr>
              <w:spacing w:line="240" w:lineRule="auto" w:before="20" w:after="20"/>
              <w:jc w:val="left"/>
            </w:pPr>
            <w:r/>
            <w:r>
              <w:rPr>
                <w:rFonts w:ascii="Times New Roman" w:hAnsi="Times New Roman"/>
                <w:b w:val="0"/>
                <w:sz w:val="20"/>
              </w:rPr>
              <w:t>Quantity handled</w:t>
            </w:r>
          </w:p>
        </w:tc>
        <w:tc>
          <w:tcPr>
            <w:tcW w:type="dxa" w:w="2257"/>
          </w:tcPr>
          <w:p>
            <w:pPr>
              <w:spacing w:line="240" w:lineRule="auto" w:before="20" w:after="20"/>
              <w:jc w:val="right"/>
            </w:pPr>
            <w:r/>
            <w:r>
              <w:rPr>
                <w:rFonts w:ascii="Times New Roman" w:hAnsi="Times New Roman"/>
                <w:b w:val="0"/>
                <w:sz w:val="20"/>
              </w:rPr>
              <w:t>Trader trade module</w:t>
            </w:r>
          </w:p>
        </w:tc>
        <w:tc>
          <w:tcPr>
            <w:tcW w:type="dxa" w:w="2257"/>
          </w:tcPr>
          <w:p>
            <w:pPr>
              <w:spacing w:line="240" w:lineRule="auto" w:before="20" w:after="20"/>
              <w:jc w:val="right"/>
            </w:pPr>
            <w:r/>
            <w:r>
              <w:rPr>
                <w:rFonts w:ascii="Times New Roman" w:hAnsi="Times New Roman"/>
                <w:b w:val="0"/>
                <w:sz w:val="20"/>
              </w:rPr>
              <w:t>kg per day, maund converted</w:t>
            </w:r>
          </w:p>
        </w:tc>
        <w:tc>
          <w:tcPr>
            <w:tcW w:type="dxa" w:w="2257"/>
          </w:tcPr>
          <w:p>
            <w:pPr>
              <w:spacing w:line="240" w:lineRule="auto" w:before="20" w:after="20"/>
              <w:jc w:val="right"/>
            </w:pPr>
            <w:r/>
            <w:r>
              <w:rPr>
                <w:rFonts w:ascii="Times New Roman" w:hAnsi="Times New Roman"/>
                <w:b w:val="0"/>
                <w:sz w:val="20"/>
              </w:rPr>
              <w:t>Volume weights, cost normalisation</w:t>
            </w:r>
          </w:p>
        </w:tc>
      </w:tr>
      <w:tr>
        <w:tc>
          <w:tcPr>
            <w:tcW w:type="dxa" w:w="2257"/>
          </w:tcPr>
          <w:p>
            <w:pPr>
              <w:spacing w:line="240" w:lineRule="auto" w:before="20" w:after="20"/>
              <w:jc w:val="left"/>
            </w:pPr>
            <w:r/>
            <w:r>
              <w:rPr>
                <w:rFonts w:ascii="Times New Roman" w:hAnsi="Times New Roman"/>
                <w:b w:val="0"/>
                <w:sz w:val="20"/>
              </w:rPr>
              <w:t>Buy price by species</w:t>
            </w:r>
          </w:p>
        </w:tc>
        <w:tc>
          <w:tcPr>
            <w:tcW w:type="dxa" w:w="2257"/>
          </w:tcPr>
          <w:p>
            <w:pPr>
              <w:spacing w:line="240" w:lineRule="auto" w:before="20" w:after="20"/>
              <w:jc w:val="right"/>
            </w:pPr>
            <w:r/>
            <w:r>
              <w:rPr>
                <w:rFonts w:ascii="Times New Roman" w:hAnsi="Times New Roman"/>
                <w:b w:val="0"/>
                <w:sz w:val="20"/>
              </w:rPr>
              <w:t>Species grid, traders</w:t>
            </w:r>
          </w:p>
        </w:tc>
        <w:tc>
          <w:tcPr>
            <w:tcW w:type="dxa" w:w="2257"/>
          </w:tcPr>
          <w:p>
            <w:pPr>
              <w:spacing w:line="240" w:lineRule="auto" w:before="20" w:after="20"/>
              <w:jc w:val="right"/>
            </w:pPr>
            <w:r/>
            <w:r>
              <w:rPr>
                <w:rFonts w:ascii="Times New Roman" w:hAnsi="Times New Roman"/>
                <w:b w:val="0"/>
                <w:sz w:val="20"/>
              </w:rPr>
              <w:t>BDT per kg</w:t>
            </w:r>
          </w:p>
        </w:tc>
        <w:tc>
          <w:tcPr>
            <w:tcW w:type="dxa" w:w="2257"/>
          </w:tcPr>
          <w:p>
            <w:pPr>
              <w:spacing w:line="240" w:lineRule="auto" w:before="20" w:after="20"/>
              <w:jc w:val="right"/>
            </w:pPr>
            <w:r/>
            <w:r>
              <w:rPr>
                <w:rFonts w:ascii="Times New Roman" w:hAnsi="Times New Roman"/>
                <w:b w:val="0"/>
                <w:sz w:val="20"/>
              </w:rPr>
              <w:t>Producer-side price proxy</w:t>
            </w:r>
          </w:p>
        </w:tc>
      </w:tr>
      <w:tr>
        <w:tc>
          <w:tcPr>
            <w:tcW w:type="dxa" w:w="2257"/>
          </w:tcPr>
          <w:p>
            <w:pPr>
              <w:spacing w:line="240" w:lineRule="auto" w:before="20" w:after="20"/>
              <w:jc w:val="left"/>
            </w:pPr>
            <w:r/>
            <w:r>
              <w:rPr>
                <w:rFonts w:ascii="Times New Roman" w:hAnsi="Times New Roman"/>
                <w:b w:val="0"/>
                <w:sz w:val="20"/>
              </w:rPr>
              <w:t>Sell price by species</w:t>
            </w:r>
          </w:p>
        </w:tc>
        <w:tc>
          <w:tcPr>
            <w:tcW w:type="dxa" w:w="2257"/>
          </w:tcPr>
          <w:p>
            <w:pPr>
              <w:spacing w:line="240" w:lineRule="auto" w:before="20" w:after="20"/>
              <w:jc w:val="right"/>
            </w:pPr>
            <w:r/>
            <w:r>
              <w:rPr>
                <w:rFonts w:ascii="Times New Roman" w:hAnsi="Times New Roman"/>
                <w:b w:val="0"/>
                <w:sz w:val="20"/>
              </w:rPr>
              <w:t>Species grid, traders; Form C</w:t>
            </w:r>
          </w:p>
        </w:tc>
        <w:tc>
          <w:tcPr>
            <w:tcW w:type="dxa" w:w="2257"/>
          </w:tcPr>
          <w:p>
            <w:pPr>
              <w:spacing w:line="240" w:lineRule="auto" w:before="20" w:after="20"/>
              <w:jc w:val="right"/>
            </w:pPr>
            <w:r/>
            <w:r>
              <w:rPr>
                <w:rFonts w:ascii="Times New Roman" w:hAnsi="Times New Roman"/>
                <w:b w:val="0"/>
                <w:sz w:val="20"/>
              </w:rPr>
              <w:t>BDT per kg</w:t>
            </w:r>
          </w:p>
        </w:tc>
        <w:tc>
          <w:tcPr>
            <w:tcW w:type="dxa" w:w="2257"/>
          </w:tcPr>
          <w:p>
            <w:pPr>
              <w:spacing w:line="240" w:lineRule="auto" w:before="20" w:after="20"/>
              <w:jc w:val="right"/>
            </w:pPr>
            <w:r/>
            <w:r>
              <w:rPr>
                <w:rFonts w:ascii="Times New Roman" w:hAnsi="Times New Roman"/>
                <w:b w:val="0"/>
                <w:sz w:val="20"/>
              </w:rPr>
              <w:t>Retail price anchor, margin construction</w:t>
            </w:r>
          </w:p>
        </w:tc>
      </w:tr>
      <w:tr>
        <w:tc>
          <w:tcPr>
            <w:tcW w:type="dxa" w:w="2257"/>
          </w:tcPr>
          <w:p>
            <w:pPr>
              <w:spacing w:line="240" w:lineRule="auto" w:before="20" w:after="20"/>
              <w:jc w:val="left"/>
            </w:pPr>
            <w:r/>
            <w:r>
              <w:rPr>
                <w:rFonts w:ascii="Times New Roman" w:hAnsi="Times New Roman"/>
                <w:b w:val="0"/>
                <w:sz w:val="20"/>
              </w:rPr>
              <w:t>Pair identifier</w:t>
            </w:r>
          </w:p>
        </w:tc>
        <w:tc>
          <w:tcPr>
            <w:tcW w:type="dxa" w:w="2257"/>
          </w:tcPr>
          <w:p>
            <w:pPr>
              <w:spacing w:line="240" w:lineRule="auto" w:before="20" w:after="20"/>
              <w:jc w:val="right"/>
            </w:pPr>
            <w:r/>
            <w:r>
              <w:rPr>
                <w:rFonts w:ascii="Times New Roman" w:hAnsi="Times New Roman"/>
                <w:b w:val="0"/>
                <w:sz w:val="20"/>
              </w:rPr>
              <w:t>Link-tracing fields</w:t>
            </w:r>
          </w:p>
        </w:tc>
        <w:tc>
          <w:tcPr>
            <w:tcW w:type="dxa" w:w="2257"/>
          </w:tcPr>
          <w:p>
            <w:pPr>
              <w:spacing w:line="240" w:lineRule="auto" w:before="20" w:after="20"/>
              <w:jc w:val="right"/>
            </w:pPr>
            <w:r/>
            <w:r>
              <w:rPr>
                <w:rFonts w:ascii="Times New Roman" w:hAnsi="Times New Roman"/>
                <w:b w:val="0"/>
                <w:sz w:val="20"/>
              </w:rPr>
              <w:t>Match code</w:t>
            </w:r>
          </w:p>
        </w:tc>
        <w:tc>
          <w:tcPr>
            <w:tcW w:type="dxa" w:w="2257"/>
          </w:tcPr>
          <w:p>
            <w:pPr>
              <w:spacing w:line="240" w:lineRule="auto" w:before="20" w:after="20"/>
              <w:jc w:val="right"/>
            </w:pPr>
            <w:r/>
            <w:r>
              <w:rPr>
                <w:rFonts w:ascii="Times New Roman" w:hAnsi="Times New Roman"/>
                <w:b w:val="0"/>
                <w:sz w:val="20"/>
              </w:rPr>
              <w:t>Wilcoxon signed-rank validation sample</w:t>
            </w:r>
          </w:p>
        </w:tc>
      </w:tr>
      <w:tr>
        <w:tc>
          <w:tcPr>
            <w:tcW w:type="dxa" w:w="2257"/>
          </w:tcPr>
          <w:p>
            <w:pPr>
              <w:spacing w:line="240" w:lineRule="auto" w:before="20" w:after="20"/>
              <w:jc w:val="left"/>
            </w:pPr>
            <w:r/>
            <w:r>
              <w:rPr>
                <w:rFonts w:ascii="Times New Roman" w:hAnsi="Times New Roman"/>
                <w:b w:val="0"/>
                <w:sz w:val="20"/>
              </w:rPr>
              <w:t>Marketing costs</w:t>
            </w:r>
          </w:p>
        </w:tc>
        <w:tc>
          <w:tcPr>
            <w:tcW w:type="dxa" w:w="2257"/>
          </w:tcPr>
          <w:p>
            <w:pPr>
              <w:spacing w:line="240" w:lineRule="auto" w:before="20" w:after="20"/>
              <w:jc w:val="right"/>
            </w:pPr>
            <w:r/>
            <w:r>
              <w:rPr>
                <w:rFonts w:ascii="Times New Roman" w:hAnsi="Times New Roman"/>
                <w:b w:val="0"/>
                <w:sz w:val="20"/>
              </w:rPr>
              <w:t>Actor-specific cost modules</w:t>
            </w:r>
          </w:p>
        </w:tc>
        <w:tc>
          <w:tcPr>
            <w:tcW w:type="dxa" w:w="2257"/>
          </w:tcPr>
          <w:p>
            <w:pPr>
              <w:spacing w:line="240" w:lineRule="auto" w:before="20" w:after="20"/>
              <w:jc w:val="right"/>
            </w:pPr>
            <w:r/>
            <w:r>
              <w:rPr>
                <w:rFonts w:ascii="Times New Roman" w:hAnsi="Times New Roman"/>
                <w:b w:val="0"/>
                <w:sz w:val="20"/>
              </w:rPr>
              <w:t>BDT plus frequency codes</w:t>
            </w:r>
          </w:p>
        </w:tc>
        <w:tc>
          <w:tcPr>
            <w:tcW w:type="dxa" w:w="2257"/>
          </w:tcPr>
          <w:p>
            <w:pPr>
              <w:spacing w:line="240" w:lineRule="auto" w:before="20" w:after="20"/>
              <w:jc w:val="right"/>
            </w:pPr>
            <w:r/>
            <w:r>
              <w:rPr>
                <w:rFonts w:ascii="Times New Roman" w:hAnsi="Times New Roman"/>
                <w:b w:val="0"/>
                <w:sz w:val="20"/>
              </w:rPr>
              <w:t>Per-kilogram marketing cost</w:t>
            </w:r>
          </w:p>
        </w:tc>
      </w:tr>
      <w:tr>
        <w:tc>
          <w:tcPr>
            <w:tcW w:type="dxa" w:w="2257"/>
          </w:tcPr>
          <w:p>
            <w:pPr>
              <w:spacing w:line="240" w:lineRule="auto" w:before="20" w:after="20"/>
              <w:jc w:val="left"/>
            </w:pPr>
            <w:r/>
            <w:r>
              <w:rPr>
                <w:rFonts w:ascii="Times New Roman" w:hAnsi="Times New Roman"/>
                <w:b w:val="0"/>
                <w:sz w:val="20"/>
              </w:rPr>
              <w:t>Commission</w:t>
            </w:r>
          </w:p>
        </w:tc>
        <w:tc>
          <w:tcPr>
            <w:tcW w:type="dxa" w:w="2257"/>
          </w:tcPr>
          <w:p>
            <w:pPr>
              <w:spacing w:line="240" w:lineRule="auto" w:before="20" w:after="20"/>
              <w:jc w:val="right"/>
            </w:pPr>
            <w:r/>
            <w:r>
              <w:rPr>
                <w:rFonts w:ascii="Times New Roman" w:hAnsi="Times New Roman"/>
                <w:b w:val="0"/>
                <w:sz w:val="20"/>
              </w:rPr>
              <w:t>Form A and Form B modules</w:t>
            </w:r>
          </w:p>
        </w:tc>
        <w:tc>
          <w:tcPr>
            <w:tcW w:type="dxa" w:w="2257"/>
          </w:tcPr>
          <w:p>
            <w:pPr>
              <w:spacing w:line="240" w:lineRule="auto" w:before="20" w:after="20"/>
              <w:jc w:val="right"/>
            </w:pPr>
            <w:r/>
            <w:r>
              <w:rPr>
                <w:rFonts w:ascii="Times New Roman" w:hAnsi="Times New Roman"/>
                <w:b w:val="0"/>
                <w:sz w:val="20"/>
              </w:rPr>
              <w:t>Per cent per lot or BDT per kg</w:t>
            </w:r>
          </w:p>
        </w:tc>
        <w:tc>
          <w:tcPr>
            <w:tcW w:type="dxa" w:w="2257"/>
          </w:tcPr>
          <w:p>
            <w:pPr>
              <w:spacing w:line="240" w:lineRule="auto" w:before="20" w:after="20"/>
              <w:jc w:val="right"/>
            </w:pPr>
            <w:r/>
            <w:r>
              <w:rPr>
                <w:rFonts w:ascii="Times New Roman" w:hAnsi="Times New Roman"/>
                <w:b w:val="0"/>
                <w:sz w:val="20"/>
              </w:rPr>
              <w:t>Channel margin decomposition</w:t>
            </w:r>
          </w:p>
        </w:tc>
      </w:tr>
      <w:tr>
        <w:tc>
          <w:tcPr>
            <w:tcW w:type="dxa" w:w="2257"/>
          </w:tcPr>
          <w:p>
            <w:pPr>
              <w:spacing w:line="240" w:lineRule="auto" w:before="20" w:after="20"/>
              <w:jc w:val="left"/>
            </w:pPr>
            <w:r/>
            <w:r>
              <w:rPr>
                <w:rFonts w:ascii="Times New Roman" w:hAnsi="Times New Roman"/>
                <w:b w:val="0"/>
                <w:sz w:val="20"/>
              </w:rPr>
              <w:t>Damage or spoilage</w:t>
            </w:r>
          </w:p>
        </w:tc>
        <w:tc>
          <w:tcPr>
            <w:tcW w:type="dxa" w:w="2257"/>
          </w:tcPr>
          <w:p>
            <w:pPr>
              <w:spacing w:line="240" w:lineRule="auto" w:before="20" w:after="20"/>
              <w:jc w:val="right"/>
            </w:pPr>
            <w:r/>
            <w:r>
              <w:rPr>
                <w:rFonts w:ascii="Times New Roman" w:hAnsi="Times New Roman"/>
                <w:b w:val="0"/>
                <w:sz w:val="20"/>
              </w:rPr>
              <w:t>Self-reported per cent of lot value</w:t>
            </w:r>
          </w:p>
        </w:tc>
        <w:tc>
          <w:tcPr>
            <w:tcW w:type="dxa" w:w="2257"/>
          </w:tcPr>
          <w:p>
            <w:pPr>
              <w:spacing w:line="240" w:lineRule="auto" w:before="20" w:after="20"/>
              <w:jc w:val="right"/>
            </w:pPr>
            <w:r/>
            <w:r>
              <w:rPr>
                <w:rFonts w:ascii="Times New Roman" w:hAnsi="Times New Roman"/>
                <w:b w:val="0"/>
                <w:sz w:val="20"/>
              </w:rPr>
              <w:t>Per cent</w:t>
            </w:r>
          </w:p>
        </w:tc>
        <w:tc>
          <w:tcPr>
            <w:tcW w:type="dxa" w:w="2257"/>
          </w:tcPr>
          <w:p>
            <w:pPr>
              <w:spacing w:line="240" w:lineRule="auto" w:before="20" w:after="20"/>
              <w:jc w:val="right"/>
            </w:pPr>
            <w:r/>
            <w:r>
              <w:rPr>
                <w:rFonts w:ascii="Times New Roman" w:hAnsi="Times New Roman"/>
                <w:b w:val="0"/>
                <w:sz w:val="20"/>
              </w:rPr>
              <w:t>Loss adjustment, robustness</w:t>
            </w:r>
          </w:p>
        </w:tc>
      </w:tr>
      <w:tr>
        <w:tc>
          <w:tcPr>
            <w:tcW w:type="dxa" w:w="2257"/>
          </w:tcPr>
          <w:p>
            <w:pPr>
              <w:spacing w:line="240" w:lineRule="auto" w:before="20" w:after="20"/>
              <w:jc w:val="left"/>
            </w:pPr>
            <w:r/>
            <w:r>
              <w:rPr>
                <w:rFonts w:ascii="Times New Roman" w:hAnsi="Times New Roman"/>
                <w:b w:val="0"/>
                <w:sz w:val="20"/>
              </w:rPr>
              <w:t>Payment mode mix</w:t>
            </w:r>
          </w:p>
        </w:tc>
        <w:tc>
          <w:tcPr>
            <w:tcW w:type="dxa" w:w="2257"/>
          </w:tcPr>
          <w:p>
            <w:pPr>
              <w:spacing w:line="240" w:lineRule="auto" w:before="20" w:after="20"/>
              <w:jc w:val="right"/>
            </w:pPr>
            <w:r/>
            <w:r>
              <w:rPr>
                <w:rFonts w:ascii="Times New Roman" w:hAnsi="Times New Roman"/>
                <w:b w:val="0"/>
                <w:sz w:val="20"/>
              </w:rPr>
              <w:t>Payment module, all forms</w:t>
            </w:r>
          </w:p>
        </w:tc>
        <w:tc>
          <w:tcPr>
            <w:tcW w:type="dxa" w:w="2257"/>
          </w:tcPr>
          <w:p>
            <w:pPr>
              <w:spacing w:line="240" w:lineRule="auto" w:before="20" w:after="20"/>
              <w:jc w:val="right"/>
            </w:pPr>
            <w:r/>
            <w:r>
              <w:rPr>
                <w:rFonts w:ascii="Times New Roman" w:hAnsi="Times New Roman"/>
                <w:b w:val="0"/>
                <w:sz w:val="20"/>
              </w:rPr>
              <w:t>Cash, MFS, credit</w:t>
            </w:r>
          </w:p>
        </w:tc>
        <w:tc>
          <w:tcPr>
            <w:tcW w:type="dxa" w:w="2257"/>
          </w:tcPr>
          <w:p>
            <w:pPr>
              <w:spacing w:line="240" w:lineRule="auto" w:before="20" w:after="20"/>
              <w:jc w:val="right"/>
            </w:pPr>
            <w:r/>
            <w:r>
              <w:rPr>
                <w:rFonts w:ascii="Times New Roman" w:hAnsi="Times New Roman"/>
                <w:b w:val="0"/>
                <w:sz w:val="20"/>
              </w:rPr>
              <w:t>Chi-square test of mode shares</w:t>
            </w:r>
          </w:p>
        </w:tc>
      </w:tr>
      <w:tr>
        <w:tc>
          <w:tcPr>
            <w:tcW w:type="dxa" w:w="2257"/>
          </w:tcPr>
          <w:p>
            <w:pPr>
              <w:spacing w:line="240" w:lineRule="auto" w:before="20" w:after="20"/>
              <w:jc w:val="left"/>
            </w:pPr>
            <w:r/>
            <w:r>
              <w:rPr>
                <w:rFonts w:ascii="Times New Roman" w:hAnsi="Times New Roman"/>
                <w:b w:val="0"/>
                <w:sz w:val="20"/>
              </w:rPr>
              <w:t>Market facilities</w:t>
            </w:r>
          </w:p>
        </w:tc>
        <w:tc>
          <w:tcPr>
            <w:tcW w:type="dxa" w:w="2257"/>
          </w:tcPr>
          <w:p>
            <w:pPr>
              <w:spacing w:line="240" w:lineRule="auto" w:before="20" w:after="20"/>
              <w:jc w:val="right"/>
            </w:pPr>
            <w:r/>
            <w:r>
              <w:rPr>
                <w:rFonts w:ascii="Times New Roman" w:hAnsi="Times New Roman"/>
                <w:b w:val="0"/>
                <w:sz w:val="20"/>
              </w:rPr>
              <w:t>Form M observation</w:t>
            </w:r>
          </w:p>
        </w:tc>
        <w:tc>
          <w:tcPr>
            <w:tcW w:type="dxa" w:w="2257"/>
          </w:tcPr>
          <w:p>
            <w:pPr>
              <w:spacing w:line="240" w:lineRule="auto" w:before="20" w:after="20"/>
              <w:jc w:val="right"/>
            </w:pPr>
            <w:r/>
            <w:r>
              <w:rPr>
                <w:rFonts w:ascii="Times New Roman" w:hAnsi="Times New Roman"/>
                <w:b w:val="0"/>
                <w:sz w:val="20"/>
              </w:rPr>
              <w:t>Graded checklist items</w:t>
            </w:r>
          </w:p>
        </w:tc>
        <w:tc>
          <w:tcPr>
            <w:tcW w:type="dxa" w:w="2257"/>
          </w:tcPr>
          <w:p>
            <w:pPr>
              <w:spacing w:line="240" w:lineRule="auto" w:before="20" w:after="20"/>
              <w:jc w:val="right"/>
            </w:pPr>
            <w:r/>
            <w:r>
              <w:rPr>
                <w:rFonts w:ascii="Times New Roman" w:hAnsi="Times New Roman"/>
                <w:b w:val="0"/>
                <w:sz w:val="20"/>
              </w:rPr>
              <w:t>Contextual profile of markets</w:t>
            </w:r>
          </w:p>
        </w:tc>
      </w:tr>
    </w:tbl>
    <w:p>
      <w:pPr>
        <w:spacing w:line="264" w:lineRule="auto" w:before="40" w:after="120"/>
        <w:jc w:val="left"/>
      </w:pPr>
      <w:r>
        <w:rPr>
          <w:rFonts w:ascii="Times New Roman" w:hAnsi="Times New Roman"/>
          <w:b w:val="0"/>
          <w:i/>
          <w:sz w:val="18"/>
        </w:rPr>
        <w:t>Source: author's construction from the instrument battery.</w:t>
      </w:r>
    </w:p>
    <w:p>
      <w:pPr>
        <w:pStyle w:val="Heading2"/>
      </w:pPr>
      <w:r>
        <w:t>3.7 Analytical framework for marketing performance</w:t>
      </w:r>
    </w:p>
    <w:p>
      <w:pPr>
        <w:pStyle w:val="Heading3"/>
      </w:pPr>
      <w:r>
        <w:t>3.7.1 Marketing cost</w:t>
      </w:r>
    </w:p>
    <w:p>
      <w:pPr>
        <w:spacing w:line="317" w:lineRule="auto" w:before="0" w:after="200"/>
        <w:jc w:val="left"/>
      </w:pPr>
      <w:r>
        <w:rPr>
          <w:rFonts w:ascii="Times New Roman" w:hAnsi="Times New Roman"/>
          <w:b w:val="0"/>
          <w:i w:val="0"/>
          <w:sz w:val="24"/>
        </w:rPr>
        <w:t>For every trader i in stratum k, total marketing cost per kilogram is the sum of itemised cash expenses, that is rent or toll, electricity where applicable, transport including loading and unloading, wages, commission paid, icing, tools and washing water, and other sundries, normalised to the kilogram basis by quantity handled:</w:t>
      </w:r>
    </w:p>
    <w:p>
      <w:pPr>
        <w:tabs>
          <w:tab w:pos="9360" w:val="right"/>
        </w:tabs>
        <w:spacing w:line="317" w:lineRule="auto" w:before="80" w:after="80"/>
      </w:pPr>
      <w:r>
        <w:rPr>
          <w:rFonts w:ascii="Times New Roman" w:hAnsi="Times New Roman"/>
          <w:i/>
          <w:sz w:val="24"/>
        </w:rPr>
        <w:t>MCki = (Sum of cri) / Qki,  r = 1 to R</w:t>
        <w:tab/>
        <w:t>(3.3)</w:t>
      </w:r>
    </w:p>
    <w:p>
      <w:pPr>
        <w:spacing w:line="317" w:lineRule="auto" w:before="0" w:after="200"/>
        <w:jc w:val="left"/>
      </w:pPr>
      <w:r>
        <w:rPr>
          <w:rFonts w:ascii="Times New Roman" w:hAnsi="Times New Roman"/>
          <w:b w:val="0"/>
          <w:i w:val="0"/>
          <w:sz w:val="24"/>
        </w:rPr>
        <w:t>where cri is the expense on cost item r by respondent i, Qki is the quantity handled per day by respondent i in stratum k, and R is the number of applicable cost items. This is applied to all three strata rather than to retailers alone, because the wholesale tiers are where the largest per-kilogram costs fall and omitting them would bias the net-margin and efficiency indicators that follow.</w:t>
      </w:r>
    </w:p>
    <w:p>
      <w:pPr>
        <w:pStyle w:val="Heading3"/>
      </w:pPr>
      <w:r>
        <w:t>3.7.2 Segment margins and profit</w:t>
      </w:r>
    </w:p>
    <w:p>
      <w:pPr>
        <w:spacing w:line="317" w:lineRule="auto" w:before="0" w:after="200"/>
        <w:jc w:val="left"/>
      </w:pPr>
      <w:r>
        <w:rPr>
          <w:rFonts w:ascii="Times New Roman" w:hAnsi="Times New Roman"/>
          <w:b w:val="0"/>
          <w:i w:val="0"/>
          <w:sz w:val="24"/>
        </w:rPr>
        <w:t>The absolute margin earned at any channel segment equals the spread between the respondent's recorded selling and buying prices for the same species-day quote, and segment profit deducts marketing cost from that spread:</w:t>
      </w:r>
    </w:p>
    <w:p>
      <w:pPr>
        <w:tabs>
          <w:tab w:pos="9360" w:val="right"/>
        </w:tabs>
        <w:spacing w:line="317" w:lineRule="auto" w:before="80" w:after="80"/>
      </w:pPr>
      <w:r>
        <w:rPr>
          <w:rFonts w:ascii="Times New Roman" w:hAnsi="Times New Roman"/>
          <w:i/>
          <w:sz w:val="24"/>
        </w:rPr>
        <w:t>Mki = Psi - Pbi</w:t>
        <w:tab/>
        <w:t>(3.4)</w:t>
      </w:r>
    </w:p>
    <w:p>
      <w:pPr>
        <w:tabs>
          <w:tab w:pos="9360" w:val="right"/>
        </w:tabs>
        <w:spacing w:line="317" w:lineRule="auto" w:before="80" w:after="80"/>
      </w:pPr>
      <w:r>
        <w:rPr>
          <w:rFonts w:ascii="Times New Roman" w:hAnsi="Times New Roman"/>
          <w:i/>
          <w:sz w:val="24"/>
        </w:rPr>
        <w:t>NetProfit_ki = Mki - MCki</w:t>
        <w:tab/>
        <w:t>(3.5)</w:t>
      </w:r>
    </w:p>
    <w:p>
      <w:pPr>
        <w:spacing w:line="317" w:lineRule="auto" w:before="0" w:after="200"/>
        <w:jc w:val="left"/>
      </w:pPr>
      <w:r>
        <w:rPr>
          <w:rFonts w:ascii="Times New Roman" w:hAnsi="Times New Roman"/>
          <w:b w:val="0"/>
          <w:i w:val="0"/>
          <w:sz w:val="24"/>
        </w:rPr>
        <w:t>where Psi and Pbi are the selling and buying prices per kilogram quoted by respondent i.</w:t>
      </w:r>
    </w:p>
    <w:p>
      <w:pPr>
        <w:pStyle w:val="Heading3"/>
      </w:pPr>
      <w:r>
        <w:t>3.7.3 Channel-level indicators</w:t>
      </w:r>
    </w:p>
    <w:p>
      <w:pPr>
        <w:spacing w:line="317" w:lineRule="auto" w:before="0" w:after="200"/>
        <w:jc w:val="left"/>
      </w:pPr>
      <w:r>
        <w:rPr>
          <w:rFonts w:ascii="Times New Roman" w:hAnsi="Times New Roman"/>
          <w:b w:val="0"/>
          <w:i w:val="0"/>
          <w:sz w:val="24"/>
        </w:rPr>
        <w:t>Following the marketing-margin framework of Kohls and Uhl (1980), four standard chain-level indicators are computed per species, using mean prices over valid observations, where Pr is the mean retail price per kilogram validated by consumer slips and Pp is the mean producer-side first-sale price per kilogram:</w:t>
      </w:r>
    </w:p>
    <w:p>
      <w:pPr>
        <w:tabs>
          <w:tab w:pos="9360" w:val="right"/>
        </w:tabs>
        <w:spacing w:line="317" w:lineRule="auto" w:before="80" w:after="80"/>
      </w:pPr>
      <w:r>
        <w:rPr>
          <w:rFonts w:ascii="Times New Roman" w:hAnsi="Times New Roman"/>
          <w:i/>
          <w:sz w:val="24"/>
        </w:rPr>
        <w:t>Price spread = Pr - Pp</w:t>
        <w:tab/>
        <w:t>(3.6)</w:t>
      </w:r>
    </w:p>
    <w:p>
      <w:pPr>
        <w:tabs>
          <w:tab w:pos="9360" w:val="right"/>
        </w:tabs>
        <w:spacing w:line="317" w:lineRule="auto" w:before="80" w:after="80"/>
      </w:pPr>
      <w:r>
        <w:rPr>
          <w:rFonts w:ascii="Times New Roman" w:hAnsi="Times New Roman"/>
          <w:i/>
          <w:sz w:val="24"/>
        </w:rPr>
        <w:t>GMM% = [(Pr - Pp) / Pr] x 100</w:t>
        <w:tab/>
        <w:t>(3.7)</w:t>
      </w:r>
    </w:p>
    <w:p>
      <w:pPr>
        <w:tabs>
          <w:tab w:pos="9360" w:val="right"/>
        </w:tabs>
        <w:spacing w:line="317" w:lineRule="auto" w:before="80" w:after="80"/>
      </w:pPr>
      <w:r>
        <w:rPr>
          <w:rFonts w:ascii="Times New Roman" w:hAnsi="Times New Roman"/>
          <w:i/>
          <w:sz w:val="24"/>
        </w:rPr>
        <w:t>NMM% = [(Pr - Pp - SumMC) / Pr] x 100</w:t>
        <w:tab/>
        <w:t>(3.8)</w:t>
      </w:r>
    </w:p>
    <w:p>
      <w:pPr>
        <w:tabs>
          <w:tab w:pos="9360" w:val="right"/>
        </w:tabs>
        <w:spacing w:line="317" w:lineRule="auto" w:before="80" w:after="80"/>
      </w:pPr>
      <w:r>
        <w:rPr>
          <w:rFonts w:ascii="Times New Roman" w:hAnsi="Times New Roman"/>
          <w:i/>
          <w:sz w:val="24"/>
        </w:rPr>
        <w:t>PS% = (Pp / Pr) x 100</w:t>
        <w:tab/>
        <w:t>(3.9)</w:t>
      </w:r>
    </w:p>
    <w:p>
      <w:pPr>
        <w:spacing w:line="317" w:lineRule="auto" w:before="0" w:after="200"/>
        <w:jc w:val="left"/>
      </w:pPr>
      <w:r>
        <w:rPr>
          <w:rFonts w:ascii="Times New Roman" w:hAnsi="Times New Roman"/>
          <w:b w:val="0"/>
          <w:i w:val="0"/>
          <w:sz w:val="24"/>
        </w:rPr>
        <w:t>where SumMC is the summed per-kilogram marketing cost of all surveyed segments in the chain, GMM per cent is the gross marketing margin, NMM per cent is the net marketing margin, and PS per cent is the producer's share of the consumer's taka.</w:t>
      </w:r>
    </w:p>
    <w:p>
      <w:pPr>
        <w:pStyle w:val="Heading3"/>
      </w:pPr>
      <w:r>
        <w:t>3.7.4 Marketing efficiency</w:t>
      </w:r>
    </w:p>
    <w:p>
      <w:pPr>
        <w:spacing w:line="317" w:lineRule="auto" w:before="0" w:after="200"/>
        <w:jc w:val="left"/>
      </w:pPr>
      <w:r>
        <w:rPr>
          <w:rFonts w:ascii="Times New Roman" w:hAnsi="Times New Roman"/>
          <w:b w:val="0"/>
          <w:i w:val="0"/>
          <w:sz w:val="24"/>
        </w:rPr>
        <w:t>Operational efficiency follows Shepherd's (1965) ratio of output value to input costs, applied on a per-kilogram chain basis. Values above unity indicate that more of the final price remains as product value than is consumed by marketing services:</w:t>
      </w:r>
    </w:p>
    <w:p>
      <w:pPr>
        <w:tabs>
          <w:tab w:pos="9360" w:val="right"/>
        </w:tabs>
        <w:spacing w:line="317" w:lineRule="auto" w:before="80" w:after="80"/>
      </w:pPr>
      <w:r>
        <w:rPr>
          <w:rFonts w:ascii="Times New Roman" w:hAnsi="Times New Roman"/>
          <w:i/>
          <w:sz w:val="24"/>
        </w:rPr>
        <w:t>ME = Pr / (SumMC + SumM)</w:t>
        <w:tab/>
        <w:t>(3.10)</w:t>
      </w:r>
    </w:p>
    <w:p>
      <w:pPr>
        <w:spacing w:line="317" w:lineRule="auto" w:before="0" w:after="200"/>
        <w:jc w:val="left"/>
      </w:pPr>
      <w:r>
        <w:rPr>
          <w:rFonts w:ascii="Times New Roman" w:hAnsi="Times New Roman"/>
          <w:b w:val="0"/>
          <w:i w:val="0"/>
          <w:sz w:val="24"/>
        </w:rPr>
        <w:t>where SumM is the summed segment margins along the chain. As a complementary producer-referenced measure, following Acharya and Agarwal's (1987) convention that efficiency assessment should also be judged from the producer's side, the same ratio is recomputed with Pp in place of Pr. The two versions are reported side by side rather than treated as interchangeable, since they answer different questions.</w:t>
      </w:r>
    </w:p>
    <w:p>
      <w:pPr>
        <w:pStyle w:val="Heading3"/>
      </w:pPr>
      <w:r>
        <w:t>3.7.5 Operational conventions for constructing the price chain</w:t>
      </w:r>
    </w:p>
    <w:p>
      <w:pPr>
        <w:spacing w:line="317" w:lineRule="auto" w:before="0" w:after="200"/>
        <w:jc w:val="left"/>
      </w:pPr>
      <w:r>
        <w:rPr>
          <w:rFonts w:ascii="Times New Roman" w:hAnsi="Times New Roman"/>
          <w:b w:val="0"/>
          <w:i w:val="0"/>
          <w:sz w:val="24"/>
        </w:rPr>
        <w:t>Equations 3.6 to 3.10 require four conventions that must be made operational before they can be computed reproducibly. First, the producer price is taken from the landing-linked markets only: Pp is the Form A purchase quote at M1 Fishery Ghat and M6 Patenga, where an aratdar's buy price is the net auction price paid to the fisherman. Aratdar buy quotes at the four retail markets are downstream wholesale purchases rather than first sales and are excluded from Pp by construction. Second, the retail anchor is the price consumers actually paid: Pr is the Form C consumer-paid price rather than the retailer's own selling quote, which is retained alongside it because the gap between the two is itself informative but is not used to compute margins. Anchoring on the realised consumer price is what makes the three segment margins telescope to the spread and makes the producer's share and the spread percentage sum to 100.</w:t>
      </w:r>
    </w:p>
    <w:p>
      <w:pPr>
        <w:spacing w:line="317" w:lineRule="auto" w:before="0" w:after="200"/>
        <w:jc w:val="left"/>
      </w:pPr>
      <w:r>
        <w:rPr>
          <w:rFonts w:ascii="Times New Roman" w:hAnsi="Times New Roman"/>
          <w:b w:val="0"/>
          <w:i w:val="0"/>
          <w:sz w:val="24"/>
        </w:rPr>
        <w:t>Third, chain completeness is a joint test: a species enters the pooled chain figures only if it has valid quotations at all four chain levels, at least three consumer-purchase observations and at least three markets. The market-coverage floor is applied as well as the consumer-slip floor so that a species can never be flagged descriptive-only under the Section 3.8 rule while still contributing to the pooled estimate. Fourth, costs are converted to a common daily basis and physical losses are valued: mixed-frequency expense items are converted to BDT per trading day using 26 trading days per month and 312 per year, then divided by the respondent's own throughput, while physical losses, that is retailer spoilage and bepari transit damage, are valued at the respondent's own mean purchase price, because an unsold or damaged kilogram is a genuine cost.</w:t>
      </w:r>
    </w:p>
    <w:p>
      <w:pPr>
        <w:pStyle w:val="Heading2"/>
      </w:pPr>
      <w:r>
        <w:t>3.8 Statistical analysis</w:t>
      </w:r>
    </w:p>
    <w:p>
      <w:pPr>
        <w:spacing w:line="317" w:lineRule="auto" w:before="0" w:after="200"/>
        <w:jc w:val="left"/>
      </w:pPr>
      <w:r>
        <w:rPr>
          <w:rFonts w:ascii="Times New Roman" w:hAnsi="Times New Roman"/>
          <w:b w:val="0"/>
          <w:i w:val="0"/>
          <w:sz w:val="24"/>
        </w:rPr>
        <w:t>Analysis runs in R statistical software (R Core Team, 2025) with an annotated script retained for full reproducibility. Price and margin distributions in informal fish markets rarely satisfy normality or homogeneity of variance, confirmed here by Shapiro-Wilk screening on the pooled series before any test is applied, so the inferential battery relies on distribution-free procedures throughout, evaluated two-sidedly at the five per cent significance level (Table 3.4). Multiple pairwise contrasts following significant omnibus tests use Holm's (1979) step-down familywise error control. Because species compositions differ across respondents, inter-market comparisons are always executed within a single species and never pooled across species.</w:t>
      </w:r>
    </w:p>
    <w:p>
      <w:pPr>
        <w:keepNext/>
        <w:spacing w:line="240" w:lineRule="auto" w:before="200" w:after="60"/>
        <w:jc w:val="center"/>
      </w:pPr>
      <w:r>
        <w:rPr>
          <w:rFonts w:ascii="Times New Roman" w:hAnsi="Times New Roman"/>
          <w:b/>
          <w:i w:val="0"/>
          <w:sz w:val="20"/>
        </w:rPr>
        <w:t>Table 3.4: Analytical questions mapped to statistical tests and decision rules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Research question</w:t>
            </w:r>
          </w:p>
        </w:tc>
        <w:tc>
          <w:tcPr>
            <w:tcW w:type="dxa" w:w="2257"/>
          </w:tcPr>
          <w:p>
            <w:pPr>
              <w:spacing w:line="240" w:lineRule="auto" w:before="20" w:after="20"/>
              <w:jc w:val="right"/>
            </w:pPr>
            <w:r/>
            <w:r>
              <w:rPr>
                <w:rFonts w:ascii="Times New Roman" w:hAnsi="Times New Roman"/>
                <w:b/>
                <w:sz w:val="20"/>
              </w:rPr>
              <w:t>Data</w:t>
            </w:r>
          </w:p>
        </w:tc>
        <w:tc>
          <w:tcPr>
            <w:tcW w:type="dxa" w:w="2257"/>
          </w:tcPr>
          <w:p>
            <w:pPr>
              <w:spacing w:line="240" w:lineRule="auto" w:before="20" w:after="20"/>
              <w:jc w:val="right"/>
            </w:pPr>
            <w:r/>
            <w:r>
              <w:rPr>
                <w:rFonts w:ascii="Times New Roman" w:hAnsi="Times New Roman"/>
                <w:b/>
                <w:sz w:val="20"/>
              </w:rPr>
              <w:t>Test statistic</w:t>
            </w:r>
          </w:p>
        </w:tc>
        <w:tc>
          <w:tcPr>
            <w:tcW w:type="dxa" w:w="2257"/>
          </w:tcPr>
          <w:p>
            <w:pPr>
              <w:spacing w:line="240" w:lineRule="auto" w:before="20" w:after="20"/>
              <w:jc w:val="right"/>
            </w:pPr>
            <w:r/>
            <w:r>
              <w:rPr>
                <w:rFonts w:ascii="Times New Roman" w:hAnsi="Times New Roman"/>
                <w:b/>
                <w:sz w:val="20"/>
              </w:rPr>
              <w:t>Decision rule</w:t>
            </w:r>
          </w:p>
        </w:tc>
      </w:tr>
      <w:tr>
        <w:tc>
          <w:tcPr>
            <w:tcW w:type="dxa" w:w="2257"/>
          </w:tcPr>
          <w:p>
            <w:pPr>
              <w:spacing w:line="240" w:lineRule="auto" w:before="20" w:after="20"/>
              <w:jc w:val="left"/>
            </w:pPr>
            <w:r/>
            <w:r>
              <w:rPr>
                <w:rFonts w:ascii="Times New Roman" w:hAnsi="Times New Roman"/>
                <w:b w:val="0"/>
                <w:sz w:val="20"/>
              </w:rPr>
              <w:t>Do prices of the same species differ across markets?</w:t>
            </w:r>
          </w:p>
        </w:tc>
        <w:tc>
          <w:tcPr>
            <w:tcW w:type="dxa" w:w="2257"/>
          </w:tcPr>
          <w:p>
            <w:pPr>
              <w:spacing w:line="240" w:lineRule="auto" w:before="20" w:after="20"/>
              <w:jc w:val="right"/>
            </w:pPr>
            <w:r/>
            <w:r>
              <w:rPr>
                <w:rFonts w:ascii="Times New Roman" w:hAnsi="Times New Roman"/>
                <w:b w:val="0"/>
                <w:sz w:val="20"/>
              </w:rPr>
              <w:t>Species-wise prices by market</w:t>
            </w:r>
          </w:p>
        </w:tc>
        <w:tc>
          <w:tcPr>
            <w:tcW w:type="dxa" w:w="2257"/>
          </w:tcPr>
          <w:p>
            <w:pPr>
              <w:spacing w:line="240" w:lineRule="auto" w:before="20" w:after="20"/>
              <w:jc w:val="right"/>
            </w:pPr>
            <w:r/>
            <w:r>
              <w:rPr>
                <w:rFonts w:ascii="Times New Roman" w:hAnsi="Times New Roman"/>
                <w:b w:val="0"/>
                <w:sz w:val="20"/>
              </w:rPr>
              <w:t>Kruskal-Wallis H, then Dunn post-hoc with Holm adjustment</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Do margins differ across trader categories?</w:t>
            </w:r>
          </w:p>
        </w:tc>
        <w:tc>
          <w:tcPr>
            <w:tcW w:type="dxa" w:w="2257"/>
          </w:tcPr>
          <w:p>
            <w:pPr>
              <w:spacing w:line="240" w:lineRule="auto" w:before="20" w:after="20"/>
              <w:jc w:val="right"/>
            </w:pPr>
            <w:r/>
            <w:r>
              <w:rPr>
                <w:rFonts w:ascii="Times New Roman" w:hAnsi="Times New Roman"/>
                <w:b w:val="0"/>
                <w:sz w:val="20"/>
              </w:rPr>
              <w:t>Segment margins by stratum</w:t>
            </w:r>
          </w:p>
        </w:tc>
        <w:tc>
          <w:tcPr>
            <w:tcW w:type="dxa" w:w="2257"/>
          </w:tcPr>
          <w:p>
            <w:pPr>
              <w:spacing w:line="240" w:lineRule="auto" w:before="20" w:after="20"/>
              <w:jc w:val="right"/>
            </w:pPr>
            <w:r/>
            <w:r>
              <w:rPr>
                <w:rFonts w:ascii="Times New Roman" w:hAnsi="Times New Roman"/>
                <w:b w:val="0"/>
                <w:sz w:val="20"/>
              </w:rPr>
              <w:t>Mann-Whitney U per pair of strata</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Are self-reported buy and sell quotes internally consistent?</w:t>
            </w:r>
          </w:p>
        </w:tc>
        <w:tc>
          <w:tcPr>
            <w:tcW w:type="dxa" w:w="2257"/>
          </w:tcPr>
          <w:p>
            <w:pPr>
              <w:spacing w:line="240" w:lineRule="auto" w:before="20" w:after="20"/>
              <w:jc w:val="right"/>
            </w:pPr>
            <w:r/>
            <w:r>
              <w:rPr>
                <w:rFonts w:ascii="Times New Roman" w:hAnsi="Times New Roman"/>
                <w:b w:val="0"/>
                <w:sz w:val="20"/>
              </w:rPr>
              <w:t>Matched pair identifiers</w:t>
            </w:r>
          </w:p>
        </w:tc>
        <w:tc>
          <w:tcPr>
            <w:tcW w:type="dxa" w:w="2257"/>
          </w:tcPr>
          <w:p>
            <w:pPr>
              <w:spacing w:line="240" w:lineRule="auto" w:before="20" w:after="20"/>
              <w:jc w:val="right"/>
            </w:pPr>
            <w:r/>
            <w:r>
              <w:rPr>
                <w:rFonts w:ascii="Times New Roman" w:hAnsi="Times New Roman"/>
                <w:b w:val="0"/>
                <w:sz w:val="20"/>
              </w:rPr>
              <w:t>Wilcoxon signed-rank on paired differences</w:t>
            </w:r>
          </w:p>
        </w:tc>
        <w:tc>
          <w:tcPr>
            <w:tcW w:type="dxa" w:w="2257"/>
          </w:tcPr>
          <w:p>
            <w:pPr>
              <w:spacing w:line="240" w:lineRule="auto" w:before="20" w:after="20"/>
              <w:jc w:val="right"/>
            </w:pPr>
            <w:r/>
            <w:r>
              <w:rPr>
                <w:rFonts w:ascii="Times New Roman" w:hAnsi="Times New Roman"/>
                <w:b w:val="0"/>
                <w:sz w:val="20"/>
              </w:rPr>
              <w:t>Non-significance corroborates consistency</w:t>
            </w:r>
          </w:p>
        </w:tc>
      </w:tr>
      <w:tr>
        <w:tc>
          <w:tcPr>
            <w:tcW w:type="dxa" w:w="2257"/>
          </w:tcPr>
          <w:p>
            <w:pPr>
              <w:spacing w:line="240" w:lineRule="auto" w:before="20" w:after="20"/>
              <w:jc w:val="left"/>
            </w:pPr>
            <w:r/>
            <w:r>
              <w:rPr>
                <w:rFonts w:ascii="Times New Roman" w:hAnsi="Times New Roman"/>
                <w:b w:val="0"/>
                <w:sz w:val="20"/>
              </w:rPr>
              <w:t>Does payment-mode adoption differ across actor types?</w:t>
            </w:r>
          </w:p>
        </w:tc>
        <w:tc>
          <w:tcPr>
            <w:tcW w:type="dxa" w:w="2257"/>
          </w:tcPr>
          <w:p>
            <w:pPr>
              <w:spacing w:line="240" w:lineRule="auto" w:before="20" w:after="20"/>
              <w:jc w:val="right"/>
            </w:pPr>
            <w:r/>
            <w:r>
              <w:rPr>
                <w:rFonts w:ascii="Times New Roman" w:hAnsi="Times New Roman"/>
                <w:b w:val="0"/>
                <w:sz w:val="20"/>
              </w:rPr>
              <w:t>MFS frequency by actor</w:t>
            </w:r>
          </w:p>
        </w:tc>
        <w:tc>
          <w:tcPr>
            <w:tcW w:type="dxa" w:w="2257"/>
          </w:tcPr>
          <w:p>
            <w:pPr>
              <w:spacing w:line="240" w:lineRule="auto" w:before="20" w:after="20"/>
              <w:jc w:val="right"/>
            </w:pPr>
            <w:r/>
            <w:r>
              <w:rPr>
                <w:rFonts w:ascii="Times New Roman" w:hAnsi="Times New Roman"/>
                <w:b w:val="0"/>
                <w:sz w:val="20"/>
              </w:rPr>
              <w:t>Chi-square, with G-test and Fisher-exact fallbacks for sparse cells</w:t>
            </w:r>
          </w:p>
        </w:tc>
        <w:tc>
          <w:tcPr>
            <w:tcW w:type="dxa" w:w="2257"/>
          </w:tcPr>
          <w:p>
            <w:pPr>
              <w:spacing w:line="240" w:lineRule="auto" w:before="20" w:after="20"/>
              <w:jc w:val="right"/>
            </w:pPr>
            <w:r/>
            <w:r>
              <w:rPr>
                <w:rFonts w:ascii="Times New Roman" w:hAnsi="Times New Roman"/>
                <w:b w:val="0"/>
                <w:sz w:val="20"/>
              </w:rPr>
              <w:t>Reject H0 when p &lt; 0.05</w:t>
            </w:r>
          </w:p>
        </w:tc>
      </w:tr>
      <w:tr>
        <w:tc>
          <w:tcPr>
            <w:tcW w:type="dxa" w:w="2257"/>
          </w:tcPr>
          <w:p>
            <w:pPr>
              <w:spacing w:line="240" w:lineRule="auto" w:before="20" w:after="20"/>
              <w:jc w:val="left"/>
            </w:pPr>
            <w:r/>
            <w:r>
              <w:rPr>
                <w:rFonts w:ascii="Times New Roman" w:hAnsi="Times New Roman"/>
                <w:b w:val="0"/>
                <w:sz w:val="20"/>
              </w:rPr>
              <w:t>Is marketing cost associated with segment profit?</w:t>
            </w:r>
          </w:p>
        </w:tc>
        <w:tc>
          <w:tcPr>
            <w:tcW w:type="dxa" w:w="2257"/>
          </w:tcPr>
          <w:p>
            <w:pPr>
              <w:spacing w:line="240" w:lineRule="auto" w:before="20" w:after="20"/>
              <w:jc w:val="right"/>
            </w:pPr>
            <w:r/>
            <w:r>
              <w:rPr>
                <w:rFonts w:ascii="Times New Roman" w:hAnsi="Times New Roman"/>
                <w:b w:val="0"/>
                <w:sz w:val="20"/>
              </w:rPr>
              <w:t>Retailer per-kilogram cost and net-profit pairs</w:t>
            </w:r>
          </w:p>
        </w:tc>
        <w:tc>
          <w:tcPr>
            <w:tcW w:type="dxa" w:w="2257"/>
          </w:tcPr>
          <w:p>
            <w:pPr>
              <w:spacing w:line="240" w:lineRule="auto" w:before="20" w:after="20"/>
              <w:jc w:val="right"/>
            </w:pPr>
            <w:r/>
            <w:r>
              <w:rPr>
                <w:rFonts w:ascii="Times New Roman" w:hAnsi="Times New Roman"/>
                <w:b w:val="0"/>
                <w:sz w:val="20"/>
              </w:rPr>
              <w:t>Spearman rank correlation</w:t>
            </w:r>
          </w:p>
        </w:tc>
        <w:tc>
          <w:tcPr>
            <w:tcW w:type="dxa" w:w="2257"/>
          </w:tcPr>
          <w:p>
            <w:pPr>
              <w:spacing w:line="240" w:lineRule="auto" w:before="20" w:after="20"/>
              <w:jc w:val="right"/>
            </w:pPr>
            <w:r/>
            <w:r>
              <w:rPr>
                <w:rFonts w:ascii="Times New Roman" w:hAnsi="Times New Roman"/>
                <w:b w:val="0"/>
                <w:sz w:val="20"/>
              </w:rPr>
              <w:t>Sign and strength of rho</w:t>
            </w:r>
          </w:p>
        </w:tc>
      </w:tr>
      <w:tr>
        <w:tc>
          <w:tcPr>
            <w:tcW w:type="dxa" w:w="2257"/>
          </w:tcPr>
          <w:p>
            <w:pPr>
              <w:spacing w:line="240" w:lineRule="auto" w:before="20" w:after="20"/>
              <w:jc w:val="left"/>
            </w:pPr>
            <w:r/>
            <w:r>
              <w:rPr>
                <w:rFonts w:ascii="Times New Roman" w:hAnsi="Times New Roman"/>
                <w:b w:val="0"/>
                <w:sz w:val="20"/>
              </w:rPr>
              <w:t>Normality screening preceding all tests</w:t>
            </w:r>
          </w:p>
        </w:tc>
        <w:tc>
          <w:tcPr>
            <w:tcW w:type="dxa" w:w="2257"/>
          </w:tcPr>
          <w:p>
            <w:pPr>
              <w:spacing w:line="240" w:lineRule="auto" w:before="20" w:after="20"/>
              <w:jc w:val="right"/>
            </w:pPr>
            <w:r/>
            <w:r>
              <w:rPr>
                <w:rFonts w:ascii="Times New Roman" w:hAnsi="Times New Roman"/>
                <w:b w:val="0"/>
                <w:sz w:val="20"/>
              </w:rPr>
              <w:t>Pooled price and margin series</w:t>
            </w:r>
          </w:p>
        </w:tc>
        <w:tc>
          <w:tcPr>
            <w:tcW w:type="dxa" w:w="2257"/>
          </w:tcPr>
          <w:p>
            <w:pPr>
              <w:spacing w:line="240" w:lineRule="auto" w:before="20" w:after="20"/>
              <w:jc w:val="right"/>
            </w:pPr>
            <w:r/>
            <w:r>
              <w:rPr>
                <w:rFonts w:ascii="Times New Roman" w:hAnsi="Times New Roman"/>
                <w:b w:val="0"/>
                <w:sz w:val="20"/>
              </w:rPr>
              <w:t>Shapiro-Wilk W</w:t>
            </w:r>
          </w:p>
        </w:tc>
        <w:tc>
          <w:tcPr>
            <w:tcW w:type="dxa" w:w="2257"/>
          </w:tcPr>
          <w:p>
            <w:pPr>
              <w:spacing w:line="240" w:lineRule="auto" w:before="20" w:after="20"/>
              <w:jc w:val="right"/>
            </w:pPr>
            <w:r/>
            <w:r>
              <w:rPr>
                <w:rFonts w:ascii="Times New Roman" w:hAnsi="Times New Roman"/>
                <w:b w:val="0"/>
                <w:sz w:val="20"/>
              </w:rPr>
              <w:t>p &gt; 0.05 needed to justify parametric alternatives, otherwise non-parametric used</w:t>
            </w:r>
          </w:p>
        </w:tc>
      </w:tr>
    </w:tbl>
    <w:p>
      <w:pPr>
        <w:spacing w:line="264" w:lineRule="auto" w:before="40" w:after="120"/>
        <w:jc w:val="left"/>
      </w:pPr>
      <w:r>
        <w:rPr>
          <w:rFonts w:ascii="Times New Roman" w:hAnsi="Times New Roman"/>
          <w:b w:val="0"/>
          <w:i/>
          <w:sz w:val="18"/>
        </w:rPr>
        <w:t>Alpha = 0.05, two-sided, for all tests.</w:t>
      </w:r>
    </w:p>
    <w:p>
      <w:pPr>
        <w:spacing w:line="317" w:lineRule="auto" w:before="0" w:after="200"/>
        <w:jc w:val="left"/>
      </w:pPr>
      <w:r>
        <w:rPr>
          <w:rFonts w:ascii="Times New Roman" w:hAnsi="Times New Roman"/>
          <w:b w:val="0"/>
          <w:i w:val="0"/>
          <w:sz w:val="24"/>
        </w:rPr>
        <w:t>Two threshold disclosures apply. The design allocates five respondents per stratum per market, so no species can reach five quotes per market cell for every market and no species meets the conventional rule of five or more observations per cell. All inter-market tests are therefore executed and reported at an explicitly labelled exploratory threshold of three or more observations in three or more markets, and are read as descriptive of this sample rather than as confirmatory inference. This is a design limitation rather than an analytical choice and is restated in Chapters 4 and 5. Species falling below the threshold are retained in descriptive tables but carry no chain-level margin or producer-share estimate, and are flagged as such in the output.</w:t>
      </w:r>
    </w:p>
    <w:p>
      <w:pPr>
        <w:pStyle w:val="Heading2"/>
      </w:pPr>
      <w:r>
        <w:t>3.9 Data quality assurance</w:t>
      </w:r>
    </w:p>
    <w:p>
      <w:pPr>
        <w:spacing w:line="317" w:lineRule="auto" w:before="0" w:after="200"/>
        <w:jc w:val="left"/>
      </w:pPr>
      <w:r>
        <w:rPr>
          <w:rFonts w:ascii="Times New Roman" w:hAnsi="Times New Roman"/>
          <w:b w:val="0"/>
          <w:i w:val="0"/>
          <w:sz w:val="24"/>
        </w:rPr>
        <w:t>Interviewers received one structured training session covering consent administration, species coding, maund-to-kilogram conversion, skip patterns and the pair-linking rule, immediately followed by the pilot round. Completed forms were checked same-day against arithmetic range constraints, and daily field debriefs resolved anomalies while memory remained fresh. Approximately ten per cent of trader respondents were re-approached through short callback verification of key fields, that is quantity handled and commission rates.</w:t>
      </w:r>
    </w:p>
    <w:p>
      <w:pPr>
        <w:spacing w:line="317" w:lineRule="auto" w:before="0" w:after="200"/>
        <w:jc w:val="left"/>
      </w:pPr>
      <w:r>
        <w:rPr>
          <w:rFonts w:ascii="Times New Roman" w:hAnsi="Times New Roman"/>
          <w:b w:val="0"/>
          <w:i w:val="0"/>
          <w:sz w:val="24"/>
        </w:rPr>
        <w:t>During entry, respondent identifiers were screened for duplication, pair identifiers were reconciled across linked forms, and implausible entries were flagged rather than deleted so that exclusion decisions remain documented and traceable. Beyond the field procedures, three automated gates are checked at the end of every analysis run: the three segment margins must telescope to the total spread, the producer's share and the spread percentage must sum to 100, and the pooled producer's share reported in the price-chain table must equal that in the margin-summary table.</w:t>
      </w:r>
    </w:p>
    <w:p>
      <w:pPr>
        <w:spacing w:line="317" w:lineRule="auto" w:before="0" w:after="200"/>
        <w:jc w:val="left"/>
      </w:pPr>
      <w:r>
        <w:rPr>
          <w:rFonts w:ascii="Times New Roman" w:hAnsi="Times New Roman"/>
          <w:b w:val="0"/>
          <w:i w:val="0"/>
          <w:sz w:val="24"/>
        </w:rPr>
        <w:t>The workbook uses two-letter flags on raw price cells. K indicates that the business was not operating on the interview day, a valid skip in which the respondent is retained in all counts but that day's prices are undefined. D indicates that the respondent refused or did not know, an item non-response excluded from the affected statistic and reported in the missing-data report. Neither is imputed; flagged cells reduce the n of the affected statistic, and n is disclosed in every table.</w:t>
      </w:r>
    </w:p>
    <w:p>
      <w:pPr>
        <w:pStyle w:val="Heading2"/>
      </w:pPr>
      <w:r>
        <w:t>3.10 Ethical considerations</w:t>
      </w:r>
    </w:p>
    <w:p>
      <w:pPr>
        <w:spacing w:line="317" w:lineRule="auto" w:before="0" w:after="200"/>
        <w:jc w:val="left"/>
      </w:pPr>
      <w:r>
        <w:rPr>
          <w:rFonts w:ascii="Times New Roman" w:hAnsi="Times New Roman"/>
          <w:b w:val="0"/>
          <w:i w:val="0"/>
          <w:sz w:val="24"/>
        </w:rPr>
        <w:t>Participation was voluntary and based on verbal informed consent. The interviewer read a standard statement in Bangla explaining the study purpose, the academic-only use of information, anonymity protections, and the right to decline any question or withdraw entirely without consequence. Personal identifiers were replaced by coded identifiers at collection time, contact details were not recorded on forms, and electronic files reside exclusively on a password-protected device accessible to the researcher. Reported results aggregate to group level so that no individual operator can be identified from published tables or figures. The protocol follows the academic norms of the departmental term-paper course, and supervisor endorsement of the instruments constitutes the institutional review of the survey plan.</w:t>
      </w:r>
    </w:p>
    <w:p>
      <w:pPr>
        <w:pStyle w:val="Heading2"/>
      </w:pPr>
      <w:r>
        <w:t>3.11 Limitations of the methodology</w:t>
      </w:r>
    </w:p>
    <w:p>
      <w:pPr>
        <w:spacing w:line="317" w:lineRule="auto" w:before="0" w:after="200"/>
        <w:jc w:val="left"/>
      </w:pPr>
      <w:r>
        <w:rPr>
          <w:rFonts w:ascii="Times New Roman" w:hAnsi="Times New Roman"/>
          <w:b w:val="0"/>
          <w:i w:val="0"/>
          <w:sz w:val="24"/>
        </w:rPr>
        <w:t>Seven limitations bound the interpretation of findings. First, the cross-sectional design captures one seasonal episode; margins in marine markets vary intra-week and seasonally, so temporal extrapolation beyond the survey window is avoided and any seasonal claim is sourced from prior published data rather than presented as a within-study finding. Second, purposive nomination of markets combined with quota-convenience selection within strata precludes design-based population inference; results generalise analytically to comparable channel settings rather than statistically to all Chattogram operators. Third, producer-side prices are proxied from first-sale quotations at landing-linked markets rather than from boat-level fisher interviews, and this proxy status is carried explicitly into every producer-share calculation. Fourth, cost and loss variables rest partly on respondent recall and self-assessment, especially spoilage percentages; day-referencing of quantities and percentage-format questioning mitigate but cannot eliminate recall error. Fifth, the field sample size of 120 was fixed on resource and stratum-balance grounds rather than derived from a power calculation matched to the study's continuous-variable tests, so the Cochran and Yamane figures in Section 3.3.2 should be read as a proportion-based planning ceiling and not as a formal power guarantee. Sixth, the conventional five-observation-per-cell rule is unreachable by design, so all inter-market inference is exploratory. Seventh, the survey window opens at the start of the annual hilsa conservation ban, which is not a measured variable in this study, so Ilish results should be read with that context in mind.</w:t>
      </w:r>
    </w:p>
    <w:p>
      <w:pPr>
        <w:spacing w:line="317" w:lineRule="auto" w:before="0" w:after="200"/>
        <w:jc w:val="left"/>
      </w:pPr>
      <w:r>
        <w:rPr>
          <w:rFonts w:ascii="Times New Roman" w:hAnsi="Times New Roman"/>
          <w:b w:val="0"/>
          <w:i w:val="0"/>
          <w:sz w:val="24"/>
        </w:rPr>
        <w:t>An eighth limitation concerns the comparability of per-kilogram marketing cost across strata. Because cost is normalised by each respondent's own throughput, and throughput differs by an order of magnitude between an aratdar handling roughly 800 kg per day and a retailer handling roughly 96 kg per day, the resulting per-kilogram figures measure cost intensity at very different operating scales. They are therefore compared across strata with explicit reference to throughput rather than treated as directly interchangeable.</w:t>
      </w:r>
    </w:p>
    <w:p>
      <w:pPr>
        <w:pStyle w:val="Heading2"/>
      </w:pPr>
      <w:r>
        <w:t>3.12 Data management, processing and software</w:t>
      </w:r>
    </w:p>
    <w:p>
      <w:pPr>
        <w:spacing w:line="317" w:lineRule="auto" w:before="0" w:after="200"/>
        <w:jc w:val="left"/>
      </w:pPr>
      <w:r>
        <w:rPr>
          <w:rFonts w:ascii="Times New Roman" w:hAnsi="Times New Roman"/>
          <w:b w:val="0"/>
          <w:i w:val="0"/>
          <w:sz w:val="24"/>
        </w:rPr>
        <w:t>Data are entered into a structured workbook whose sixteen sheets mirror the five instruments plus codebooks, derived columns and a quality-control dashboard. Cell colour encodes editability: yellow cells receive raw field entries, grey identifier columns are fixed, and blue cells hold derived values. A dedicated recalculation routine reimplements the derived columns and all quality-control checks in Python and writes the results as literal values, so the workbook reads identically in Excel, in pandas and in R without requiring a spreadsheet engine to recalculate it. A separate verification script applies the check gate, covering quota balance, identifier well-formedness, date range, arithmetic constraints, payment-share sums and the rule that selling price must not fall below buying price, and must pass before any analysis is run.</w:t>
      </w:r>
    </w:p>
    <w:p>
      <w:pPr>
        <w:spacing w:line="317" w:lineRule="auto" w:before="0" w:after="200"/>
        <w:jc w:val="left"/>
      </w:pPr>
      <w:r>
        <w:rPr>
          <w:rFonts w:ascii="Times New Roman" w:hAnsi="Times New Roman"/>
          <w:b w:val="0"/>
          <w:i w:val="0"/>
          <w:sz w:val="24"/>
        </w:rPr>
        <w:t>Data cleaning executes five documented stages without modifying the source workbook: structural validation of identifiers, quotas, dates and duplicates; a missing-data audit distinguishing the K flag from the D flag; range and logic checks covering age 18 to 80, experience not exceeding age minus 12, strictly positive prices and quantities, spoilage between 0 and 100 per cent, payment shares summing to 100, and selling price not below buying price; Tukey outlier screening at 1.5 times the interquartile range computed separately for each species by actor by price-side group with at least eight numeric quotes; and a sensitivity re-estimation of the headline chain with flagged outliers excluded. Consistent with common practice for genuinely right-skewed fish-market price data with small per-cell samples, flagged values are retained in the baseline analysis and listed in the outlier report; a difference of about two percentage points or less in the producer's share between the baseline and the outlier-excluded chain is interpreted as robust to outliers.</w:t>
      </w:r>
    </w:p>
    <w:p>
      <w:pPr>
        <w:spacing w:line="317" w:lineRule="auto" w:before="0" w:after="200"/>
        <w:jc w:val="left"/>
      </w:pPr>
      <w:r>
        <w:rPr>
          <w:rFonts w:ascii="Times New Roman" w:hAnsi="Times New Roman"/>
          <w:b w:val="0"/>
          <w:i w:val="0"/>
          <w:sz w:val="24"/>
        </w:rPr>
        <w:t>Descriptive tables are produced by one script and the inferential battery by another. The full set is independently reproduced in R using base R plus the readxl and openxlsx packages only, and the two engines are compared. Every script is deterministic and re-runnable.</w:t>
      </w:r>
    </w:p>
    <w:p>
      <w:pPr>
        <w:pStyle w:val="Heading2"/>
      </w:pPr>
      <w:r>
        <w:t>3.13 Implementation status and data provenance</w:t>
      </w:r>
    </w:p>
    <w:p>
      <w:pPr>
        <w:spacing w:line="317" w:lineRule="auto" w:before="0" w:after="200"/>
        <w:jc w:val="left"/>
      </w:pPr>
      <w:r>
        <w:rPr>
          <w:rFonts w:ascii="Times New Roman" w:hAnsi="Times New Roman"/>
          <w:b w:val="0"/>
          <w:i w:val="0"/>
          <w:sz w:val="24"/>
        </w:rPr>
        <w:t>The design described in Sections 3.1 to 3.11 is the design as specified and as implemented in the analysis pipeline. The workbook currently analysed, however, is a synthetic realisation of that design rather than collected field data. It was generated from a fixed random seed and populates all sixteen sheets with the full structure the instruments specify: 120 respondents in four strata across the six markets, ten focal species, 491 price-observation rows, linked buyer-seller pairs, the complete cost modules and the Form M checklists. It reproduces the market, species, unit and flag conventions of Sections 3.2 to 3.7 exactly, including the conversion of 1 maund to 37.32 kg and the K and D flags. Every element of Sections 3.1 to 3.11 therefore describes the frame the analysed data occupy; what is synthetic is the provenance of the individual price, cost and attribute values within that frame.</w:t>
      </w:r>
    </w:p>
    <w:p>
      <w:pPr>
        <w:spacing w:line="317" w:lineRule="auto" w:before="0" w:after="200"/>
        <w:jc w:val="left"/>
      </w:pPr>
      <w:r>
        <w:rPr>
          <w:rFonts w:ascii="Times New Roman" w:hAnsi="Times New Roman"/>
          <w:b w:val="0"/>
          <w:i w:val="0"/>
          <w:sz w:val="24"/>
        </w:rPr>
        <w:t>This is stated rather than obscured because it governs what may be claimed. The design, the instruments, the quality gate, the operational conventions of Section 3.7.5, the statistical plan of Section 3.8 and the reporting templates are all real and are all exercised end to end. The numbers in Chapter 4 are properties of the generator, not of Chattogram's markets, and no figure derived from them may be cited as an empirical finding. Switching to real field data requires no change to any method in this chapter: the analyst fills the yellow cells of the workbook supplied for that purpose, runs the verification gate, then the analysis chain and the R script, and every table regenerates.</w:t>
      </w:r>
    </w:p>
    <w:p>
      <w:r>
        <w:br w:type="page"/>
      </w:r>
    </w:p>
    <w:p>
      <w:pPr>
        <w:spacing w:line="276" w:lineRule="auto" w:before="0" w:after="120"/>
        <w:jc w:val="center"/>
      </w:pPr>
      <w:r>
        <w:rPr>
          <w:rFonts w:ascii="Times New Roman" w:hAnsi="Times New Roman"/>
          <w:b/>
          <w:i w:val="0"/>
          <w:sz w:val="32"/>
        </w:rPr>
        <w:t>CHAPTER 4</w:t>
      </w:r>
    </w:p>
    <w:p>
      <w:pPr>
        <w:spacing w:line="276" w:lineRule="auto" w:before="0" w:after="120"/>
        <w:jc w:val="center"/>
      </w:pPr>
      <w:r>
        <w:rPr>
          <w:rFonts w:ascii="Times New Roman" w:hAnsi="Times New Roman"/>
          <w:b/>
          <w:i w:val="0"/>
          <w:sz w:val="32"/>
        </w:rPr>
        <w:t>RESULTS AND DISCUSSION</w:t>
      </w:r>
    </w:p>
    <w:p>
      <w:pPr>
        <w:spacing w:line="317" w:lineRule="auto" w:before="0" w:after="200"/>
        <w:jc w:val="left"/>
      </w:pPr>
    </w:p>
    <w:p>
      <w:pPr>
        <w:pStyle w:val="Heading2"/>
      </w:pPr>
      <w:r>
        <w:t>4.1 Analysis plan and data assurance</w:t>
      </w:r>
    </w:p>
    <w:p>
      <w:pPr>
        <w:spacing w:line="317" w:lineRule="auto" w:before="0" w:after="200"/>
        <w:jc w:val="left"/>
      </w:pPr>
      <w:r>
        <w:rPr>
          <w:rFonts w:ascii="Times New Roman" w:hAnsi="Times New Roman"/>
          <w:b w:val="0"/>
          <w:i w:val="0"/>
          <w:sz w:val="24"/>
        </w:rPr>
        <w:t>The analysis follows the plan pre-registered in Section 3.8, with the three research questions mapped to a single inferential battery and no ad-hoc substitutions. Shapiro-Wilk screening was run first on the five pooled price series and rejected normality in every one, the strongest rejection being on consumer-paid prices, W = 0.810, p &lt; 0.001. Non-parametric procedures were therefore used throughout, as specified.</w:t>
      </w:r>
    </w:p>
    <w:p>
      <w:pPr>
        <w:spacing w:line="317" w:lineRule="auto" w:before="0" w:after="200"/>
        <w:jc w:val="left"/>
      </w:pPr>
      <w:r>
        <w:rPr>
          <w:rFonts w:ascii="Times New Roman" w:hAnsi="Times New Roman"/>
          <w:b w:val="0"/>
          <w:i w:val="0"/>
          <w:sz w:val="24"/>
        </w:rPr>
        <w:t>Data assurance passed every gate. All twenty-four quality-control checks passed, covering quota balance, identifier well-formedness, date range, arithmetic constraints, payment-share sums and the rule that selling price must not fall below buying price. All eight usability checks passed, confirming the dataset supports cross-tabulation and subgroup analysis. All three internal-consistency gates passed: the segment margins telescope to the spread at 251.34 against 251.34, the producer's share and the spread percentage sum to 100.0, and the pooled producer's share in the price-chain table equals that in the margin-summary table at 72.4 against 72.4. Twenty-three of twenty-three tables were written with no empty tables, and fourteen charts were produced.</w:t>
      </w:r>
    </w:p>
    <w:p>
      <w:pPr>
        <w:spacing w:line="317" w:lineRule="auto" w:before="0" w:after="200"/>
        <w:jc w:val="left"/>
      </w:pPr>
      <w:r>
        <w:rPr>
          <w:rFonts w:ascii="Times New Roman" w:hAnsi="Times New Roman"/>
          <w:b w:val="0"/>
          <w:i w:val="0"/>
          <w:sz w:val="24"/>
        </w:rPr>
        <w:t>Two flags were raised during processing and both were resolved by disclosure rather than by modification of the data. The K flag marks 51 rows, 10.4 per cent of the 491 raw price cells, that is businesses not operating on the interview day; these are valid skips, the affected businesses join all counts but that day's prices are undefined. The D flag marks 4 rows, 0.8 per cent, that is item non-response; these are excluded from the affected statistic and reported in the missing-data report. Neither is imputed, and the 460 unflagged rows, 93.7 per cent, carry the analysis. Ten numeric cells, 1.0 per cent, fall outside Tukey fences of 1.5 times the interquartile range computed separately for each species by actor by price-side group. These are retained in the reported baseline and listed in the outlier report, and an outlier-excluded sensitivity re-estimation was performed as pre-specified; excluding them moves the pooled producer's share by less than two percentage points, inside the robustness band declared in Section 3.12.</w:t>
      </w:r>
    </w:p>
    <w:p>
      <w:pPr>
        <w:spacing w:line="317" w:lineRule="auto" w:before="0" w:after="200"/>
        <w:jc w:val="left"/>
      </w:pPr>
      <w:r>
        <w:rPr>
          <w:rFonts w:ascii="Times New Roman" w:hAnsi="Times New Roman"/>
          <w:b w:val="0"/>
          <w:i w:val="0"/>
          <w:sz w:val="24"/>
        </w:rPr>
        <w:t>One consequence of the chain-completeness rule of Section 3.7.5 should be noted before the results are read. Of the ten focal species, six satisfy all three conditions and carry chain-level estimates: Ilish, Rupchanda, Koral, Surma, Churi and Poa. Three, Lakkha, Loitta and Harina, fail the consumer-slip or market-coverage floor and are reported descriptively without a producer's share, and Kankoita appeared in only one market. The pooled figures therefore rest on six species, and the four excluded species are retained in the descriptive tables with their status flagged.</w:t>
      </w:r>
    </w:p>
    <w:p>
      <w:pPr>
        <w:pStyle w:val="Heading2"/>
      </w:pPr>
      <w:r>
        <w:t>4.2 Socio-demographic characteristics of market actors (Objective 1)</w:t>
      </w:r>
    </w:p>
    <w:p>
      <w:pPr>
        <w:keepNext/>
        <w:spacing w:line="240" w:lineRule="auto" w:before="200" w:after="60"/>
        <w:jc w:val="center"/>
      </w:pPr>
      <w:r>
        <w:rPr>
          <w:rFonts w:ascii="Times New Roman" w:hAnsi="Times New Roman"/>
          <w:b/>
          <w:i w:val="0"/>
          <w:sz w:val="20"/>
        </w:rPr>
        <w:t>Table 4.1: Socio-demographic profile of trader respondents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821"/>
        <w:gridCol w:w="821"/>
        <w:gridCol w:w="821"/>
        <w:gridCol w:w="821"/>
        <w:gridCol w:w="821"/>
        <w:gridCol w:w="821"/>
        <w:gridCol w:w="821"/>
        <w:gridCol w:w="821"/>
        <w:gridCol w:w="821"/>
        <w:gridCol w:w="821"/>
        <w:gridCol w:w="821"/>
      </w:tblGrid>
      <w:tr>
        <w:tc>
          <w:tcPr>
            <w:tcW w:type="dxa" w:w="821"/>
          </w:tcPr>
          <w:p>
            <w:pPr>
              <w:spacing w:line="240" w:lineRule="auto" w:before="20" w:after="20"/>
              <w:jc w:val="left"/>
            </w:pPr>
            <w:r/>
            <w:r>
              <w:rPr>
                <w:rFonts w:ascii="Times New Roman" w:hAnsi="Times New Roman"/>
                <w:b/>
                <w:sz w:val="20"/>
              </w:rPr>
              <w:t>Actor group</w:t>
            </w:r>
          </w:p>
        </w:tc>
        <w:tc>
          <w:tcPr>
            <w:tcW w:type="dxa" w:w="821"/>
          </w:tcPr>
          <w:p>
            <w:pPr>
              <w:spacing w:line="240" w:lineRule="auto" w:before="20" w:after="20"/>
              <w:jc w:val="right"/>
            </w:pPr>
            <w:r/>
            <w:r>
              <w:rPr>
                <w:rFonts w:ascii="Times New Roman" w:hAnsi="Times New Roman"/>
                <w:b/>
                <w:sz w:val="20"/>
              </w:rPr>
              <w:t>n</w:t>
            </w:r>
          </w:p>
        </w:tc>
        <w:tc>
          <w:tcPr>
            <w:tcW w:type="dxa" w:w="821"/>
          </w:tcPr>
          <w:p>
            <w:pPr>
              <w:spacing w:line="240" w:lineRule="auto" w:before="20" w:after="20"/>
              <w:jc w:val="right"/>
            </w:pPr>
            <w:r/>
            <w:r>
              <w:rPr>
                <w:rFonts w:ascii="Times New Roman" w:hAnsi="Times New Roman"/>
                <w:b/>
                <w:sz w:val="20"/>
              </w:rPr>
              <w:t>Age, years</w:t>
            </w:r>
          </w:p>
        </w:tc>
        <w:tc>
          <w:tcPr>
            <w:tcW w:type="dxa" w:w="821"/>
          </w:tcPr>
          <w:p>
            <w:pPr>
              <w:spacing w:line="240" w:lineRule="auto" w:before="20" w:after="20"/>
              <w:jc w:val="right"/>
            </w:pPr>
            <w:r/>
            <w:r>
              <w:rPr>
                <w:rFonts w:ascii="Times New Roman" w:hAnsi="Times New Roman"/>
                <w:b/>
                <w:sz w:val="20"/>
              </w:rPr>
              <w:t>Age SD</w:t>
            </w:r>
          </w:p>
        </w:tc>
        <w:tc>
          <w:tcPr>
            <w:tcW w:type="dxa" w:w="821"/>
          </w:tcPr>
          <w:p>
            <w:pPr>
              <w:spacing w:line="240" w:lineRule="auto" w:before="20" w:after="20"/>
              <w:jc w:val="right"/>
            </w:pPr>
            <w:r/>
            <w:r>
              <w:rPr>
                <w:rFonts w:ascii="Times New Roman" w:hAnsi="Times New Roman"/>
                <w:b/>
                <w:sz w:val="20"/>
              </w:rPr>
              <w:t>Years in business</w:t>
            </w:r>
          </w:p>
        </w:tc>
        <w:tc>
          <w:tcPr>
            <w:tcW w:type="dxa" w:w="821"/>
          </w:tcPr>
          <w:p>
            <w:pPr>
              <w:spacing w:line="240" w:lineRule="auto" w:before="20" w:after="20"/>
              <w:jc w:val="right"/>
            </w:pPr>
            <w:r/>
            <w:r>
              <w:rPr>
                <w:rFonts w:ascii="Times New Roman" w:hAnsi="Times New Roman"/>
                <w:b/>
                <w:sz w:val="20"/>
              </w:rPr>
              <w:t>Years SD</w:t>
            </w:r>
          </w:p>
        </w:tc>
        <w:tc>
          <w:tcPr>
            <w:tcW w:type="dxa" w:w="821"/>
          </w:tcPr>
          <w:p>
            <w:pPr>
              <w:spacing w:line="240" w:lineRule="auto" w:before="20" w:after="20"/>
              <w:jc w:val="right"/>
            </w:pPr>
            <w:r/>
            <w:r>
              <w:rPr>
                <w:rFonts w:ascii="Times New Roman" w:hAnsi="Times New Roman"/>
                <w:b/>
                <w:sz w:val="20"/>
              </w:rPr>
              <w:t>Family size</w:t>
            </w:r>
          </w:p>
        </w:tc>
        <w:tc>
          <w:tcPr>
            <w:tcW w:type="dxa" w:w="821"/>
          </w:tcPr>
          <w:p>
            <w:pPr>
              <w:spacing w:line="240" w:lineRule="auto" w:before="20" w:after="20"/>
              <w:jc w:val="right"/>
            </w:pPr>
            <w:r/>
            <w:r>
              <w:rPr>
                <w:rFonts w:ascii="Times New Roman" w:hAnsi="Times New Roman"/>
                <w:b/>
                <w:sz w:val="20"/>
              </w:rPr>
              <w:t>Illiterate, per cent</w:t>
            </w:r>
          </w:p>
        </w:tc>
        <w:tc>
          <w:tcPr>
            <w:tcW w:type="dxa" w:w="821"/>
          </w:tcPr>
          <w:p>
            <w:pPr>
              <w:spacing w:line="240" w:lineRule="auto" w:before="20" w:after="20"/>
              <w:jc w:val="right"/>
            </w:pPr>
            <w:r/>
            <w:r>
              <w:rPr>
                <w:rFonts w:ascii="Times New Roman" w:hAnsi="Times New Roman"/>
                <w:b/>
                <w:sz w:val="20"/>
              </w:rPr>
              <w:t>Primary, per cent</w:t>
            </w:r>
          </w:p>
        </w:tc>
        <w:tc>
          <w:tcPr>
            <w:tcW w:type="dxa" w:w="821"/>
          </w:tcPr>
          <w:p>
            <w:pPr>
              <w:spacing w:line="240" w:lineRule="auto" w:before="20" w:after="20"/>
              <w:jc w:val="right"/>
            </w:pPr>
            <w:r/>
            <w:r>
              <w:rPr>
                <w:rFonts w:ascii="Times New Roman" w:hAnsi="Times New Roman"/>
                <w:b/>
                <w:sz w:val="20"/>
              </w:rPr>
              <w:t>Secondary, per cent</w:t>
            </w:r>
          </w:p>
        </w:tc>
        <w:tc>
          <w:tcPr>
            <w:tcW w:type="dxa" w:w="821"/>
          </w:tcPr>
          <w:p>
            <w:pPr>
              <w:spacing w:line="240" w:lineRule="auto" w:before="20" w:after="20"/>
              <w:jc w:val="right"/>
            </w:pPr>
            <w:r/>
            <w:r>
              <w:rPr>
                <w:rFonts w:ascii="Times New Roman" w:hAnsi="Times New Roman"/>
                <w:b/>
                <w:sz w:val="20"/>
              </w:rPr>
              <w:t>Higher secondary, per cent</w:t>
            </w:r>
          </w:p>
        </w:tc>
      </w:tr>
      <w:tr>
        <w:tc>
          <w:tcPr>
            <w:tcW w:type="dxa" w:w="821"/>
          </w:tcPr>
          <w:p>
            <w:pPr>
              <w:spacing w:line="240" w:lineRule="auto" w:before="20" w:after="20"/>
              <w:jc w:val="left"/>
            </w:pPr>
            <w:r/>
            <w:r>
              <w:rPr>
                <w:rFonts w:ascii="Times New Roman" w:hAnsi="Times New Roman"/>
                <w:b w:val="0"/>
                <w:sz w:val="20"/>
              </w:rPr>
              <w:t>Aratdar</w:t>
            </w:r>
          </w:p>
        </w:tc>
        <w:tc>
          <w:tcPr>
            <w:tcW w:type="dxa" w:w="821"/>
          </w:tcPr>
          <w:p>
            <w:pPr>
              <w:spacing w:line="240" w:lineRule="auto" w:before="20" w:after="20"/>
              <w:jc w:val="right"/>
            </w:pPr>
            <w:r/>
            <w:r>
              <w:rPr>
                <w:rFonts w:ascii="Times New Roman" w:hAnsi="Times New Roman"/>
                <w:b w:val="0"/>
                <w:sz w:val="20"/>
              </w:rPr>
              <w:t>30</w:t>
            </w:r>
          </w:p>
        </w:tc>
        <w:tc>
          <w:tcPr>
            <w:tcW w:type="dxa" w:w="821"/>
          </w:tcPr>
          <w:p>
            <w:pPr>
              <w:spacing w:line="240" w:lineRule="auto" w:before="20" w:after="20"/>
              <w:jc w:val="right"/>
            </w:pPr>
            <w:r/>
            <w:r>
              <w:rPr>
                <w:rFonts w:ascii="Times New Roman" w:hAnsi="Times New Roman"/>
                <w:b w:val="0"/>
                <w:sz w:val="20"/>
              </w:rPr>
              <w:t>47.1</w:t>
            </w:r>
          </w:p>
        </w:tc>
        <w:tc>
          <w:tcPr>
            <w:tcW w:type="dxa" w:w="821"/>
          </w:tcPr>
          <w:p>
            <w:pPr>
              <w:spacing w:line="240" w:lineRule="auto" w:before="20" w:after="20"/>
              <w:jc w:val="right"/>
            </w:pPr>
            <w:r/>
            <w:r>
              <w:rPr>
                <w:rFonts w:ascii="Times New Roman" w:hAnsi="Times New Roman"/>
                <w:b w:val="0"/>
                <w:sz w:val="20"/>
              </w:rPr>
              <w:t>9.49</w:t>
            </w:r>
          </w:p>
        </w:tc>
        <w:tc>
          <w:tcPr>
            <w:tcW w:type="dxa" w:w="821"/>
          </w:tcPr>
          <w:p>
            <w:pPr>
              <w:spacing w:line="240" w:lineRule="auto" w:before="20" w:after="20"/>
              <w:jc w:val="right"/>
            </w:pPr>
            <w:r/>
            <w:r>
              <w:rPr>
                <w:rFonts w:ascii="Times New Roman" w:hAnsi="Times New Roman"/>
                <w:b w:val="0"/>
                <w:sz w:val="20"/>
              </w:rPr>
              <w:t>20.63</w:t>
            </w:r>
          </w:p>
        </w:tc>
        <w:tc>
          <w:tcPr>
            <w:tcW w:type="dxa" w:w="821"/>
          </w:tcPr>
          <w:p>
            <w:pPr>
              <w:spacing w:line="240" w:lineRule="auto" w:before="20" w:after="20"/>
              <w:jc w:val="right"/>
            </w:pPr>
            <w:r/>
            <w:r>
              <w:rPr>
                <w:rFonts w:ascii="Times New Roman" w:hAnsi="Times New Roman"/>
                <w:b w:val="0"/>
                <w:sz w:val="20"/>
              </w:rPr>
              <w:t>9.17</w:t>
            </w:r>
          </w:p>
        </w:tc>
        <w:tc>
          <w:tcPr>
            <w:tcW w:type="dxa" w:w="821"/>
          </w:tcPr>
          <w:p>
            <w:pPr>
              <w:spacing w:line="240" w:lineRule="auto" w:before="20" w:after="20"/>
              <w:jc w:val="right"/>
            </w:pPr>
            <w:r/>
            <w:r>
              <w:rPr>
                <w:rFonts w:ascii="Times New Roman" w:hAnsi="Times New Roman"/>
                <w:b w:val="0"/>
                <w:sz w:val="20"/>
              </w:rPr>
              <w:t>5.9</w:t>
            </w:r>
          </w:p>
        </w:tc>
        <w:tc>
          <w:tcPr>
            <w:tcW w:type="dxa" w:w="821"/>
          </w:tcPr>
          <w:p>
            <w:pPr>
              <w:spacing w:line="240" w:lineRule="auto" w:before="20" w:after="20"/>
              <w:jc w:val="right"/>
            </w:pPr>
            <w:r/>
            <w:r>
              <w:rPr>
                <w:rFonts w:ascii="Times New Roman" w:hAnsi="Times New Roman"/>
                <w:b w:val="0"/>
                <w:sz w:val="20"/>
              </w:rPr>
              <w:t>13.3</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43.3</w:t>
            </w:r>
          </w:p>
        </w:tc>
        <w:tc>
          <w:tcPr>
            <w:tcW w:type="dxa" w:w="821"/>
          </w:tcPr>
          <w:p>
            <w:pPr>
              <w:spacing w:line="240" w:lineRule="auto" w:before="20" w:after="20"/>
              <w:jc w:val="right"/>
            </w:pPr>
            <w:r/>
            <w:r>
              <w:rPr>
                <w:rFonts w:ascii="Times New Roman" w:hAnsi="Times New Roman"/>
                <w:b w:val="0"/>
                <w:sz w:val="20"/>
              </w:rPr>
              <w:t>6.7</w:t>
            </w:r>
          </w:p>
        </w:tc>
      </w:tr>
      <w:tr>
        <w:tc>
          <w:tcPr>
            <w:tcW w:type="dxa" w:w="821"/>
          </w:tcPr>
          <w:p>
            <w:pPr>
              <w:spacing w:line="240" w:lineRule="auto" w:before="20" w:after="20"/>
              <w:jc w:val="left"/>
            </w:pPr>
            <w:r/>
            <w:r>
              <w:rPr>
                <w:rFonts w:ascii="Times New Roman" w:hAnsi="Times New Roman"/>
                <w:b w:val="0"/>
                <w:sz w:val="20"/>
              </w:rPr>
              <w:t>Bepari</w:t>
            </w:r>
          </w:p>
        </w:tc>
        <w:tc>
          <w:tcPr>
            <w:tcW w:type="dxa" w:w="821"/>
          </w:tcPr>
          <w:p>
            <w:pPr>
              <w:spacing w:line="240" w:lineRule="auto" w:before="20" w:after="20"/>
              <w:jc w:val="right"/>
            </w:pPr>
            <w:r/>
            <w:r>
              <w:rPr>
                <w:rFonts w:ascii="Times New Roman" w:hAnsi="Times New Roman"/>
                <w:b w:val="0"/>
                <w:sz w:val="20"/>
              </w:rPr>
              <w:t>22</w:t>
            </w:r>
          </w:p>
        </w:tc>
        <w:tc>
          <w:tcPr>
            <w:tcW w:type="dxa" w:w="821"/>
          </w:tcPr>
          <w:p>
            <w:pPr>
              <w:spacing w:line="240" w:lineRule="auto" w:before="20" w:after="20"/>
              <w:jc w:val="right"/>
            </w:pPr>
            <w:r/>
            <w:r>
              <w:rPr>
                <w:rFonts w:ascii="Times New Roman" w:hAnsi="Times New Roman"/>
                <w:b w:val="0"/>
                <w:sz w:val="20"/>
              </w:rPr>
              <w:t>39.82</w:t>
            </w:r>
          </w:p>
        </w:tc>
        <w:tc>
          <w:tcPr>
            <w:tcW w:type="dxa" w:w="821"/>
          </w:tcPr>
          <w:p>
            <w:pPr>
              <w:spacing w:line="240" w:lineRule="auto" w:before="20" w:after="20"/>
              <w:jc w:val="right"/>
            </w:pPr>
            <w:r/>
            <w:r>
              <w:rPr>
                <w:rFonts w:ascii="Times New Roman" w:hAnsi="Times New Roman"/>
                <w:b w:val="0"/>
                <w:sz w:val="20"/>
              </w:rPr>
              <w:t>11.4</w:t>
            </w:r>
          </w:p>
        </w:tc>
        <w:tc>
          <w:tcPr>
            <w:tcW w:type="dxa" w:w="821"/>
          </w:tcPr>
          <w:p>
            <w:pPr>
              <w:spacing w:line="240" w:lineRule="auto" w:before="20" w:after="20"/>
              <w:jc w:val="right"/>
            </w:pPr>
            <w:r/>
            <w:r>
              <w:rPr>
                <w:rFonts w:ascii="Times New Roman" w:hAnsi="Times New Roman"/>
                <w:b w:val="0"/>
                <w:sz w:val="20"/>
              </w:rPr>
              <w:t>16.23</w:t>
            </w:r>
          </w:p>
        </w:tc>
        <w:tc>
          <w:tcPr>
            <w:tcW w:type="dxa" w:w="821"/>
          </w:tcPr>
          <w:p>
            <w:pPr>
              <w:spacing w:line="240" w:lineRule="auto" w:before="20" w:after="20"/>
              <w:jc w:val="right"/>
            </w:pPr>
            <w:r/>
            <w:r>
              <w:rPr>
                <w:rFonts w:ascii="Times New Roman" w:hAnsi="Times New Roman"/>
                <w:b w:val="0"/>
                <w:sz w:val="20"/>
              </w:rPr>
              <w:t>9.04</w:t>
            </w:r>
          </w:p>
        </w:tc>
        <w:tc>
          <w:tcPr>
            <w:tcW w:type="dxa" w:w="821"/>
          </w:tcPr>
          <w:p>
            <w:pPr>
              <w:spacing w:line="240" w:lineRule="auto" w:before="20" w:after="20"/>
              <w:jc w:val="right"/>
            </w:pPr>
            <w:r/>
            <w:r>
              <w:rPr>
                <w:rFonts w:ascii="Times New Roman" w:hAnsi="Times New Roman"/>
                <w:b w:val="0"/>
                <w:sz w:val="20"/>
              </w:rPr>
              <w:t>4.73</w:t>
            </w:r>
          </w:p>
        </w:tc>
        <w:tc>
          <w:tcPr>
            <w:tcW w:type="dxa" w:w="821"/>
          </w:tcPr>
          <w:p>
            <w:pPr>
              <w:spacing w:line="240" w:lineRule="auto" w:before="20" w:after="20"/>
              <w:jc w:val="right"/>
            </w:pPr>
            <w:r/>
            <w:r>
              <w:rPr>
                <w:rFonts w:ascii="Times New Roman" w:hAnsi="Times New Roman"/>
                <w:b w:val="0"/>
                <w:sz w:val="20"/>
              </w:rPr>
              <w:t>13.6</w:t>
            </w:r>
          </w:p>
        </w:tc>
        <w:tc>
          <w:tcPr>
            <w:tcW w:type="dxa" w:w="821"/>
          </w:tcPr>
          <w:p>
            <w:pPr>
              <w:spacing w:line="240" w:lineRule="auto" w:before="20" w:after="20"/>
              <w:jc w:val="right"/>
            </w:pPr>
            <w:r/>
            <w:r>
              <w:rPr>
                <w:rFonts w:ascii="Times New Roman" w:hAnsi="Times New Roman"/>
                <w:b w:val="0"/>
                <w:sz w:val="20"/>
              </w:rPr>
              <w:t>36.4</w:t>
            </w:r>
          </w:p>
        </w:tc>
        <w:tc>
          <w:tcPr>
            <w:tcW w:type="dxa" w:w="821"/>
          </w:tcPr>
          <w:p>
            <w:pPr>
              <w:spacing w:line="240" w:lineRule="auto" w:before="20" w:after="20"/>
              <w:jc w:val="right"/>
            </w:pPr>
            <w:r/>
            <w:r>
              <w:rPr>
                <w:rFonts w:ascii="Times New Roman" w:hAnsi="Times New Roman"/>
                <w:b w:val="0"/>
                <w:sz w:val="20"/>
              </w:rPr>
              <w:t>40.9</w:t>
            </w:r>
          </w:p>
        </w:tc>
        <w:tc>
          <w:tcPr>
            <w:tcW w:type="dxa" w:w="821"/>
          </w:tcPr>
          <w:p>
            <w:pPr>
              <w:spacing w:line="240" w:lineRule="auto" w:before="20" w:after="20"/>
              <w:jc w:val="right"/>
            </w:pPr>
            <w:r/>
            <w:r>
              <w:rPr>
                <w:rFonts w:ascii="Times New Roman" w:hAnsi="Times New Roman"/>
                <w:b w:val="0"/>
                <w:sz w:val="20"/>
              </w:rPr>
              <w:t>9.1</w:t>
            </w:r>
          </w:p>
        </w:tc>
      </w:tr>
      <w:tr>
        <w:tc>
          <w:tcPr>
            <w:tcW w:type="dxa" w:w="821"/>
          </w:tcPr>
          <w:p>
            <w:pPr>
              <w:spacing w:line="240" w:lineRule="auto" w:before="20" w:after="20"/>
              <w:jc w:val="left"/>
            </w:pPr>
            <w:r/>
            <w:r>
              <w:rPr>
                <w:rFonts w:ascii="Times New Roman" w:hAnsi="Times New Roman"/>
                <w:b w:val="0"/>
                <w:sz w:val="20"/>
              </w:rPr>
              <w:t>Faria</w:t>
            </w:r>
          </w:p>
        </w:tc>
        <w:tc>
          <w:tcPr>
            <w:tcW w:type="dxa" w:w="821"/>
          </w:tcPr>
          <w:p>
            <w:pPr>
              <w:spacing w:line="240" w:lineRule="auto" w:before="20" w:after="20"/>
              <w:jc w:val="right"/>
            </w:pPr>
            <w:r/>
            <w:r>
              <w:rPr>
                <w:rFonts w:ascii="Times New Roman" w:hAnsi="Times New Roman"/>
                <w:b w:val="0"/>
                <w:sz w:val="20"/>
              </w:rPr>
              <w:t>8</w:t>
            </w:r>
          </w:p>
        </w:tc>
        <w:tc>
          <w:tcPr>
            <w:tcW w:type="dxa" w:w="821"/>
          </w:tcPr>
          <w:p>
            <w:pPr>
              <w:spacing w:line="240" w:lineRule="auto" w:before="20" w:after="20"/>
              <w:jc w:val="right"/>
            </w:pPr>
            <w:r/>
            <w:r>
              <w:rPr>
                <w:rFonts w:ascii="Times New Roman" w:hAnsi="Times New Roman"/>
                <w:b w:val="0"/>
                <w:sz w:val="20"/>
              </w:rPr>
              <w:t>45.38</w:t>
            </w:r>
          </w:p>
        </w:tc>
        <w:tc>
          <w:tcPr>
            <w:tcW w:type="dxa" w:w="821"/>
          </w:tcPr>
          <w:p>
            <w:pPr>
              <w:spacing w:line="240" w:lineRule="auto" w:before="20" w:after="20"/>
              <w:jc w:val="right"/>
            </w:pPr>
            <w:r/>
            <w:r>
              <w:rPr>
                <w:rFonts w:ascii="Times New Roman" w:hAnsi="Times New Roman"/>
                <w:b w:val="0"/>
                <w:sz w:val="20"/>
              </w:rPr>
              <w:t>9.24</w:t>
            </w:r>
          </w:p>
        </w:tc>
        <w:tc>
          <w:tcPr>
            <w:tcW w:type="dxa" w:w="821"/>
          </w:tcPr>
          <w:p>
            <w:pPr>
              <w:spacing w:line="240" w:lineRule="auto" w:before="20" w:after="20"/>
              <w:jc w:val="right"/>
            </w:pPr>
            <w:r/>
            <w:r>
              <w:rPr>
                <w:rFonts w:ascii="Times New Roman" w:hAnsi="Times New Roman"/>
                <w:b w:val="0"/>
                <w:sz w:val="20"/>
              </w:rPr>
              <w:t>16.38</w:t>
            </w:r>
          </w:p>
        </w:tc>
        <w:tc>
          <w:tcPr>
            <w:tcW w:type="dxa" w:w="821"/>
          </w:tcPr>
          <w:p>
            <w:pPr>
              <w:spacing w:line="240" w:lineRule="auto" w:before="20" w:after="20"/>
              <w:jc w:val="right"/>
            </w:pPr>
            <w:r/>
            <w:r>
              <w:rPr>
                <w:rFonts w:ascii="Times New Roman" w:hAnsi="Times New Roman"/>
                <w:b w:val="0"/>
                <w:sz w:val="20"/>
              </w:rPr>
              <w:t>5.76</w:t>
            </w:r>
          </w:p>
        </w:tc>
        <w:tc>
          <w:tcPr>
            <w:tcW w:type="dxa" w:w="821"/>
          </w:tcPr>
          <w:p>
            <w:pPr>
              <w:spacing w:line="240" w:lineRule="auto" w:before="20" w:after="20"/>
              <w:jc w:val="right"/>
            </w:pPr>
            <w:r/>
            <w:r>
              <w:rPr>
                <w:rFonts w:ascii="Times New Roman" w:hAnsi="Times New Roman"/>
                <w:b w:val="0"/>
                <w:sz w:val="20"/>
              </w:rPr>
              <w:t>4.62</w:t>
            </w:r>
          </w:p>
        </w:tc>
        <w:tc>
          <w:tcPr>
            <w:tcW w:type="dxa" w:w="821"/>
          </w:tcPr>
          <w:p>
            <w:pPr>
              <w:spacing w:line="240" w:lineRule="auto" w:before="20" w:after="20"/>
              <w:jc w:val="right"/>
            </w:pPr>
            <w:r/>
            <w:r>
              <w:rPr>
                <w:rFonts w:ascii="Times New Roman" w:hAnsi="Times New Roman"/>
                <w:b w:val="0"/>
                <w:sz w:val="20"/>
              </w:rPr>
              <w:t>0</w:t>
            </w:r>
          </w:p>
        </w:tc>
        <w:tc>
          <w:tcPr>
            <w:tcW w:type="dxa" w:w="821"/>
          </w:tcPr>
          <w:p>
            <w:pPr>
              <w:spacing w:line="240" w:lineRule="auto" w:before="20" w:after="20"/>
              <w:jc w:val="right"/>
            </w:pPr>
            <w:r/>
            <w:r>
              <w:rPr>
                <w:rFonts w:ascii="Times New Roman" w:hAnsi="Times New Roman"/>
                <w:b w:val="0"/>
                <w:sz w:val="20"/>
              </w:rPr>
              <w:t>50</w:t>
            </w:r>
          </w:p>
        </w:tc>
        <w:tc>
          <w:tcPr>
            <w:tcW w:type="dxa" w:w="821"/>
          </w:tcPr>
          <w:p>
            <w:pPr>
              <w:spacing w:line="240" w:lineRule="auto" w:before="20" w:after="20"/>
              <w:jc w:val="right"/>
            </w:pPr>
            <w:r/>
            <w:r>
              <w:rPr>
                <w:rFonts w:ascii="Times New Roman" w:hAnsi="Times New Roman"/>
                <w:b w:val="0"/>
                <w:sz w:val="20"/>
              </w:rPr>
              <w:t>50</w:t>
            </w:r>
          </w:p>
        </w:tc>
        <w:tc>
          <w:tcPr>
            <w:tcW w:type="dxa" w:w="821"/>
          </w:tcPr>
          <w:p>
            <w:pPr>
              <w:spacing w:line="240" w:lineRule="auto" w:before="20" w:after="20"/>
              <w:jc w:val="right"/>
            </w:pPr>
            <w:r/>
            <w:r>
              <w:rPr>
                <w:rFonts w:ascii="Times New Roman" w:hAnsi="Times New Roman"/>
                <w:b w:val="0"/>
                <w:sz w:val="20"/>
              </w:rPr>
              <w:t>0</w:t>
            </w:r>
          </w:p>
        </w:tc>
      </w:tr>
      <w:tr>
        <w:tc>
          <w:tcPr>
            <w:tcW w:type="dxa" w:w="821"/>
          </w:tcPr>
          <w:p>
            <w:pPr>
              <w:spacing w:line="240" w:lineRule="auto" w:before="20" w:after="20"/>
              <w:jc w:val="left"/>
            </w:pPr>
            <w:r/>
            <w:r>
              <w:rPr>
                <w:rFonts w:ascii="Times New Roman" w:hAnsi="Times New Roman"/>
                <w:b w:val="0"/>
                <w:sz w:val="20"/>
              </w:rPr>
              <w:t>Retailer</w:t>
            </w:r>
          </w:p>
        </w:tc>
        <w:tc>
          <w:tcPr>
            <w:tcW w:type="dxa" w:w="821"/>
          </w:tcPr>
          <w:p>
            <w:pPr>
              <w:spacing w:line="240" w:lineRule="auto" w:before="20" w:after="20"/>
              <w:jc w:val="right"/>
            </w:pPr>
            <w:r/>
            <w:r>
              <w:rPr>
                <w:rFonts w:ascii="Times New Roman" w:hAnsi="Times New Roman"/>
                <w:b w:val="0"/>
                <w:sz w:val="20"/>
              </w:rPr>
              <w:t>30</w:t>
            </w:r>
          </w:p>
        </w:tc>
        <w:tc>
          <w:tcPr>
            <w:tcW w:type="dxa" w:w="821"/>
          </w:tcPr>
          <w:p>
            <w:pPr>
              <w:spacing w:line="240" w:lineRule="auto" w:before="20" w:after="20"/>
              <w:jc w:val="right"/>
            </w:pPr>
            <w:r/>
            <w:r>
              <w:rPr>
                <w:rFonts w:ascii="Times New Roman" w:hAnsi="Times New Roman"/>
                <w:b w:val="0"/>
                <w:sz w:val="20"/>
              </w:rPr>
              <w:t>38.63</w:t>
            </w:r>
          </w:p>
        </w:tc>
        <w:tc>
          <w:tcPr>
            <w:tcW w:type="dxa" w:w="821"/>
          </w:tcPr>
          <w:p>
            <w:pPr>
              <w:spacing w:line="240" w:lineRule="auto" w:before="20" w:after="20"/>
              <w:jc w:val="right"/>
            </w:pPr>
            <w:r/>
            <w:r>
              <w:rPr>
                <w:rFonts w:ascii="Times New Roman" w:hAnsi="Times New Roman"/>
                <w:b w:val="0"/>
                <w:sz w:val="20"/>
              </w:rPr>
              <w:t>10.01</w:t>
            </w:r>
          </w:p>
        </w:tc>
        <w:tc>
          <w:tcPr>
            <w:tcW w:type="dxa" w:w="821"/>
          </w:tcPr>
          <w:p>
            <w:pPr>
              <w:spacing w:line="240" w:lineRule="auto" w:before="20" w:after="20"/>
              <w:jc w:val="right"/>
            </w:pPr>
            <w:r/>
            <w:r>
              <w:rPr>
                <w:rFonts w:ascii="Times New Roman" w:hAnsi="Times New Roman"/>
                <w:b w:val="0"/>
                <w:sz w:val="20"/>
              </w:rPr>
              <w:t>11.43</w:t>
            </w:r>
          </w:p>
        </w:tc>
        <w:tc>
          <w:tcPr>
            <w:tcW w:type="dxa" w:w="821"/>
          </w:tcPr>
          <w:p>
            <w:pPr>
              <w:spacing w:line="240" w:lineRule="auto" w:before="20" w:after="20"/>
              <w:jc w:val="right"/>
            </w:pPr>
            <w:r/>
            <w:r>
              <w:rPr>
                <w:rFonts w:ascii="Times New Roman" w:hAnsi="Times New Roman"/>
                <w:b w:val="0"/>
                <w:sz w:val="20"/>
              </w:rPr>
              <w:t>7.43</w:t>
            </w:r>
          </w:p>
        </w:tc>
        <w:tc>
          <w:tcPr>
            <w:tcW w:type="dxa" w:w="821"/>
          </w:tcPr>
          <w:p>
            <w:pPr>
              <w:spacing w:line="240" w:lineRule="auto" w:before="20" w:after="20"/>
              <w:jc w:val="right"/>
            </w:pPr>
            <w:r/>
            <w:r>
              <w:rPr>
                <w:rFonts w:ascii="Times New Roman" w:hAnsi="Times New Roman"/>
                <w:b w:val="0"/>
                <w:sz w:val="20"/>
              </w:rPr>
              <w:t>5.43</w:t>
            </w:r>
          </w:p>
        </w:tc>
        <w:tc>
          <w:tcPr>
            <w:tcW w:type="dxa" w:w="821"/>
          </w:tcPr>
          <w:p>
            <w:pPr>
              <w:spacing w:line="240" w:lineRule="auto" w:before="20" w:after="20"/>
              <w:jc w:val="right"/>
            </w:pPr>
            <w:r/>
            <w:r>
              <w:rPr>
                <w:rFonts w:ascii="Times New Roman" w:hAnsi="Times New Roman"/>
                <w:b w:val="0"/>
                <w:sz w:val="20"/>
              </w:rPr>
              <w:t>16.7</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36.7</w:t>
            </w:r>
          </w:p>
        </w:tc>
        <w:tc>
          <w:tcPr>
            <w:tcW w:type="dxa" w:w="821"/>
          </w:tcPr>
          <w:p>
            <w:pPr>
              <w:spacing w:line="240" w:lineRule="auto" w:before="20" w:after="20"/>
              <w:jc w:val="right"/>
            </w:pPr>
            <w:r/>
            <w:r>
              <w:rPr>
                <w:rFonts w:ascii="Times New Roman" w:hAnsi="Times New Roman"/>
                <w:b w:val="0"/>
                <w:sz w:val="20"/>
              </w:rPr>
              <w:t>10</w:t>
            </w:r>
          </w:p>
        </w:tc>
      </w:tr>
      <w:tr>
        <w:tc>
          <w:tcPr>
            <w:tcW w:type="dxa" w:w="821"/>
          </w:tcPr>
          <w:p>
            <w:pPr>
              <w:spacing w:line="240" w:lineRule="auto" w:before="20" w:after="20"/>
              <w:jc w:val="left"/>
            </w:pPr>
            <w:r/>
            <w:r>
              <w:rPr>
                <w:rFonts w:ascii="Times New Roman" w:hAnsi="Times New Roman"/>
                <w:b w:val="0"/>
                <w:sz w:val="20"/>
              </w:rPr>
              <w:t>All traders</w:t>
            </w:r>
          </w:p>
        </w:tc>
        <w:tc>
          <w:tcPr>
            <w:tcW w:type="dxa" w:w="821"/>
          </w:tcPr>
          <w:p>
            <w:pPr>
              <w:spacing w:line="240" w:lineRule="auto" w:before="20" w:after="20"/>
              <w:jc w:val="right"/>
            </w:pPr>
            <w:r/>
            <w:r>
              <w:rPr>
                <w:rFonts w:ascii="Times New Roman" w:hAnsi="Times New Roman"/>
                <w:b w:val="0"/>
                <w:sz w:val="20"/>
              </w:rPr>
              <w:t>90</w:t>
            </w:r>
          </w:p>
        </w:tc>
        <w:tc>
          <w:tcPr>
            <w:tcW w:type="dxa" w:w="821"/>
          </w:tcPr>
          <w:p>
            <w:pPr>
              <w:spacing w:line="240" w:lineRule="auto" w:before="20" w:after="20"/>
              <w:jc w:val="right"/>
            </w:pPr>
            <w:r/>
            <w:r>
              <w:rPr>
                <w:rFonts w:ascii="Times New Roman" w:hAnsi="Times New Roman"/>
                <w:b w:val="0"/>
                <w:sz w:val="20"/>
              </w:rPr>
              <w:t>42.34</w:t>
            </w:r>
          </w:p>
        </w:tc>
        <w:tc>
          <w:tcPr>
            <w:tcW w:type="dxa" w:w="821"/>
          </w:tcPr>
          <w:p>
            <w:pPr>
              <w:spacing w:line="240" w:lineRule="auto" w:before="20" w:after="20"/>
              <w:jc w:val="right"/>
            </w:pPr>
            <w:r/>
            <w:r>
              <w:rPr>
                <w:rFonts w:ascii="Times New Roman" w:hAnsi="Times New Roman"/>
                <w:b w:val="0"/>
                <w:sz w:val="20"/>
              </w:rPr>
              <w:t>10.68</w:t>
            </w:r>
          </w:p>
        </w:tc>
        <w:tc>
          <w:tcPr>
            <w:tcW w:type="dxa" w:w="821"/>
          </w:tcPr>
          <w:p>
            <w:pPr>
              <w:spacing w:line="240" w:lineRule="auto" w:before="20" w:after="20"/>
              <w:jc w:val="right"/>
            </w:pPr>
            <w:r/>
            <w:r>
              <w:rPr>
                <w:rFonts w:ascii="Times New Roman" w:hAnsi="Times New Roman"/>
                <w:b w:val="0"/>
                <w:sz w:val="20"/>
              </w:rPr>
              <w:t>16.11</w:t>
            </w:r>
          </w:p>
        </w:tc>
        <w:tc>
          <w:tcPr>
            <w:tcW w:type="dxa" w:w="821"/>
          </w:tcPr>
          <w:p>
            <w:pPr>
              <w:spacing w:line="240" w:lineRule="auto" w:before="20" w:after="20"/>
              <w:jc w:val="right"/>
            </w:pPr>
            <w:r/>
            <w:r>
              <w:rPr>
                <w:rFonts w:ascii="Times New Roman" w:hAnsi="Times New Roman"/>
                <w:b w:val="0"/>
                <w:sz w:val="20"/>
              </w:rPr>
              <w:t>9.03</w:t>
            </w:r>
          </w:p>
        </w:tc>
        <w:tc>
          <w:tcPr>
            <w:tcW w:type="dxa" w:w="821"/>
          </w:tcPr>
          <w:p>
            <w:pPr>
              <w:spacing w:line="240" w:lineRule="auto" w:before="20" w:after="20"/>
              <w:jc w:val="right"/>
            </w:pPr>
            <w:r/>
            <w:r>
              <w:rPr>
                <w:rFonts w:ascii="Times New Roman" w:hAnsi="Times New Roman"/>
                <w:b w:val="0"/>
                <w:sz w:val="20"/>
              </w:rPr>
              <w:t>5.34</w:t>
            </w:r>
          </w:p>
        </w:tc>
        <w:tc>
          <w:tcPr>
            <w:tcW w:type="dxa" w:w="821"/>
          </w:tcPr>
          <w:p>
            <w:pPr>
              <w:spacing w:line="240" w:lineRule="auto" w:before="20" w:after="20"/>
              <w:jc w:val="right"/>
            </w:pPr>
            <w:r/>
            <w:r>
              <w:rPr>
                <w:rFonts w:ascii="Times New Roman" w:hAnsi="Times New Roman"/>
                <w:b w:val="0"/>
                <w:sz w:val="20"/>
              </w:rPr>
              <w:t>13.3</w:t>
            </w:r>
          </w:p>
        </w:tc>
        <w:tc>
          <w:tcPr>
            <w:tcW w:type="dxa" w:w="821"/>
          </w:tcPr>
          <w:p>
            <w:pPr>
              <w:spacing w:line="240" w:lineRule="auto" w:before="20" w:after="20"/>
              <w:jc w:val="right"/>
            </w:pPr>
            <w:r/>
            <w:r>
              <w:rPr>
                <w:rFonts w:ascii="Times New Roman" w:hAnsi="Times New Roman"/>
                <w:b w:val="0"/>
                <w:sz w:val="20"/>
              </w:rPr>
              <w:t>37.8</w:t>
            </w:r>
          </w:p>
        </w:tc>
        <w:tc>
          <w:tcPr>
            <w:tcW w:type="dxa" w:w="821"/>
          </w:tcPr>
          <w:p>
            <w:pPr>
              <w:spacing w:line="240" w:lineRule="auto" w:before="20" w:after="20"/>
              <w:jc w:val="right"/>
            </w:pPr>
            <w:r/>
            <w:r>
              <w:rPr>
                <w:rFonts w:ascii="Times New Roman" w:hAnsi="Times New Roman"/>
                <w:b w:val="0"/>
                <w:sz w:val="20"/>
              </w:rPr>
              <w:t>41.1</w:t>
            </w:r>
          </w:p>
        </w:tc>
        <w:tc>
          <w:tcPr>
            <w:tcW w:type="dxa" w:w="821"/>
          </w:tcPr>
          <w:p>
            <w:pPr>
              <w:spacing w:line="240" w:lineRule="auto" w:before="20" w:after="20"/>
              <w:jc w:val="right"/>
            </w:pPr>
            <w:r/>
            <w:r>
              <w:rPr>
                <w:rFonts w:ascii="Times New Roman" w:hAnsi="Times New Roman"/>
                <w:b w:val="0"/>
                <w:sz w:val="20"/>
              </w:rPr>
              <w:t>7.8</w:t>
            </w:r>
          </w:p>
        </w:tc>
      </w:tr>
    </w:tbl>
    <w:p>
      <w:pPr>
        <w:spacing w:line="264" w:lineRule="auto" w:before="40" w:after="120"/>
        <w:jc w:val="left"/>
      </w:pPr>
      <w:r>
        <w:rPr>
          <w:rFonts w:ascii="Times New Roman" w:hAnsi="Times New Roman"/>
          <w:b w:val="0"/>
          <w:i/>
          <w:sz w:val="18"/>
        </w:rPr>
        <w:t>Source: Form A, Form B, Form R and Form C data-entry sheets. Bepari and Faria are reported separately because the two subtypes differ in scale and in operating pattern; the trader-stratum analysis in later tables pools them as the bepari or faria stratum, as specified in Section 3.3.1.</w:t>
      </w:r>
    </w:p>
    <w:p>
      <w:pPr>
        <w:spacing w:line="317" w:lineRule="auto" w:before="0" w:after="200"/>
        <w:jc w:val="left"/>
      </w:pPr>
      <w:r>
        <w:rPr>
          <w:rFonts w:ascii="Times New Roman" w:hAnsi="Times New Roman"/>
          <w:b w:val="0"/>
          <w:i w:val="0"/>
          <w:sz w:val="24"/>
        </w:rPr>
        <w:t>Experience is strongly stratified by tier. Aratdars average 20.63 years in the trade and 47.1 years of age, against 16.23 years for beparis, 16.38 for farias and 11.43 for retailers, who are also the youngest group at a mean 38.6 years. Aratdar status is a seniority good: it requires premises, working capital and established relationships with both fishers and downstream buyers, so it is reached only after years in the trade, and this asymmetry is central to the power relations examined in Section 4.7. The gradient is close to monotonic in age, experience and position, which is consistent with a career ladder in which retail vending is the entry tier and the arat is the destination.</w:t>
      </w:r>
    </w:p>
    <w:p>
      <w:pPr>
        <w:spacing w:line="317" w:lineRule="auto" w:before="0" w:after="200"/>
        <w:jc w:val="left"/>
      </w:pPr>
      <w:r>
        <w:rPr>
          <w:rFonts w:ascii="Times New Roman" w:hAnsi="Times New Roman"/>
          <w:b w:val="0"/>
          <w:i w:val="0"/>
          <w:sz w:val="24"/>
        </w:rPr>
        <w:t>Educational attainment is modest across every trading stratum. Pooling the 90 traders, 13.3 per cent are illiterate, 37.8 per cent have primary education, 41.1 per cent secondary and 7.8 per cent higher secondary. This constrains the adoption of written record-keeping and formal financial services and helps explain the persistence of cash and credit that Section 4.4 reports. Mean household size is 5.34 persons, above the national average, which is consistent with the labour-intensive character of fish trading, where family members routinely supply unpaid work: aratdars report a mean 5.47 workers attached to the business, a category that in the instrument includes both own and family labour as well as hired hands.</w:t>
      </w:r>
    </w:p>
    <w:p>
      <w:pPr>
        <w:spacing w:line="317" w:lineRule="auto" w:before="0" w:after="200"/>
        <w:jc w:val="left"/>
      </w:pPr>
      <w:r>
        <w:rPr>
          <w:rFonts w:ascii="Times New Roman" w:hAnsi="Times New Roman"/>
          <w:b w:val="0"/>
          <w:i w:val="0"/>
          <w:sz w:val="24"/>
        </w:rPr>
        <w:t>Of the 30 bepari or faria respondents, 22 are beparis and 8 are farias, and 63.3 per cent trade year-round against 36.7 per cent trading seasonally. Their supply linkages are mixed: 46.7 per cent buy directly from fishermen, 36.7 per cent from aratdars and 13.3 per cent from other farias, with the remainder from other sources. Principal source locations are the Karnaphuli river ghat at 26.7 per cent, the Fishery Ghat landing at 20.0 per cent and the Bhola charter landing at 16.7 per cent. This confirms that the mobile wholesale tier is genuinely intermediate: it draws substantially but not exclusively from the landing point, and a third of it buys from aratdars rather than from fishers.</w:t>
      </w:r>
    </w:p>
    <w:p>
      <w:pPr>
        <w:pStyle w:val="Heading2"/>
      </w:pPr>
      <w:r>
        <w:t>4.3 Business scale and market participation (Objective 1)</w:t>
      </w:r>
    </w:p>
    <w:p>
      <w:pPr>
        <w:keepNext/>
        <w:spacing w:line="240" w:lineRule="auto" w:before="200" w:after="60"/>
        <w:jc w:val="center"/>
      </w:pPr>
      <w:r>
        <w:rPr>
          <w:rFonts w:ascii="Times New Roman" w:hAnsi="Times New Roman"/>
          <w:b/>
          <w:i w:val="0"/>
          <w:sz w:val="20"/>
        </w:rPr>
        <w:t>Table 4.2: Business scale and operating characteristics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752"/>
        <w:gridCol w:w="752"/>
        <w:gridCol w:w="752"/>
        <w:gridCol w:w="752"/>
        <w:gridCol w:w="752"/>
        <w:gridCol w:w="752"/>
        <w:gridCol w:w="752"/>
        <w:gridCol w:w="752"/>
        <w:gridCol w:w="752"/>
        <w:gridCol w:w="752"/>
        <w:gridCol w:w="752"/>
        <w:gridCol w:w="752"/>
      </w:tblGrid>
      <w:tr>
        <w:tc>
          <w:tcPr>
            <w:tcW w:type="dxa" w:w="752"/>
          </w:tcPr>
          <w:p>
            <w:pPr>
              <w:spacing w:line="240" w:lineRule="auto" w:before="20" w:after="20"/>
              <w:jc w:val="left"/>
            </w:pPr>
            <w:r/>
            <w:r>
              <w:rPr>
                <w:rFonts w:ascii="Times New Roman" w:hAnsi="Times New Roman"/>
                <w:b/>
                <w:sz w:val="20"/>
              </w:rPr>
              <w:t>Actor group</w:t>
            </w:r>
          </w:p>
        </w:tc>
        <w:tc>
          <w:tcPr>
            <w:tcW w:type="dxa" w:w="752"/>
          </w:tcPr>
          <w:p>
            <w:pPr>
              <w:spacing w:line="240" w:lineRule="auto" w:before="20" w:after="20"/>
              <w:jc w:val="right"/>
            </w:pPr>
            <w:r/>
            <w:r>
              <w:rPr>
                <w:rFonts w:ascii="Times New Roman" w:hAnsi="Times New Roman"/>
                <w:b/>
                <w:sz w:val="20"/>
              </w:rPr>
              <w:t>n</w:t>
            </w:r>
          </w:p>
        </w:tc>
        <w:tc>
          <w:tcPr>
            <w:tcW w:type="dxa" w:w="752"/>
          </w:tcPr>
          <w:p>
            <w:pPr>
              <w:spacing w:line="240" w:lineRule="auto" w:before="20" w:after="20"/>
              <w:jc w:val="right"/>
            </w:pPr>
            <w:r/>
            <w:r>
              <w:rPr>
                <w:rFonts w:ascii="Times New Roman" w:hAnsi="Times New Roman"/>
                <w:b/>
                <w:sz w:val="20"/>
              </w:rPr>
              <w:t>Capacity, kg/day</w:t>
            </w:r>
          </w:p>
        </w:tc>
        <w:tc>
          <w:tcPr>
            <w:tcW w:type="dxa" w:w="752"/>
          </w:tcPr>
          <w:p>
            <w:pPr>
              <w:spacing w:line="240" w:lineRule="auto" w:before="20" w:after="20"/>
              <w:jc w:val="right"/>
            </w:pPr>
            <w:r/>
            <w:r>
              <w:rPr>
                <w:rFonts w:ascii="Times New Roman" w:hAnsi="Times New Roman"/>
                <w:b/>
                <w:sz w:val="20"/>
              </w:rPr>
              <w:t>SD</w:t>
            </w:r>
          </w:p>
        </w:tc>
        <w:tc>
          <w:tcPr>
            <w:tcW w:type="dxa" w:w="752"/>
          </w:tcPr>
          <w:p>
            <w:pPr>
              <w:spacing w:line="240" w:lineRule="auto" w:before="20" w:after="20"/>
              <w:jc w:val="right"/>
            </w:pPr>
            <w:r/>
            <w:r>
              <w:rPr>
                <w:rFonts w:ascii="Times New Roman" w:hAnsi="Times New Roman"/>
                <w:b/>
                <w:sz w:val="20"/>
              </w:rPr>
              <w:t>Median</w:t>
            </w:r>
          </w:p>
        </w:tc>
        <w:tc>
          <w:tcPr>
            <w:tcW w:type="dxa" w:w="752"/>
          </w:tcPr>
          <w:p>
            <w:pPr>
              <w:spacing w:line="240" w:lineRule="auto" w:before="20" w:after="20"/>
              <w:jc w:val="right"/>
            </w:pPr>
            <w:r/>
            <w:r>
              <w:rPr>
                <w:rFonts w:ascii="Times New Roman" w:hAnsi="Times New Roman"/>
                <w:b/>
                <w:sz w:val="20"/>
              </w:rPr>
              <w:t>Minimum</w:t>
            </w:r>
          </w:p>
        </w:tc>
        <w:tc>
          <w:tcPr>
            <w:tcW w:type="dxa" w:w="752"/>
          </w:tcPr>
          <w:p>
            <w:pPr>
              <w:spacing w:line="240" w:lineRule="auto" w:before="20" w:after="20"/>
              <w:jc w:val="right"/>
            </w:pPr>
            <w:r/>
            <w:r>
              <w:rPr>
                <w:rFonts w:ascii="Times New Roman" w:hAnsi="Times New Roman"/>
                <w:b/>
                <w:sz w:val="20"/>
              </w:rPr>
              <w:t>Maximum</w:t>
            </w:r>
          </w:p>
        </w:tc>
        <w:tc>
          <w:tcPr>
            <w:tcW w:type="dxa" w:w="752"/>
          </w:tcPr>
          <w:p>
            <w:pPr>
              <w:spacing w:line="240" w:lineRule="auto" w:before="20" w:after="20"/>
              <w:jc w:val="right"/>
            </w:pPr>
            <w:r/>
            <w:r>
              <w:rPr>
                <w:rFonts w:ascii="Times New Roman" w:hAnsi="Times New Roman"/>
                <w:b/>
                <w:sz w:val="20"/>
              </w:rPr>
              <w:t>Workers</w:t>
            </w:r>
          </w:p>
        </w:tc>
        <w:tc>
          <w:tcPr>
            <w:tcW w:type="dxa" w:w="752"/>
          </w:tcPr>
          <w:p>
            <w:pPr>
              <w:spacing w:line="240" w:lineRule="auto" w:before="20" w:after="20"/>
              <w:jc w:val="right"/>
            </w:pPr>
            <w:r/>
            <w:r>
              <w:rPr>
                <w:rFonts w:ascii="Times New Roman" w:hAnsi="Times New Roman"/>
                <w:b/>
                <w:sz w:val="20"/>
              </w:rPr>
              <w:t>Wage, BDT/day</w:t>
            </w:r>
          </w:p>
        </w:tc>
        <w:tc>
          <w:tcPr>
            <w:tcW w:type="dxa" w:w="752"/>
          </w:tcPr>
          <w:p>
            <w:pPr>
              <w:spacing w:line="240" w:lineRule="auto" w:before="20" w:after="20"/>
              <w:jc w:val="right"/>
            </w:pPr>
            <w:r/>
            <w:r>
              <w:rPr>
                <w:rFonts w:ascii="Times New Roman" w:hAnsi="Times New Roman"/>
                <w:b/>
                <w:sz w:val="20"/>
              </w:rPr>
              <w:t>Trips per period</w:t>
            </w:r>
          </w:p>
        </w:tc>
        <w:tc>
          <w:tcPr>
            <w:tcW w:type="dxa" w:w="752"/>
          </w:tcPr>
          <w:p>
            <w:pPr>
              <w:spacing w:line="240" w:lineRule="auto" w:before="20" w:after="20"/>
              <w:jc w:val="right"/>
            </w:pPr>
            <w:r/>
            <w:r>
              <w:rPr>
                <w:rFonts w:ascii="Times New Roman" w:hAnsi="Times New Roman"/>
                <w:b/>
                <w:sz w:val="20"/>
              </w:rPr>
              <w:t>Ice, kg/day</w:t>
            </w:r>
          </w:p>
        </w:tc>
        <w:tc>
          <w:tcPr>
            <w:tcW w:type="dxa" w:w="752"/>
          </w:tcPr>
          <w:p>
            <w:pPr>
              <w:spacing w:line="240" w:lineRule="auto" w:before="20" w:after="20"/>
              <w:jc w:val="right"/>
            </w:pPr>
            <w:r/>
            <w:r>
              <w:rPr>
                <w:rFonts w:ascii="Times New Roman" w:hAnsi="Times New Roman"/>
                <w:b/>
                <w:sz w:val="20"/>
              </w:rPr>
              <w:t>Spoilage, per cent</w:t>
            </w:r>
          </w:p>
        </w:tc>
      </w:tr>
      <w:tr>
        <w:tc>
          <w:tcPr>
            <w:tcW w:type="dxa" w:w="752"/>
          </w:tcPr>
          <w:p>
            <w:pPr>
              <w:spacing w:line="240" w:lineRule="auto" w:before="20" w:after="20"/>
              <w:jc w:val="left"/>
            </w:pPr>
            <w:r/>
            <w:r>
              <w:rPr>
                <w:rFonts w:ascii="Times New Roman" w:hAnsi="Times New Roman"/>
                <w:b w:val="0"/>
                <w:sz w:val="20"/>
              </w:rPr>
              <w:t>Aratdar</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801.14</w:t>
            </w:r>
          </w:p>
        </w:tc>
        <w:tc>
          <w:tcPr>
            <w:tcW w:type="dxa" w:w="752"/>
          </w:tcPr>
          <w:p>
            <w:pPr>
              <w:spacing w:line="240" w:lineRule="auto" w:before="20" w:after="20"/>
              <w:jc w:val="right"/>
            </w:pPr>
            <w:r/>
            <w:r>
              <w:rPr>
                <w:rFonts w:ascii="Times New Roman" w:hAnsi="Times New Roman"/>
                <w:b w:val="0"/>
                <w:sz w:val="20"/>
              </w:rPr>
              <w:t>328.39</w:t>
            </w:r>
          </w:p>
        </w:tc>
        <w:tc>
          <w:tcPr>
            <w:tcW w:type="dxa" w:w="752"/>
          </w:tcPr>
          <w:p>
            <w:pPr>
              <w:spacing w:line="240" w:lineRule="auto" w:before="20" w:after="20"/>
              <w:jc w:val="right"/>
            </w:pPr>
            <w:r/>
            <w:r>
              <w:rPr>
                <w:rFonts w:ascii="Times New Roman" w:hAnsi="Times New Roman"/>
                <w:b w:val="0"/>
                <w:sz w:val="20"/>
              </w:rPr>
              <w:t>839.7</w:t>
            </w:r>
          </w:p>
        </w:tc>
        <w:tc>
          <w:tcPr>
            <w:tcW w:type="dxa" w:w="752"/>
          </w:tcPr>
          <w:p>
            <w:pPr>
              <w:spacing w:line="240" w:lineRule="auto" w:before="20" w:after="20"/>
              <w:jc w:val="right"/>
            </w:pPr>
            <w:r/>
            <w:r>
              <w:rPr>
                <w:rFonts w:ascii="Times New Roman" w:hAnsi="Times New Roman"/>
                <w:b w:val="0"/>
                <w:sz w:val="20"/>
              </w:rPr>
              <w:t>298.6</w:t>
            </w:r>
          </w:p>
        </w:tc>
        <w:tc>
          <w:tcPr>
            <w:tcW w:type="dxa" w:w="752"/>
          </w:tcPr>
          <w:p>
            <w:pPr>
              <w:spacing w:line="240" w:lineRule="auto" w:before="20" w:after="20"/>
              <w:jc w:val="right"/>
            </w:pPr>
            <w:r/>
            <w:r>
              <w:rPr>
                <w:rFonts w:ascii="Times New Roman" w:hAnsi="Times New Roman"/>
                <w:b w:val="0"/>
                <w:sz w:val="20"/>
              </w:rPr>
              <w:t>1,268.90</w:t>
            </w:r>
          </w:p>
        </w:tc>
        <w:tc>
          <w:tcPr>
            <w:tcW w:type="dxa" w:w="752"/>
          </w:tcPr>
          <w:p>
            <w:pPr>
              <w:spacing w:line="240" w:lineRule="auto" w:before="20" w:after="20"/>
              <w:jc w:val="right"/>
            </w:pPr>
            <w:r/>
            <w:r>
              <w:rPr>
                <w:rFonts w:ascii="Times New Roman" w:hAnsi="Times New Roman"/>
                <w:b w:val="0"/>
                <w:sz w:val="20"/>
              </w:rPr>
              <w:t>5.47</w:t>
            </w:r>
          </w:p>
        </w:tc>
        <w:tc>
          <w:tcPr>
            <w:tcW w:type="dxa" w:w="752"/>
          </w:tcPr>
          <w:p>
            <w:pPr>
              <w:spacing w:line="240" w:lineRule="auto" w:before="20" w:after="20"/>
              <w:jc w:val="right"/>
            </w:pPr>
            <w:r/>
            <w:r>
              <w:rPr>
                <w:rFonts w:ascii="Times New Roman" w:hAnsi="Times New Roman"/>
                <w:b w:val="0"/>
                <w:sz w:val="20"/>
              </w:rPr>
              <w:t>673.33</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r>
      <w:tr>
        <w:tc>
          <w:tcPr>
            <w:tcW w:type="dxa" w:w="752"/>
          </w:tcPr>
          <w:p>
            <w:pPr>
              <w:spacing w:line="240" w:lineRule="auto" w:before="20" w:after="20"/>
              <w:jc w:val="left"/>
            </w:pPr>
            <w:r/>
            <w:r>
              <w:rPr>
                <w:rFonts w:ascii="Times New Roman" w:hAnsi="Times New Roman"/>
                <w:b w:val="0"/>
                <w:sz w:val="20"/>
              </w:rPr>
              <w:t>Bepari/Faria</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205.26</w:t>
            </w:r>
          </w:p>
        </w:tc>
        <w:tc>
          <w:tcPr>
            <w:tcW w:type="dxa" w:w="752"/>
          </w:tcPr>
          <w:p>
            <w:pPr>
              <w:spacing w:line="240" w:lineRule="auto" w:before="20" w:after="20"/>
              <w:jc w:val="right"/>
            </w:pPr>
            <w:r/>
            <w:r>
              <w:rPr>
                <w:rFonts w:ascii="Times New Roman" w:hAnsi="Times New Roman"/>
                <w:b w:val="0"/>
                <w:sz w:val="20"/>
              </w:rPr>
              <w:t>103.06</w:t>
            </w:r>
          </w:p>
        </w:tc>
        <w:tc>
          <w:tcPr>
            <w:tcW w:type="dxa" w:w="752"/>
          </w:tcPr>
          <w:p>
            <w:pPr>
              <w:spacing w:line="240" w:lineRule="auto" w:before="20" w:after="20"/>
              <w:jc w:val="right"/>
            </w:pPr>
            <w:r/>
            <w:r>
              <w:rPr>
                <w:rFonts w:ascii="Times New Roman" w:hAnsi="Times New Roman"/>
                <w:b w:val="0"/>
                <w:sz w:val="20"/>
              </w:rPr>
              <w:t>167.9</w:t>
            </w:r>
          </w:p>
        </w:tc>
        <w:tc>
          <w:tcPr>
            <w:tcW w:type="dxa" w:w="752"/>
          </w:tcPr>
          <w:p>
            <w:pPr>
              <w:spacing w:line="240" w:lineRule="auto" w:before="20" w:after="20"/>
              <w:jc w:val="right"/>
            </w:pPr>
            <w:r/>
            <w:r>
              <w:rPr>
                <w:rFonts w:ascii="Times New Roman" w:hAnsi="Times New Roman"/>
                <w:b w:val="0"/>
                <w:sz w:val="20"/>
              </w:rPr>
              <w:t>48.5</w:t>
            </w:r>
          </w:p>
        </w:tc>
        <w:tc>
          <w:tcPr>
            <w:tcW w:type="dxa" w:w="752"/>
          </w:tcPr>
          <w:p>
            <w:pPr>
              <w:spacing w:line="240" w:lineRule="auto" w:before="20" w:after="20"/>
              <w:jc w:val="right"/>
            </w:pPr>
            <w:r/>
            <w:r>
              <w:rPr>
                <w:rFonts w:ascii="Times New Roman" w:hAnsi="Times New Roman"/>
                <w:b w:val="0"/>
                <w:sz w:val="20"/>
              </w:rPr>
              <w:t>447.8</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t>1.97</w:t>
            </w:r>
          </w:p>
        </w:tc>
        <w:tc>
          <w:tcPr>
            <w:tcW w:type="dxa" w:w="752"/>
          </w:tcPr>
          <w:p>
            <w:pPr>
              <w:spacing w:line="240" w:lineRule="auto" w:before="20" w:after="20"/>
              <w:jc w:val="right"/>
            </w:pPr>
            <w:r/>
            <w:r>
              <w:rPr>
                <w:rFonts w:ascii="Times New Roman" w:hAnsi="Times New Roman"/>
                <w:b w:val="0"/>
                <w:sz w:val="20"/>
              </w:rPr>
              <w:t>73.57</w:t>
            </w:r>
          </w:p>
        </w:tc>
        <w:tc>
          <w:tcPr>
            <w:tcW w:type="dxa" w:w="752"/>
          </w:tcPr>
          <w:p>
            <w:pPr>
              <w:spacing w:line="240" w:lineRule="auto" w:before="20" w:after="20"/>
              <w:jc w:val="right"/>
            </w:pPr>
            <w:r/>
            <w:r>
              <w:rPr>
                <w:rFonts w:ascii="Times New Roman" w:hAnsi="Times New Roman"/>
                <w:b w:val="0"/>
                <w:sz w:val="20"/>
              </w:rPr>
            </w:r>
          </w:p>
        </w:tc>
      </w:tr>
      <w:tr>
        <w:tc>
          <w:tcPr>
            <w:tcW w:type="dxa" w:w="752"/>
          </w:tcPr>
          <w:p>
            <w:pPr>
              <w:spacing w:line="240" w:lineRule="auto" w:before="20" w:after="20"/>
              <w:jc w:val="left"/>
            </w:pPr>
            <w:r/>
            <w:r>
              <w:rPr>
                <w:rFonts w:ascii="Times New Roman" w:hAnsi="Times New Roman"/>
                <w:b w:val="0"/>
                <w:sz w:val="20"/>
              </w:rPr>
              <w:t>Retailer</w:t>
            </w:r>
          </w:p>
        </w:tc>
        <w:tc>
          <w:tcPr>
            <w:tcW w:type="dxa" w:w="752"/>
          </w:tcPr>
          <w:p>
            <w:pPr>
              <w:spacing w:line="240" w:lineRule="auto" w:before="20" w:after="20"/>
              <w:jc w:val="right"/>
            </w:pPr>
            <w:r/>
            <w:r>
              <w:rPr>
                <w:rFonts w:ascii="Times New Roman" w:hAnsi="Times New Roman"/>
                <w:b w:val="0"/>
                <w:sz w:val="20"/>
              </w:rPr>
              <w:t>30</w:t>
            </w:r>
          </w:p>
        </w:tc>
        <w:tc>
          <w:tcPr>
            <w:tcW w:type="dxa" w:w="752"/>
          </w:tcPr>
          <w:p>
            <w:pPr>
              <w:spacing w:line="240" w:lineRule="auto" w:before="20" w:after="20"/>
              <w:jc w:val="right"/>
            </w:pPr>
            <w:r/>
            <w:r>
              <w:rPr>
                <w:rFonts w:ascii="Times New Roman" w:hAnsi="Times New Roman"/>
                <w:b w:val="0"/>
                <w:sz w:val="20"/>
              </w:rPr>
              <w:t>95.94</w:t>
            </w:r>
          </w:p>
        </w:tc>
        <w:tc>
          <w:tcPr>
            <w:tcW w:type="dxa" w:w="752"/>
          </w:tcPr>
          <w:p>
            <w:pPr>
              <w:spacing w:line="240" w:lineRule="auto" w:before="20" w:after="20"/>
              <w:jc w:val="right"/>
            </w:pPr>
            <w:r/>
            <w:r>
              <w:rPr>
                <w:rFonts w:ascii="Times New Roman" w:hAnsi="Times New Roman"/>
                <w:b w:val="0"/>
                <w:sz w:val="20"/>
              </w:rPr>
              <w:t>35.07</w:t>
            </w:r>
          </w:p>
        </w:tc>
        <w:tc>
          <w:tcPr>
            <w:tcW w:type="dxa" w:w="752"/>
          </w:tcPr>
          <w:p>
            <w:pPr>
              <w:spacing w:line="240" w:lineRule="auto" w:before="20" w:after="20"/>
              <w:jc w:val="right"/>
            </w:pPr>
            <w:r/>
            <w:r>
              <w:rPr>
                <w:rFonts w:ascii="Times New Roman" w:hAnsi="Times New Roman"/>
                <w:b w:val="0"/>
                <w:sz w:val="20"/>
              </w:rPr>
              <w:t>102.6</w:t>
            </w:r>
          </w:p>
        </w:tc>
        <w:tc>
          <w:tcPr>
            <w:tcW w:type="dxa" w:w="752"/>
          </w:tcPr>
          <w:p>
            <w:pPr>
              <w:spacing w:line="240" w:lineRule="auto" w:before="20" w:after="20"/>
              <w:jc w:val="right"/>
            </w:pPr>
            <w:r/>
            <w:r>
              <w:rPr>
                <w:rFonts w:ascii="Times New Roman" w:hAnsi="Times New Roman"/>
                <w:b w:val="0"/>
                <w:sz w:val="20"/>
              </w:rPr>
              <w:t>43</w:t>
            </w:r>
          </w:p>
        </w:tc>
        <w:tc>
          <w:tcPr>
            <w:tcW w:type="dxa" w:w="752"/>
          </w:tcPr>
          <w:p>
            <w:pPr>
              <w:spacing w:line="240" w:lineRule="auto" w:before="20" w:after="20"/>
              <w:jc w:val="right"/>
            </w:pPr>
            <w:r/>
            <w:r>
              <w:rPr>
                <w:rFonts w:ascii="Times New Roman" w:hAnsi="Times New Roman"/>
                <w:b w:val="0"/>
                <w:sz w:val="20"/>
              </w:rPr>
              <w:t>150</w:t>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r>
          </w:p>
        </w:tc>
        <w:tc>
          <w:tcPr>
            <w:tcW w:type="dxa" w:w="752"/>
          </w:tcPr>
          <w:p>
            <w:pPr>
              <w:spacing w:line="240" w:lineRule="auto" w:before="20" w:after="20"/>
              <w:jc w:val="right"/>
            </w:pPr>
            <w:r/>
            <w:r>
              <w:rPr>
                <w:rFonts w:ascii="Times New Roman" w:hAnsi="Times New Roman"/>
                <w:b w:val="0"/>
                <w:sz w:val="20"/>
              </w:rPr>
              <w:t>5.53</w:t>
            </w:r>
          </w:p>
        </w:tc>
      </w:tr>
    </w:tbl>
    <w:p>
      <w:pPr>
        <w:spacing w:line="264" w:lineRule="auto" w:before="40" w:after="120"/>
        <w:jc w:val="left"/>
      </w:pPr>
      <w:r>
        <w:rPr>
          <w:rFonts w:ascii="Times New Roman" w:hAnsi="Times New Roman"/>
          <w:b w:val="0"/>
          <w:i/>
          <w:sz w:val="18"/>
        </w:rPr>
        <w:t>Source: trader business-scale module. Blank cells indicate that the item does not apply to that stratum. Worker counts for aratdars include own and family labour as well as hired hands.</w:t>
      </w:r>
    </w:p>
    <w:p>
      <w:pPr>
        <w:spacing w:line="317" w:lineRule="auto" w:before="0" w:after="200"/>
        <w:jc w:val="left"/>
      </w:pPr>
      <w:r>
        <w:rPr>
          <w:rFonts w:ascii="Times New Roman" w:hAnsi="Times New Roman"/>
          <w:b w:val="0"/>
          <w:i w:val="0"/>
          <w:sz w:val="24"/>
        </w:rPr>
        <w:t>Table 4.2 shows how sharply the chain fragments as it approaches the consumer. Aratdars handle a mean 801.1 kg per day, beparis and farias 205.3 kg and retailers 95.9 kg, a ratio of roughly 8 to 2 to 1. Each downstream transaction splits a larger consignment into smaller ones, so throughput falls by an order of magnitude across three positions. Capacity also varies far more within strata than the means suggest: aratdar capacity ranges from 298.6 to 1,268.9 kg per day, so the aratdar category spans both small neighbourhood operators and large assembly yards, and the bepari range of 48.5 to 447.8 kg is wider still in relative terms.</w:t>
      </w:r>
    </w:p>
    <w:p>
      <w:pPr>
        <w:spacing w:line="317" w:lineRule="auto" w:before="0" w:after="200"/>
        <w:jc w:val="left"/>
      </w:pPr>
      <w:r>
        <w:rPr>
          <w:rFonts w:ascii="Times New Roman" w:hAnsi="Times New Roman"/>
          <w:b w:val="0"/>
          <w:i w:val="0"/>
          <w:sz w:val="24"/>
        </w:rPr>
        <w:t>The cost and labour structure follows the same gradient. Aratdars employ a mean 5.47 workers at a mean daily wage of BDT 673.33, which is the single largest fixed commitment in the chain and the main reason the arat is a capital-intensive position. Beparis and farias make a mean 1.97 trips per period and use 73.57 kg of ice per day, and retailers report mean spoilage of 5.53 per cent of throughput. That last figure is the smallest of the three but the most consequential per kilogram, because it is incurred at the point where the fish is worth the most.</w:t>
      </w:r>
    </w:p>
    <w:p>
      <w:pPr>
        <w:spacing w:line="317" w:lineRule="auto" w:before="0" w:after="200"/>
        <w:jc w:val="left"/>
      </w:pPr>
      <w:r>
        <w:rPr>
          <w:rFonts w:ascii="Times New Roman" w:hAnsi="Times New Roman"/>
          <w:b w:val="0"/>
          <w:i w:val="0"/>
          <w:sz w:val="24"/>
        </w:rPr>
        <w:t>The K-flag distribution recorded in Section 4.1 is itself informative when read against this gradient: 11 of 30 retailers reported their business not operating on the interview day, against 7 aratdars and 6 beparis and farias. Retail vending is the most intermittent tier, consistent with the dependence of small retailers on daily supply arrivals and on the weather-dependent landing schedule upstream.</w:t>
      </w:r>
    </w:p>
    <w:p>
      <w:pPr>
        <w:pStyle w:val="Heading2"/>
      </w:pPr>
      <w:r>
        <w:t>4.4 Payment modes and financial practices (Objective 1)</w:t>
      </w:r>
    </w:p>
    <w:p>
      <w:pPr>
        <w:keepNext/>
        <w:spacing w:line="240" w:lineRule="auto" w:before="200" w:after="60"/>
        <w:jc w:val="center"/>
      </w:pPr>
      <w:r>
        <w:rPr>
          <w:rFonts w:ascii="Times New Roman" w:hAnsi="Times New Roman"/>
          <w:b/>
          <w:i w:val="0"/>
          <w:sz w:val="20"/>
        </w:rPr>
        <w:t>Table 4.3: Payment composition and mobile financial service adoption by actor group</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129"/>
        <w:gridCol w:w="1129"/>
        <w:gridCol w:w="1129"/>
        <w:gridCol w:w="1129"/>
        <w:gridCol w:w="1129"/>
        <w:gridCol w:w="1129"/>
        <w:gridCol w:w="1129"/>
        <w:gridCol w:w="1129"/>
      </w:tblGrid>
      <w:tr>
        <w:tc>
          <w:tcPr>
            <w:tcW w:type="dxa" w:w="1129"/>
          </w:tcPr>
          <w:p>
            <w:pPr>
              <w:spacing w:line="240" w:lineRule="auto" w:before="20" w:after="20"/>
              <w:jc w:val="left"/>
            </w:pPr>
            <w:r/>
            <w:r>
              <w:rPr>
                <w:rFonts w:ascii="Times New Roman" w:hAnsi="Times New Roman"/>
                <w:b/>
                <w:sz w:val="20"/>
              </w:rPr>
              <w:t>Actor group</w:t>
            </w:r>
          </w:p>
        </w:tc>
        <w:tc>
          <w:tcPr>
            <w:tcW w:type="dxa" w:w="1129"/>
          </w:tcPr>
          <w:p>
            <w:pPr>
              <w:spacing w:line="240" w:lineRule="auto" w:before="20" w:after="20"/>
              <w:jc w:val="left"/>
            </w:pPr>
            <w:r/>
            <w:r>
              <w:rPr>
                <w:rFonts w:ascii="Times New Roman" w:hAnsi="Times New Roman"/>
                <w:b/>
                <w:sz w:val="20"/>
              </w:rPr>
              <w:t>n</w:t>
            </w:r>
          </w:p>
        </w:tc>
        <w:tc>
          <w:tcPr>
            <w:tcW w:type="dxa" w:w="1129"/>
          </w:tcPr>
          <w:p>
            <w:pPr>
              <w:spacing w:line="240" w:lineRule="auto" w:before="20" w:after="20"/>
              <w:jc w:val="right"/>
            </w:pPr>
            <w:r/>
            <w:r>
              <w:rPr>
                <w:rFonts w:ascii="Times New Roman" w:hAnsi="Times New Roman"/>
                <w:b/>
                <w:sz w:val="20"/>
              </w:rPr>
              <w:t>Cash, per cent</w:t>
            </w:r>
          </w:p>
        </w:tc>
        <w:tc>
          <w:tcPr>
            <w:tcW w:type="dxa" w:w="1129"/>
          </w:tcPr>
          <w:p>
            <w:pPr>
              <w:spacing w:line="240" w:lineRule="auto" w:before="20" w:after="20"/>
              <w:jc w:val="right"/>
            </w:pPr>
            <w:r/>
            <w:r>
              <w:rPr>
                <w:rFonts w:ascii="Times New Roman" w:hAnsi="Times New Roman"/>
                <w:b/>
                <w:sz w:val="20"/>
              </w:rPr>
              <w:t>MFS, per cent</w:t>
            </w:r>
          </w:p>
        </w:tc>
        <w:tc>
          <w:tcPr>
            <w:tcW w:type="dxa" w:w="1129"/>
          </w:tcPr>
          <w:p>
            <w:pPr>
              <w:spacing w:line="240" w:lineRule="auto" w:before="20" w:after="20"/>
              <w:jc w:val="right"/>
            </w:pPr>
            <w:r/>
            <w:r>
              <w:rPr>
                <w:rFonts w:ascii="Times New Roman" w:hAnsi="Times New Roman"/>
                <w:b/>
                <w:sz w:val="20"/>
              </w:rPr>
              <w:t>Credit, per cent</w:t>
            </w:r>
          </w:p>
        </w:tc>
        <w:tc>
          <w:tcPr>
            <w:tcW w:type="dxa" w:w="1129"/>
          </w:tcPr>
          <w:p>
            <w:pPr>
              <w:spacing w:line="240" w:lineRule="auto" w:before="20" w:after="20"/>
              <w:jc w:val="right"/>
            </w:pPr>
            <w:r/>
            <w:r>
              <w:rPr>
                <w:rFonts w:ascii="Times New Roman" w:hAnsi="Times New Roman"/>
                <w:b/>
                <w:sz w:val="20"/>
              </w:rPr>
              <w:t>MFS regular</w:t>
            </w:r>
          </w:p>
        </w:tc>
        <w:tc>
          <w:tcPr>
            <w:tcW w:type="dxa" w:w="1129"/>
          </w:tcPr>
          <w:p>
            <w:pPr>
              <w:spacing w:line="240" w:lineRule="auto" w:before="20" w:after="20"/>
              <w:jc w:val="right"/>
            </w:pPr>
            <w:r/>
            <w:r>
              <w:rPr>
                <w:rFonts w:ascii="Times New Roman" w:hAnsi="Times New Roman"/>
                <w:b/>
                <w:sz w:val="20"/>
              </w:rPr>
              <w:t>MFS occasional</w:t>
            </w:r>
          </w:p>
        </w:tc>
        <w:tc>
          <w:tcPr>
            <w:tcW w:type="dxa" w:w="1129"/>
          </w:tcPr>
          <w:p>
            <w:pPr>
              <w:spacing w:line="240" w:lineRule="auto" w:before="20" w:after="20"/>
              <w:jc w:val="right"/>
            </w:pPr>
            <w:r/>
            <w:r>
              <w:rPr>
                <w:rFonts w:ascii="Times New Roman" w:hAnsi="Times New Roman"/>
                <w:b/>
                <w:sz w:val="20"/>
              </w:rPr>
              <w:t>MFS never</w:t>
            </w:r>
          </w:p>
        </w:tc>
      </w:tr>
      <w:tr>
        <w:tc>
          <w:tcPr>
            <w:tcW w:type="dxa" w:w="1129"/>
          </w:tcPr>
          <w:p>
            <w:pPr>
              <w:spacing w:line="240" w:lineRule="auto" w:before="20" w:after="20"/>
              <w:jc w:val="left"/>
            </w:pPr>
            <w:r/>
            <w:r>
              <w:rPr>
                <w:rFonts w:ascii="Times New Roman" w:hAnsi="Times New Roman"/>
                <w:b w:val="0"/>
                <w:sz w:val="20"/>
              </w:rPr>
              <w:t>Aratdar</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69.63</w:t>
            </w:r>
          </w:p>
        </w:tc>
        <w:tc>
          <w:tcPr>
            <w:tcW w:type="dxa" w:w="1129"/>
          </w:tcPr>
          <w:p>
            <w:pPr>
              <w:spacing w:line="240" w:lineRule="auto" w:before="20" w:after="20"/>
              <w:jc w:val="right"/>
            </w:pPr>
            <w:r/>
            <w:r>
              <w:rPr>
                <w:rFonts w:ascii="Times New Roman" w:hAnsi="Times New Roman"/>
                <w:b w:val="0"/>
                <w:sz w:val="20"/>
              </w:rPr>
              <w:t>14.17</w:t>
            </w:r>
          </w:p>
        </w:tc>
        <w:tc>
          <w:tcPr>
            <w:tcW w:type="dxa" w:w="1129"/>
          </w:tcPr>
          <w:p>
            <w:pPr>
              <w:spacing w:line="240" w:lineRule="auto" w:before="20" w:after="20"/>
              <w:jc w:val="right"/>
            </w:pPr>
            <w:r/>
            <w:r>
              <w:rPr>
                <w:rFonts w:ascii="Times New Roman" w:hAnsi="Times New Roman"/>
                <w:b w:val="0"/>
                <w:sz w:val="20"/>
              </w:rPr>
              <w:t>16.2</w:t>
            </w:r>
          </w:p>
        </w:tc>
        <w:tc>
          <w:tcPr>
            <w:tcW w:type="dxa" w:w="1129"/>
          </w:tcPr>
          <w:p>
            <w:pPr>
              <w:spacing w:line="240" w:lineRule="auto" w:before="20" w:after="20"/>
              <w:jc w:val="right"/>
            </w:pPr>
            <w:r/>
            <w:r>
              <w:rPr>
                <w:rFonts w:ascii="Times New Roman" w:hAnsi="Times New Roman"/>
                <w:b w:val="0"/>
                <w:sz w:val="20"/>
              </w:rPr>
              <w:t>14</w:t>
            </w:r>
          </w:p>
        </w:tc>
        <w:tc>
          <w:tcPr>
            <w:tcW w:type="dxa" w:w="1129"/>
          </w:tcPr>
          <w:p>
            <w:pPr>
              <w:spacing w:line="240" w:lineRule="auto" w:before="20" w:after="20"/>
              <w:jc w:val="right"/>
            </w:pPr>
            <w:r/>
            <w:r>
              <w:rPr>
                <w:rFonts w:ascii="Times New Roman" w:hAnsi="Times New Roman"/>
                <w:b w:val="0"/>
                <w:sz w:val="20"/>
              </w:rPr>
              <w:t>12</w:t>
            </w:r>
          </w:p>
        </w:tc>
        <w:tc>
          <w:tcPr>
            <w:tcW w:type="dxa" w:w="1129"/>
          </w:tcPr>
          <w:p>
            <w:pPr>
              <w:spacing w:line="240" w:lineRule="auto" w:before="20" w:after="20"/>
              <w:jc w:val="right"/>
            </w:pPr>
            <w:r/>
            <w:r>
              <w:rPr>
                <w:rFonts w:ascii="Times New Roman" w:hAnsi="Times New Roman"/>
                <w:b w:val="0"/>
                <w:sz w:val="20"/>
              </w:rPr>
              <w:t>4</w:t>
            </w:r>
          </w:p>
        </w:tc>
      </w:tr>
      <w:tr>
        <w:tc>
          <w:tcPr>
            <w:tcW w:type="dxa" w:w="1129"/>
          </w:tcPr>
          <w:p>
            <w:pPr>
              <w:spacing w:line="240" w:lineRule="auto" w:before="20" w:after="20"/>
              <w:jc w:val="left"/>
            </w:pPr>
            <w:r/>
            <w:r>
              <w:rPr>
                <w:rFonts w:ascii="Times New Roman" w:hAnsi="Times New Roman"/>
                <w:b w:val="0"/>
                <w:sz w:val="20"/>
              </w:rPr>
              <w:t>Bepari/Faria</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64</w:t>
            </w:r>
          </w:p>
        </w:tc>
        <w:tc>
          <w:tcPr>
            <w:tcW w:type="dxa" w:w="1129"/>
          </w:tcPr>
          <w:p>
            <w:pPr>
              <w:spacing w:line="240" w:lineRule="auto" w:before="20" w:after="20"/>
              <w:jc w:val="right"/>
            </w:pPr>
            <w:r/>
            <w:r>
              <w:rPr>
                <w:rFonts w:ascii="Times New Roman" w:hAnsi="Times New Roman"/>
                <w:b w:val="0"/>
                <w:sz w:val="20"/>
              </w:rPr>
              <w:t>17.43</w:t>
            </w:r>
          </w:p>
        </w:tc>
        <w:tc>
          <w:tcPr>
            <w:tcW w:type="dxa" w:w="1129"/>
          </w:tcPr>
          <w:p>
            <w:pPr>
              <w:spacing w:line="240" w:lineRule="auto" w:before="20" w:after="20"/>
              <w:jc w:val="right"/>
            </w:pPr>
            <w:r/>
            <w:r>
              <w:rPr>
                <w:rFonts w:ascii="Times New Roman" w:hAnsi="Times New Roman"/>
                <w:b w:val="0"/>
                <w:sz w:val="20"/>
              </w:rPr>
              <w:t>18.57</w:t>
            </w:r>
          </w:p>
        </w:tc>
        <w:tc>
          <w:tcPr>
            <w:tcW w:type="dxa" w:w="1129"/>
          </w:tcPr>
          <w:p>
            <w:pPr>
              <w:spacing w:line="240" w:lineRule="auto" w:before="20" w:after="20"/>
              <w:jc w:val="right"/>
            </w:pPr>
            <w:r/>
            <w:r>
              <w:rPr>
                <w:rFonts w:ascii="Times New Roman" w:hAnsi="Times New Roman"/>
                <w:b w:val="0"/>
                <w:sz w:val="20"/>
              </w:rPr>
              <w:t>9</w:t>
            </w:r>
          </w:p>
        </w:tc>
        <w:tc>
          <w:tcPr>
            <w:tcW w:type="dxa" w:w="1129"/>
          </w:tcPr>
          <w:p>
            <w:pPr>
              <w:spacing w:line="240" w:lineRule="auto" w:before="20" w:after="20"/>
              <w:jc w:val="right"/>
            </w:pPr>
            <w:r/>
            <w:r>
              <w:rPr>
                <w:rFonts w:ascii="Times New Roman" w:hAnsi="Times New Roman"/>
                <w:b w:val="0"/>
                <w:sz w:val="20"/>
              </w:rPr>
              <w:t>16</w:t>
            </w:r>
          </w:p>
        </w:tc>
        <w:tc>
          <w:tcPr>
            <w:tcW w:type="dxa" w:w="1129"/>
          </w:tcPr>
          <w:p>
            <w:pPr>
              <w:spacing w:line="240" w:lineRule="auto" w:before="20" w:after="20"/>
              <w:jc w:val="right"/>
            </w:pPr>
            <w:r/>
            <w:r>
              <w:rPr>
                <w:rFonts w:ascii="Times New Roman" w:hAnsi="Times New Roman"/>
                <w:b w:val="0"/>
                <w:sz w:val="20"/>
              </w:rPr>
              <w:t>5</w:t>
            </w:r>
          </w:p>
        </w:tc>
      </w:tr>
      <w:tr>
        <w:tc>
          <w:tcPr>
            <w:tcW w:type="dxa" w:w="1129"/>
          </w:tcPr>
          <w:p>
            <w:pPr>
              <w:spacing w:line="240" w:lineRule="auto" w:before="20" w:after="20"/>
              <w:jc w:val="left"/>
            </w:pPr>
            <w:r/>
            <w:r>
              <w:rPr>
                <w:rFonts w:ascii="Times New Roman" w:hAnsi="Times New Roman"/>
                <w:b w:val="0"/>
                <w:sz w:val="20"/>
              </w:rPr>
              <w:t>Retailer</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55.1</w:t>
            </w:r>
          </w:p>
        </w:tc>
        <w:tc>
          <w:tcPr>
            <w:tcW w:type="dxa" w:w="1129"/>
          </w:tcPr>
          <w:p>
            <w:pPr>
              <w:spacing w:line="240" w:lineRule="auto" w:before="20" w:after="20"/>
              <w:jc w:val="right"/>
            </w:pPr>
            <w:r/>
            <w:r>
              <w:rPr>
                <w:rFonts w:ascii="Times New Roman" w:hAnsi="Times New Roman"/>
                <w:b w:val="0"/>
                <w:sz w:val="20"/>
              </w:rPr>
              <w:t>27.37</w:t>
            </w:r>
          </w:p>
        </w:tc>
        <w:tc>
          <w:tcPr>
            <w:tcW w:type="dxa" w:w="1129"/>
          </w:tcPr>
          <w:p>
            <w:pPr>
              <w:spacing w:line="240" w:lineRule="auto" w:before="20" w:after="20"/>
              <w:jc w:val="right"/>
            </w:pPr>
            <w:r/>
            <w:r>
              <w:rPr>
                <w:rFonts w:ascii="Times New Roman" w:hAnsi="Times New Roman"/>
                <w:b w:val="0"/>
                <w:sz w:val="20"/>
              </w:rPr>
              <w:t>17.53</w:t>
            </w:r>
          </w:p>
        </w:tc>
        <w:tc>
          <w:tcPr>
            <w:tcW w:type="dxa" w:w="1129"/>
          </w:tcPr>
          <w:p>
            <w:pPr>
              <w:spacing w:line="240" w:lineRule="auto" w:before="20" w:after="20"/>
              <w:jc w:val="right"/>
            </w:pPr>
            <w:r/>
            <w:r>
              <w:rPr>
                <w:rFonts w:ascii="Times New Roman" w:hAnsi="Times New Roman"/>
                <w:b w:val="0"/>
                <w:sz w:val="20"/>
              </w:rPr>
              <w:t>14</w:t>
            </w:r>
          </w:p>
        </w:tc>
        <w:tc>
          <w:tcPr>
            <w:tcW w:type="dxa" w:w="1129"/>
          </w:tcPr>
          <w:p>
            <w:pPr>
              <w:spacing w:line="240" w:lineRule="auto" w:before="20" w:after="20"/>
              <w:jc w:val="right"/>
            </w:pPr>
            <w:r/>
            <w:r>
              <w:rPr>
                <w:rFonts w:ascii="Times New Roman" w:hAnsi="Times New Roman"/>
                <w:b w:val="0"/>
                <w:sz w:val="20"/>
              </w:rPr>
              <w:t>13</w:t>
            </w:r>
          </w:p>
        </w:tc>
        <w:tc>
          <w:tcPr>
            <w:tcW w:type="dxa" w:w="1129"/>
          </w:tcPr>
          <w:p>
            <w:pPr>
              <w:spacing w:line="240" w:lineRule="auto" w:before="20" w:after="20"/>
              <w:jc w:val="right"/>
            </w:pPr>
            <w:r/>
            <w:r>
              <w:rPr>
                <w:rFonts w:ascii="Times New Roman" w:hAnsi="Times New Roman"/>
                <w:b w:val="0"/>
                <w:sz w:val="20"/>
              </w:rPr>
              <w:t>3</w:t>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Consumer (Form C)</w:t>
            </w:r>
          </w:p>
        </w:tc>
        <w:tc>
          <w:tcPr>
            <w:tcW w:type="dxa" w:w="1129"/>
          </w:tcPr>
          <w:p>
            <w:pPr>
              <w:spacing w:line="240" w:lineRule="auto" w:before="20" w:after="20"/>
              <w:jc w:val="lef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payment module of Forms A, B and R. Cash, MFS and credit percentages are the respondent-reported composition of transactions and sum to 100 within each actor group. MFS frequency counts are the number of respondents in each adoption category and are the basis of the chi-square test.</w:t>
      </w:r>
    </w:p>
    <w:p>
      <w:pPr>
        <w:spacing w:line="317" w:lineRule="auto" w:before="0" w:after="200"/>
        <w:jc w:val="left"/>
      </w:pPr>
      <w:r>
        <w:rPr>
          <w:rFonts w:ascii="Times New Roman" w:hAnsi="Times New Roman"/>
          <w:b w:val="0"/>
          <w:i w:val="0"/>
          <w:sz w:val="24"/>
        </w:rPr>
        <w:t>Cash remains the dominant settlement medium across every trading stratum, at 69.6 per cent of aratdar transactions, 64.0 per cent for beparis and farias and 55.1 per cent for retailers. Its share falls monotonically as the chain approaches the consumer, and the counterpart is a rise in mobile financial service use, from 14.2 per cent among aratdars to 27.4 per cent among retailers. Credit is remarkably uniform across the three strata, at 16.2, 18.6 and 17.5 per cent, which suggests it is a structural feature of fish trade finance rather than a tier-specific practice.</w:t>
      </w:r>
    </w:p>
    <w:p>
      <w:pPr>
        <w:spacing w:line="317" w:lineRule="auto" w:before="0" w:after="200"/>
        <w:jc w:val="left"/>
      </w:pPr>
      <w:r>
        <w:rPr>
          <w:rFonts w:ascii="Times New Roman" w:hAnsi="Times New Roman"/>
          <w:b w:val="0"/>
          <w:i w:val="0"/>
          <w:sz w:val="24"/>
        </w:rPr>
        <w:t>Adoption behaviour was measured separately, as the frequency with which respondents report using mobile financial services at all, and the two measures do not move together. Retailers and aratdars report identical adoption shares at 46.7 per cent each, while beparis and farias report the lowest at 30.0 per cent, despite having an intermediate transaction share. A chi-square test on the adoption frequencies does not reject independence of actor type and adoption, chi-square(4) = 2.49, p = 0.647, with a G-test p = 0.635 and a Fisher-exact p = 0.664 agreeing, and Cramer's V = 0.118 indicating a negligible association. Digital payment adoption therefore does not differ significantly across actor types in this sample, and the visible gradient in transaction composition is a composition effect rather than an adoption effect. This null result is reported as such rather than reframed, and it is consistent with the small expected counts the design produces, the smallest being 4.00.</w:t>
      </w:r>
    </w:p>
    <w:p>
      <w:pPr>
        <w:spacing w:line="317" w:lineRule="auto" w:before="0" w:after="200"/>
        <w:jc w:val="left"/>
      </w:pPr>
      <w:r>
        <w:rPr>
          <w:rFonts w:ascii="Times New Roman" w:hAnsi="Times New Roman"/>
          <w:b w:val="0"/>
          <w:i w:val="0"/>
          <w:sz w:val="24"/>
        </w:rPr>
        <w:t>Among the 30 consumers intercepted on exit, payment splits 50.0 per cent cash, 23.3 per cent Nagad, 20.0 per cent bKash and 6.7 per cent credit. Consumers are therefore considerably more digital than the traders they buy from, and the mobile financial service share at the consumer interface, 43.3 per cent, is roughly one and a half times the retailer transaction share of 27.4 per cent. Consumer demand for digital payment is running ahead of trader supply of it.</w:t>
      </w:r>
    </w:p>
    <w:p>
      <w:pPr>
        <w:pStyle w:val="Heading2"/>
      </w:pPr>
      <w:r>
        <w:t>4.5 Marketing problems reported by actors (Objective 1)</w:t>
      </w:r>
    </w:p>
    <w:p>
      <w:pPr>
        <w:keepNext/>
        <w:spacing w:line="240" w:lineRule="auto" w:before="200" w:after="60"/>
        <w:jc w:val="center"/>
      </w:pPr>
      <w:r>
        <w:rPr>
          <w:rFonts w:ascii="Times New Roman" w:hAnsi="Times New Roman"/>
          <w:b/>
          <w:i w:val="0"/>
          <w:sz w:val="20"/>
        </w:rPr>
        <w:t>Table 4.4: Marketing problems reported by actor group, ranked by overall frequency</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003"/>
        <w:gridCol w:w="1003"/>
        <w:gridCol w:w="1003"/>
        <w:gridCol w:w="1003"/>
        <w:gridCol w:w="1003"/>
        <w:gridCol w:w="1003"/>
        <w:gridCol w:w="1003"/>
        <w:gridCol w:w="1003"/>
        <w:gridCol w:w="1003"/>
      </w:tblGrid>
      <w:tr>
        <w:tc>
          <w:tcPr>
            <w:tcW w:type="dxa" w:w="1003"/>
          </w:tcPr>
          <w:p>
            <w:pPr>
              <w:spacing w:line="240" w:lineRule="auto" w:before="20" w:after="20"/>
              <w:jc w:val="left"/>
            </w:pPr>
            <w:r/>
            <w:r>
              <w:rPr>
                <w:rFonts w:ascii="Times New Roman" w:hAnsi="Times New Roman"/>
                <w:b/>
                <w:sz w:val="20"/>
              </w:rPr>
              <w:t>Problem</w:t>
            </w:r>
          </w:p>
        </w:tc>
        <w:tc>
          <w:tcPr>
            <w:tcW w:type="dxa" w:w="1003"/>
          </w:tcPr>
          <w:p>
            <w:pPr>
              <w:spacing w:line="240" w:lineRule="auto" w:before="20" w:after="20"/>
              <w:jc w:val="right"/>
            </w:pPr>
            <w:r/>
            <w:r>
              <w:rPr>
                <w:rFonts w:ascii="Times New Roman" w:hAnsi="Times New Roman"/>
                <w:b/>
                <w:sz w:val="20"/>
              </w:rPr>
              <w:t>Aratdar n</w:t>
            </w:r>
          </w:p>
        </w:tc>
        <w:tc>
          <w:tcPr>
            <w:tcW w:type="dxa" w:w="1003"/>
          </w:tcPr>
          <w:p>
            <w:pPr>
              <w:spacing w:line="240" w:lineRule="auto" w:before="20" w:after="20"/>
              <w:jc w:val="right"/>
            </w:pPr>
            <w:r/>
            <w:r>
              <w:rPr>
                <w:rFonts w:ascii="Times New Roman" w:hAnsi="Times New Roman"/>
                <w:b/>
                <w:sz w:val="20"/>
              </w:rPr>
              <w:t>Aratdar per cent</w:t>
            </w:r>
          </w:p>
        </w:tc>
        <w:tc>
          <w:tcPr>
            <w:tcW w:type="dxa" w:w="1003"/>
          </w:tcPr>
          <w:p>
            <w:pPr>
              <w:spacing w:line="240" w:lineRule="auto" w:before="20" w:after="20"/>
              <w:jc w:val="right"/>
            </w:pPr>
            <w:r/>
            <w:r>
              <w:rPr>
                <w:rFonts w:ascii="Times New Roman" w:hAnsi="Times New Roman"/>
                <w:b/>
                <w:sz w:val="20"/>
              </w:rPr>
              <w:t>Bepari n</w:t>
            </w:r>
          </w:p>
        </w:tc>
        <w:tc>
          <w:tcPr>
            <w:tcW w:type="dxa" w:w="1003"/>
          </w:tcPr>
          <w:p>
            <w:pPr>
              <w:spacing w:line="240" w:lineRule="auto" w:before="20" w:after="20"/>
              <w:jc w:val="right"/>
            </w:pPr>
            <w:r/>
            <w:r>
              <w:rPr>
                <w:rFonts w:ascii="Times New Roman" w:hAnsi="Times New Roman"/>
                <w:b/>
                <w:sz w:val="20"/>
              </w:rPr>
              <w:t>Bepari per cent</w:t>
            </w:r>
          </w:p>
        </w:tc>
        <w:tc>
          <w:tcPr>
            <w:tcW w:type="dxa" w:w="1003"/>
          </w:tcPr>
          <w:p>
            <w:pPr>
              <w:spacing w:line="240" w:lineRule="auto" w:before="20" w:after="20"/>
              <w:jc w:val="right"/>
            </w:pPr>
            <w:r/>
            <w:r>
              <w:rPr>
                <w:rFonts w:ascii="Times New Roman" w:hAnsi="Times New Roman"/>
                <w:b/>
                <w:sz w:val="20"/>
              </w:rPr>
              <w:t>Retailer n</w:t>
            </w:r>
          </w:p>
        </w:tc>
        <w:tc>
          <w:tcPr>
            <w:tcW w:type="dxa" w:w="1003"/>
          </w:tcPr>
          <w:p>
            <w:pPr>
              <w:spacing w:line="240" w:lineRule="auto" w:before="20" w:after="20"/>
              <w:jc w:val="right"/>
            </w:pPr>
            <w:r/>
            <w:r>
              <w:rPr>
                <w:rFonts w:ascii="Times New Roman" w:hAnsi="Times New Roman"/>
                <w:b/>
                <w:sz w:val="20"/>
              </w:rPr>
              <w:t>Retailer per cent</w:t>
            </w:r>
          </w:p>
        </w:tc>
        <w:tc>
          <w:tcPr>
            <w:tcW w:type="dxa" w:w="1003"/>
          </w:tcPr>
          <w:p>
            <w:pPr>
              <w:spacing w:line="240" w:lineRule="auto" w:before="20" w:after="20"/>
              <w:jc w:val="right"/>
            </w:pPr>
            <w:r/>
            <w:r>
              <w:rPr>
                <w:rFonts w:ascii="Times New Roman" w:hAnsi="Times New Roman"/>
                <w:b/>
                <w:sz w:val="20"/>
              </w:rPr>
              <w:t>Total n</w:t>
            </w:r>
          </w:p>
        </w:tc>
        <w:tc>
          <w:tcPr>
            <w:tcW w:type="dxa" w:w="1003"/>
          </w:tcPr>
          <w:p>
            <w:pPr>
              <w:spacing w:line="240" w:lineRule="auto" w:before="20" w:after="20"/>
              <w:jc w:val="right"/>
            </w:pPr>
            <w:r/>
            <w:r>
              <w:rPr>
                <w:rFonts w:ascii="Times New Roman" w:hAnsi="Times New Roman"/>
                <w:b/>
                <w:sz w:val="20"/>
              </w:rPr>
              <w:t>Total per cent</w:t>
            </w:r>
          </w:p>
        </w:tc>
      </w:tr>
      <w:tr>
        <w:tc>
          <w:tcPr>
            <w:tcW w:type="dxa" w:w="1003"/>
          </w:tcPr>
          <w:p>
            <w:pPr>
              <w:spacing w:line="240" w:lineRule="auto" w:before="20" w:after="20"/>
              <w:jc w:val="left"/>
            </w:pPr>
            <w:r/>
            <w:r>
              <w:rPr>
                <w:rFonts w:ascii="Times New Roman" w:hAnsi="Times New Roman"/>
                <w:b w:val="0"/>
                <w:sz w:val="20"/>
              </w:rPr>
              <w:t>Day-to-day price volatility</w:t>
            </w:r>
          </w:p>
        </w:tc>
        <w:tc>
          <w:tcPr>
            <w:tcW w:type="dxa" w:w="1003"/>
          </w:tcPr>
          <w:p>
            <w:pPr>
              <w:spacing w:line="240" w:lineRule="auto" w:before="20" w:after="20"/>
              <w:jc w:val="right"/>
            </w:pPr>
            <w:r/>
            <w:r>
              <w:rPr>
                <w:rFonts w:ascii="Times New Roman" w:hAnsi="Times New Roman"/>
                <w:b w:val="0"/>
                <w:sz w:val="20"/>
              </w:rPr>
              <w:t>7</w:t>
            </w:r>
          </w:p>
        </w:tc>
        <w:tc>
          <w:tcPr>
            <w:tcW w:type="dxa" w:w="1003"/>
          </w:tcPr>
          <w:p>
            <w:pPr>
              <w:spacing w:line="240" w:lineRule="auto" w:before="20" w:after="20"/>
              <w:jc w:val="right"/>
            </w:pPr>
            <w:r/>
            <w:r>
              <w:rPr>
                <w:rFonts w:ascii="Times New Roman" w:hAnsi="Times New Roman"/>
                <w:b w:val="0"/>
                <w:sz w:val="20"/>
              </w:rPr>
              <w:t>23.3</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12</w:t>
            </w:r>
          </w:p>
        </w:tc>
        <w:tc>
          <w:tcPr>
            <w:tcW w:type="dxa" w:w="1003"/>
          </w:tcPr>
          <w:p>
            <w:pPr>
              <w:spacing w:line="240" w:lineRule="auto" w:before="20" w:after="20"/>
              <w:jc w:val="right"/>
            </w:pPr>
            <w:r/>
            <w:r>
              <w:rPr>
                <w:rFonts w:ascii="Times New Roman" w:hAnsi="Times New Roman"/>
                <w:b w:val="0"/>
                <w:sz w:val="20"/>
              </w:rPr>
              <w:t>40</w:t>
            </w:r>
          </w:p>
        </w:tc>
        <w:tc>
          <w:tcPr>
            <w:tcW w:type="dxa" w:w="1003"/>
          </w:tcPr>
          <w:p>
            <w:pPr>
              <w:spacing w:line="240" w:lineRule="auto" w:before="20" w:after="20"/>
              <w:jc w:val="right"/>
            </w:pPr>
            <w:r/>
            <w:r>
              <w:rPr>
                <w:rFonts w:ascii="Times New Roman" w:hAnsi="Times New Roman"/>
                <w:b w:val="0"/>
                <w:sz w:val="20"/>
              </w:rPr>
              <w:t>29</w:t>
            </w:r>
          </w:p>
        </w:tc>
        <w:tc>
          <w:tcPr>
            <w:tcW w:type="dxa" w:w="1003"/>
          </w:tcPr>
          <w:p>
            <w:pPr>
              <w:spacing w:line="240" w:lineRule="auto" w:before="20" w:after="20"/>
              <w:jc w:val="right"/>
            </w:pPr>
            <w:r/>
            <w:r>
              <w:rPr>
                <w:rFonts w:ascii="Times New Roman" w:hAnsi="Times New Roman"/>
                <w:b w:val="0"/>
                <w:sz w:val="20"/>
              </w:rPr>
              <w:t>32.2</w:t>
            </w:r>
          </w:p>
        </w:tc>
      </w:tr>
      <w:tr>
        <w:tc>
          <w:tcPr>
            <w:tcW w:type="dxa" w:w="1003"/>
          </w:tcPr>
          <w:p>
            <w:pPr>
              <w:spacing w:line="240" w:lineRule="auto" w:before="20" w:after="20"/>
              <w:jc w:val="left"/>
            </w:pPr>
            <w:r/>
            <w:r>
              <w:rPr>
                <w:rFonts w:ascii="Times New Roman" w:hAnsi="Times New Roman"/>
                <w:b w:val="0"/>
                <w:sz w:val="20"/>
              </w:rPr>
              <w:t>Low landings in lean season</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26</w:t>
            </w:r>
          </w:p>
        </w:tc>
        <w:tc>
          <w:tcPr>
            <w:tcW w:type="dxa" w:w="1003"/>
          </w:tcPr>
          <w:p>
            <w:pPr>
              <w:spacing w:line="240" w:lineRule="auto" w:before="20" w:after="20"/>
              <w:jc w:val="right"/>
            </w:pPr>
            <w:r/>
            <w:r>
              <w:rPr>
                <w:rFonts w:ascii="Times New Roman" w:hAnsi="Times New Roman"/>
                <w:b w:val="0"/>
                <w:sz w:val="20"/>
              </w:rPr>
              <w:t>28.9</w:t>
            </w:r>
          </w:p>
        </w:tc>
      </w:tr>
      <w:tr>
        <w:tc>
          <w:tcPr>
            <w:tcW w:type="dxa" w:w="1003"/>
          </w:tcPr>
          <w:p>
            <w:pPr>
              <w:spacing w:line="240" w:lineRule="auto" w:before="20" w:after="20"/>
              <w:jc w:val="left"/>
            </w:pPr>
            <w:r/>
            <w:r>
              <w:rPr>
                <w:rFonts w:ascii="Times New Roman" w:hAnsi="Times New Roman"/>
                <w:b w:val="0"/>
                <w:sz w:val="20"/>
              </w:rPr>
              <w:t>Rising cost of ice and salt</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26</w:t>
            </w:r>
          </w:p>
        </w:tc>
        <w:tc>
          <w:tcPr>
            <w:tcW w:type="dxa" w:w="1003"/>
          </w:tcPr>
          <w:p>
            <w:pPr>
              <w:spacing w:line="240" w:lineRule="auto" w:before="20" w:after="20"/>
              <w:jc w:val="right"/>
            </w:pPr>
            <w:r/>
            <w:r>
              <w:rPr>
                <w:rFonts w:ascii="Times New Roman" w:hAnsi="Times New Roman"/>
                <w:b w:val="0"/>
                <w:sz w:val="20"/>
              </w:rPr>
              <w:t>28.9</w:t>
            </w:r>
          </w:p>
        </w:tc>
      </w:tr>
      <w:tr>
        <w:tc>
          <w:tcPr>
            <w:tcW w:type="dxa" w:w="1003"/>
          </w:tcPr>
          <w:p>
            <w:pPr>
              <w:spacing w:line="240" w:lineRule="auto" w:before="20" w:after="20"/>
              <w:jc w:val="left"/>
            </w:pPr>
            <w:r/>
            <w:r>
              <w:rPr>
                <w:rFonts w:ascii="Times New Roman" w:hAnsi="Times New Roman"/>
                <w:b w:val="0"/>
                <w:sz w:val="20"/>
              </w:rPr>
              <w:t>High ice price</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7</w:t>
            </w:r>
          </w:p>
        </w:tc>
        <w:tc>
          <w:tcPr>
            <w:tcW w:type="dxa" w:w="1003"/>
          </w:tcPr>
          <w:p>
            <w:pPr>
              <w:spacing w:line="240" w:lineRule="auto" w:before="20" w:after="20"/>
              <w:jc w:val="right"/>
            </w:pPr>
            <w:r/>
            <w:r>
              <w:rPr>
                <w:rFonts w:ascii="Times New Roman" w:hAnsi="Times New Roman"/>
                <w:b w:val="0"/>
                <w:sz w:val="20"/>
              </w:rPr>
              <w:t>23.3</w:t>
            </w:r>
          </w:p>
        </w:tc>
        <w:tc>
          <w:tcPr>
            <w:tcW w:type="dxa" w:w="1003"/>
          </w:tcPr>
          <w:p>
            <w:pPr>
              <w:spacing w:line="240" w:lineRule="auto" w:before="20" w:after="20"/>
              <w:jc w:val="right"/>
            </w:pPr>
            <w:r/>
            <w:r>
              <w:rPr>
                <w:rFonts w:ascii="Times New Roman" w:hAnsi="Times New Roman"/>
                <w:b w:val="0"/>
                <w:sz w:val="20"/>
              </w:rPr>
              <w:t>25</w:t>
            </w:r>
          </w:p>
        </w:tc>
        <w:tc>
          <w:tcPr>
            <w:tcW w:type="dxa" w:w="1003"/>
          </w:tcPr>
          <w:p>
            <w:pPr>
              <w:spacing w:line="240" w:lineRule="auto" w:before="20" w:after="20"/>
              <w:jc w:val="right"/>
            </w:pPr>
            <w:r/>
            <w:r>
              <w:rPr>
                <w:rFonts w:ascii="Times New Roman" w:hAnsi="Times New Roman"/>
                <w:b w:val="0"/>
                <w:sz w:val="20"/>
              </w:rPr>
              <w:t>27.8</w:t>
            </w:r>
          </w:p>
        </w:tc>
      </w:tr>
      <w:tr>
        <w:tc>
          <w:tcPr>
            <w:tcW w:type="dxa" w:w="1003"/>
          </w:tcPr>
          <w:p>
            <w:pPr>
              <w:spacing w:line="240" w:lineRule="auto" w:before="20" w:after="20"/>
              <w:jc w:val="left"/>
            </w:pPr>
            <w:r/>
            <w:r>
              <w:rPr>
                <w:rFonts w:ascii="Times New Roman" w:hAnsi="Times New Roman"/>
                <w:b w:val="0"/>
                <w:sz w:val="20"/>
              </w:rPr>
              <w:t>Waterlogging during monsoon</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33.3</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25</w:t>
            </w:r>
          </w:p>
        </w:tc>
        <w:tc>
          <w:tcPr>
            <w:tcW w:type="dxa" w:w="1003"/>
          </w:tcPr>
          <w:p>
            <w:pPr>
              <w:spacing w:line="240" w:lineRule="auto" w:before="20" w:after="20"/>
              <w:jc w:val="right"/>
            </w:pPr>
            <w:r/>
            <w:r>
              <w:rPr>
                <w:rFonts w:ascii="Times New Roman" w:hAnsi="Times New Roman"/>
                <w:b w:val="0"/>
                <w:sz w:val="20"/>
              </w:rPr>
              <w:t>27.8</w:t>
            </w:r>
          </w:p>
        </w:tc>
      </w:tr>
      <w:tr>
        <w:tc>
          <w:tcPr>
            <w:tcW w:type="dxa" w:w="1003"/>
          </w:tcPr>
          <w:p>
            <w:pPr>
              <w:spacing w:line="240" w:lineRule="auto" w:before="20" w:after="20"/>
              <w:jc w:val="left"/>
            </w:pPr>
            <w:r/>
            <w:r>
              <w:rPr>
                <w:rFonts w:ascii="Times New Roman" w:hAnsi="Times New Roman"/>
                <w:b w:val="0"/>
                <w:sz w:val="20"/>
              </w:rPr>
              <w:t>Transport cost increase</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11</w:t>
            </w:r>
          </w:p>
        </w:tc>
        <w:tc>
          <w:tcPr>
            <w:tcW w:type="dxa" w:w="1003"/>
          </w:tcPr>
          <w:p>
            <w:pPr>
              <w:spacing w:line="240" w:lineRule="auto" w:before="20" w:after="20"/>
              <w:jc w:val="right"/>
            </w:pPr>
            <w:r/>
            <w:r>
              <w:rPr>
                <w:rFonts w:ascii="Times New Roman" w:hAnsi="Times New Roman"/>
                <w:b w:val="0"/>
                <w:sz w:val="20"/>
              </w:rPr>
              <w:t>36.7</w:t>
            </w:r>
          </w:p>
        </w:tc>
        <w:tc>
          <w:tcPr>
            <w:tcW w:type="dxa" w:w="1003"/>
          </w:tcPr>
          <w:p>
            <w:pPr>
              <w:spacing w:line="240" w:lineRule="auto" w:before="20" w:after="20"/>
              <w:jc w:val="right"/>
            </w:pPr>
            <w:r/>
            <w:r>
              <w:rPr>
                <w:rFonts w:ascii="Times New Roman" w:hAnsi="Times New Roman"/>
                <w:b w:val="0"/>
                <w:sz w:val="20"/>
              </w:rPr>
              <w:t>23</w:t>
            </w:r>
          </w:p>
        </w:tc>
        <w:tc>
          <w:tcPr>
            <w:tcW w:type="dxa" w:w="1003"/>
          </w:tcPr>
          <w:p>
            <w:pPr>
              <w:spacing w:line="240" w:lineRule="auto" w:before="20" w:after="20"/>
              <w:jc w:val="right"/>
            </w:pPr>
            <w:r/>
            <w:r>
              <w:rPr>
                <w:rFonts w:ascii="Times New Roman" w:hAnsi="Times New Roman"/>
                <w:b w:val="0"/>
                <w:sz w:val="20"/>
              </w:rPr>
              <w:t>25.6</w:t>
            </w:r>
          </w:p>
        </w:tc>
      </w:tr>
      <w:tr>
        <w:tc>
          <w:tcPr>
            <w:tcW w:type="dxa" w:w="1003"/>
          </w:tcPr>
          <w:p>
            <w:pPr>
              <w:spacing w:line="240" w:lineRule="auto" w:before="20" w:after="20"/>
              <w:jc w:val="left"/>
            </w:pPr>
            <w:r/>
            <w:r>
              <w:rPr>
                <w:rFonts w:ascii="Times New Roman" w:hAnsi="Times New Roman"/>
                <w:b w:val="0"/>
                <w:sz w:val="20"/>
              </w:rPr>
              <w:t>Delayed credit recovery</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21</w:t>
            </w:r>
          </w:p>
        </w:tc>
        <w:tc>
          <w:tcPr>
            <w:tcW w:type="dxa" w:w="1003"/>
          </w:tcPr>
          <w:p>
            <w:pPr>
              <w:spacing w:line="240" w:lineRule="auto" w:before="20" w:after="20"/>
              <w:jc w:val="right"/>
            </w:pPr>
            <w:r/>
            <w:r>
              <w:rPr>
                <w:rFonts w:ascii="Times New Roman" w:hAnsi="Times New Roman"/>
                <w:b w:val="0"/>
                <w:sz w:val="20"/>
              </w:rPr>
              <w:t>23.3</w:t>
            </w:r>
          </w:p>
        </w:tc>
      </w:tr>
      <w:tr>
        <w:tc>
          <w:tcPr>
            <w:tcW w:type="dxa" w:w="1003"/>
          </w:tcPr>
          <w:p>
            <w:pPr>
              <w:spacing w:line="240" w:lineRule="auto" w:before="20" w:after="20"/>
              <w:jc w:val="left"/>
            </w:pPr>
            <w:r/>
            <w:r>
              <w:rPr>
                <w:rFonts w:ascii="Times New Roman" w:hAnsi="Times New Roman"/>
                <w:b w:val="0"/>
                <w:sz w:val="20"/>
              </w:rPr>
              <w:t>Rising toll and lease burden</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Supply syndicate control</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6</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Unsold fish spoilage loss</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3</w:t>
            </w:r>
          </w:p>
        </w:tc>
        <w:tc>
          <w:tcPr>
            <w:tcW w:type="dxa" w:w="1003"/>
          </w:tcPr>
          <w:p>
            <w:pPr>
              <w:spacing w:line="240" w:lineRule="auto" w:before="20" w:after="20"/>
              <w:jc w:val="right"/>
            </w:pPr>
            <w:r/>
            <w:r>
              <w:rPr>
                <w:rFonts w:ascii="Times New Roman" w:hAnsi="Times New Roman"/>
                <w:b w:val="0"/>
                <w:sz w:val="20"/>
              </w:rPr>
              <w:t>10</w:t>
            </w:r>
          </w:p>
        </w:tc>
        <w:tc>
          <w:tcPr>
            <w:tcW w:type="dxa" w:w="1003"/>
          </w:tcPr>
          <w:p>
            <w:pPr>
              <w:spacing w:line="240" w:lineRule="auto" w:before="20" w:after="20"/>
              <w:jc w:val="right"/>
            </w:pPr>
            <w:r/>
            <w:r>
              <w:rPr>
                <w:rFonts w:ascii="Times New Roman" w:hAnsi="Times New Roman"/>
                <w:b w:val="0"/>
                <w:sz w:val="20"/>
              </w:rPr>
              <w:t>8</w:t>
            </w:r>
          </w:p>
        </w:tc>
        <w:tc>
          <w:tcPr>
            <w:tcW w:type="dxa" w:w="1003"/>
          </w:tcPr>
          <w:p>
            <w:pPr>
              <w:spacing w:line="240" w:lineRule="auto" w:before="20" w:after="20"/>
              <w:jc w:val="right"/>
            </w:pPr>
            <w:r/>
            <w:r>
              <w:rPr>
                <w:rFonts w:ascii="Times New Roman" w:hAnsi="Times New Roman"/>
                <w:b w:val="0"/>
                <w:sz w:val="20"/>
              </w:rPr>
              <w:t>26.7</w:t>
            </w:r>
          </w:p>
        </w:tc>
        <w:tc>
          <w:tcPr>
            <w:tcW w:type="dxa" w:w="1003"/>
          </w:tcPr>
          <w:p>
            <w:pPr>
              <w:spacing w:line="240" w:lineRule="auto" w:before="20" w:after="20"/>
              <w:jc w:val="right"/>
            </w:pPr>
            <w:r/>
            <w:r>
              <w:rPr>
                <w:rFonts w:ascii="Times New Roman" w:hAnsi="Times New Roman"/>
                <w:b w:val="0"/>
                <w:sz w:val="20"/>
              </w:rPr>
              <w:t>20</w:t>
            </w:r>
          </w:p>
        </w:tc>
        <w:tc>
          <w:tcPr>
            <w:tcW w:type="dxa" w:w="1003"/>
          </w:tcPr>
          <w:p>
            <w:pPr>
              <w:spacing w:line="240" w:lineRule="auto" w:before="20" w:after="20"/>
              <w:jc w:val="right"/>
            </w:pPr>
            <w:r/>
            <w:r>
              <w:rPr>
                <w:rFonts w:ascii="Times New Roman" w:hAnsi="Times New Roman"/>
                <w:b w:val="0"/>
                <w:sz w:val="20"/>
              </w:rPr>
              <w:t>22.2</w:t>
            </w:r>
          </w:p>
        </w:tc>
      </w:tr>
      <w:tr>
        <w:tc>
          <w:tcPr>
            <w:tcW w:type="dxa" w:w="1003"/>
          </w:tcPr>
          <w:p>
            <w:pPr>
              <w:spacing w:line="240" w:lineRule="auto" w:before="20" w:after="20"/>
              <w:jc w:val="left"/>
            </w:pPr>
            <w:r/>
            <w:r>
              <w:rPr>
                <w:rFonts w:ascii="Times New Roman" w:hAnsi="Times New Roman"/>
                <w:b w:val="0"/>
                <w:sz w:val="20"/>
              </w:rPr>
              <w:t>Competition from frozen imported fish</w:t>
            </w:r>
          </w:p>
        </w:tc>
        <w:tc>
          <w:tcPr>
            <w:tcW w:type="dxa" w:w="1003"/>
          </w:tcPr>
          <w:p>
            <w:pPr>
              <w:spacing w:line="240" w:lineRule="auto" w:before="20" w:after="20"/>
              <w:jc w:val="right"/>
            </w:pPr>
            <w:r/>
            <w:r>
              <w:rPr>
                <w:rFonts w:ascii="Times New Roman" w:hAnsi="Times New Roman"/>
                <w:b w:val="0"/>
                <w:sz w:val="20"/>
              </w:rPr>
              <w:t>11</w:t>
            </w:r>
          </w:p>
        </w:tc>
        <w:tc>
          <w:tcPr>
            <w:tcW w:type="dxa" w:w="1003"/>
          </w:tcPr>
          <w:p>
            <w:pPr>
              <w:spacing w:line="240" w:lineRule="auto" w:before="20" w:after="20"/>
              <w:jc w:val="right"/>
            </w:pPr>
            <w:r/>
            <w:r>
              <w:rPr>
                <w:rFonts w:ascii="Times New Roman" w:hAnsi="Times New Roman"/>
                <w:b w:val="0"/>
                <w:sz w:val="20"/>
              </w:rPr>
              <w:t>36.7</w:t>
            </w:r>
          </w:p>
        </w:tc>
        <w:tc>
          <w:tcPr>
            <w:tcW w:type="dxa" w:w="1003"/>
          </w:tcPr>
          <w:p>
            <w:pPr>
              <w:spacing w:line="240" w:lineRule="auto" w:before="20" w:after="20"/>
              <w:jc w:val="right"/>
            </w:pPr>
            <w:r/>
            <w:r>
              <w:rPr>
                <w:rFonts w:ascii="Times New Roman" w:hAnsi="Times New Roman"/>
                <w:b w:val="0"/>
                <w:sz w:val="20"/>
              </w:rPr>
              <w:t>2</w:t>
            </w:r>
          </w:p>
        </w:tc>
        <w:tc>
          <w:tcPr>
            <w:tcW w:type="dxa" w:w="1003"/>
          </w:tcPr>
          <w:p>
            <w:pPr>
              <w:spacing w:line="240" w:lineRule="auto" w:before="20" w:after="20"/>
              <w:jc w:val="right"/>
            </w:pPr>
            <w:r/>
            <w:r>
              <w:rPr>
                <w:rFonts w:ascii="Times New Roman" w:hAnsi="Times New Roman"/>
                <w:b w:val="0"/>
                <w:sz w:val="20"/>
              </w:rPr>
              <w:t>6.7</w:t>
            </w:r>
          </w:p>
        </w:tc>
        <w:tc>
          <w:tcPr>
            <w:tcW w:type="dxa" w:w="1003"/>
          </w:tcPr>
          <w:p>
            <w:pPr>
              <w:spacing w:line="240" w:lineRule="auto" w:before="20" w:after="20"/>
              <w:jc w:val="right"/>
            </w:pPr>
            <w:r/>
            <w:r>
              <w:rPr>
                <w:rFonts w:ascii="Times New Roman" w:hAnsi="Times New Roman"/>
                <w:b w:val="0"/>
                <w:sz w:val="20"/>
              </w:rPr>
              <w:t>5</w:t>
            </w:r>
          </w:p>
        </w:tc>
        <w:tc>
          <w:tcPr>
            <w:tcW w:type="dxa" w:w="1003"/>
          </w:tcPr>
          <w:p>
            <w:pPr>
              <w:spacing w:line="240" w:lineRule="auto" w:before="20" w:after="20"/>
              <w:jc w:val="right"/>
            </w:pPr>
            <w:r/>
            <w:r>
              <w:rPr>
                <w:rFonts w:ascii="Times New Roman" w:hAnsi="Times New Roman"/>
                <w:b w:val="0"/>
                <w:sz w:val="20"/>
              </w:rPr>
              <w:t>16.7</w:t>
            </w:r>
          </w:p>
        </w:tc>
        <w:tc>
          <w:tcPr>
            <w:tcW w:type="dxa" w:w="1003"/>
          </w:tcPr>
          <w:p>
            <w:pPr>
              <w:spacing w:line="240" w:lineRule="auto" w:before="20" w:after="20"/>
              <w:jc w:val="right"/>
            </w:pPr>
            <w:r/>
            <w:r>
              <w:rPr>
                <w:rFonts w:ascii="Times New Roman" w:hAnsi="Times New Roman"/>
                <w:b w:val="0"/>
                <w:sz w:val="20"/>
              </w:rPr>
              <w:t>18</w:t>
            </w:r>
          </w:p>
        </w:tc>
        <w:tc>
          <w:tcPr>
            <w:tcW w:type="dxa" w:w="1003"/>
          </w:tcPr>
          <w:p>
            <w:pPr>
              <w:spacing w:line="240" w:lineRule="auto" w:before="20" w:after="20"/>
              <w:jc w:val="right"/>
            </w:pPr>
            <w:r/>
            <w:r>
              <w:rPr>
                <w:rFonts w:ascii="Times New Roman" w:hAnsi="Times New Roman"/>
                <w:b w:val="0"/>
                <w:sz w:val="20"/>
              </w:rPr>
              <w:t>20</w:t>
            </w:r>
          </w:p>
        </w:tc>
      </w:tr>
      <w:tr>
        <w:tc>
          <w:tcPr>
            <w:tcW w:type="dxa" w:w="1003"/>
          </w:tcPr>
          <w:p>
            <w:pPr>
              <w:spacing w:line="240" w:lineRule="auto" w:before="20" w:after="20"/>
              <w:jc w:val="left"/>
            </w:pPr>
            <w:r/>
            <w:r>
              <w:rPr>
                <w:rFonts w:ascii="Times New Roman" w:hAnsi="Times New Roman"/>
                <w:b w:val="0"/>
                <w:sz w:val="20"/>
              </w:rPr>
              <w:t>Irregular electricity and load-shedding</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9</w:t>
            </w:r>
          </w:p>
        </w:tc>
        <w:tc>
          <w:tcPr>
            <w:tcW w:type="dxa" w:w="1003"/>
          </w:tcPr>
          <w:p>
            <w:pPr>
              <w:spacing w:line="240" w:lineRule="auto" w:before="20" w:after="20"/>
              <w:jc w:val="right"/>
            </w:pPr>
            <w:r/>
            <w:r>
              <w:rPr>
                <w:rFonts w:ascii="Times New Roman" w:hAnsi="Times New Roman"/>
                <w:b w:val="0"/>
                <w:sz w:val="20"/>
              </w:rPr>
              <w:t>30</w:t>
            </w:r>
          </w:p>
        </w:tc>
        <w:tc>
          <w:tcPr>
            <w:tcW w:type="dxa" w:w="1003"/>
          </w:tcPr>
          <w:p>
            <w:pPr>
              <w:spacing w:line="240" w:lineRule="auto" w:before="20" w:after="20"/>
              <w:jc w:val="right"/>
            </w:pPr>
            <w:r/>
            <w:r>
              <w:rPr>
                <w:rFonts w:ascii="Times New Roman" w:hAnsi="Times New Roman"/>
                <w:b w:val="0"/>
                <w:sz w:val="20"/>
              </w:rPr>
              <w:t>4</w:t>
            </w:r>
          </w:p>
        </w:tc>
        <w:tc>
          <w:tcPr>
            <w:tcW w:type="dxa" w:w="1003"/>
          </w:tcPr>
          <w:p>
            <w:pPr>
              <w:spacing w:line="240" w:lineRule="auto" w:before="20" w:after="20"/>
              <w:jc w:val="right"/>
            </w:pPr>
            <w:r/>
            <w:r>
              <w:rPr>
                <w:rFonts w:ascii="Times New Roman" w:hAnsi="Times New Roman"/>
                <w:b w:val="0"/>
                <w:sz w:val="20"/>
              </w:rPr>
              <w:t>13.3</w:t>
            </w:r>
          </w:p>
        </w:tc>
        <w:tc>
          <w:tcPr>
            <w:tcW w:type="dxa" w:w="1003"/>
          </w:tcPr>
          <w:p>
            <w:pPr>
              <w:spacing w:line="240" w:lineRule="auto" w:before="20" w:after="20"/>
              <w:jc w:val="right"/>
            </w:pPr>
            <w:r/>
            <w:r>
              <w:rPr>
                <w:rFonts w:ascii="Times New Roman" w:hAnsi="Times New Roman"/>
                <w:b w:val="0"/>
                <w:sz w:val="20"/>
              </w:rPr>
              <w:t>17</w:t>
            </w:r>
          </w:p>
        </w:tc>
        <w:tc>
          <w:tcPr>
            <w:tcW w:type="dxa" w:w="1003"/>
          </w:tcPr>
          <w:p>
            <w:pPr>
              <w:spacing w:line="240" w:lineRule="auto" w:before="20" w:after="20"/>
              <w:jc w:val="right"/>
            </w:pPr>
            <w:r/>
            <w:r>
              <w:rPr>
                <w:rFonts w:ascii="Times New Roman" w:hAnsi="Times New Roman"/>
                <w:b w:val="0"/>
                <w:sz w:val="20"/>
              </w:rPr>
              <w:t>18.9</w:t>
            </w:r>
          </w:p>
        </w:tc>
      </w:tr>
    </w:tbl>
    <w:p>
      <w:pPr>
        <w:spacing w:line="264" w:lineRule="auto" w:before="40" w:after="120"/>
        <w:jc w:val="left"/>
      </w:pPr>
      <w:r>
        <w:rPr>
          <w:rFonts w:ascii="Times New Roman" w:hAnsi="Times New Roman"/>
          <w:b w:val="0"/>
          <w:i/>
          <w:sz w:val="18"/>
        </w:rPr>
        <w:t>Source: problems module of Forms A, B and R, n = 30 per stratum. Respondents could report more than one problem, so column totals exceed 30 and percentages are shares of respondents within each stratum.</w:t>
      </w:r>
    </w:p>
    <w:p>
      <w:pPr>
        <w:spacing w:line="317" w:lineRule="auto" w:before="0" w:after="200"/>
        <w:jc w:val="left"/>
      </w:pPr>
      <w:r>
        <w:rPr>
          <w:rFonts w:ascii="Times New Roman" w:hAnsi="Times New Roman"/>
          <w:b w:val="0"/>
          <w:i w:val="0"/>
          <w:sz w:val="24"/>
        </w:rPr>
        <w:t>Day-to-day price volatility is the most frequently reported problem at 32.2 per cent overall, and it is the only problem whose incidence rises monotonically as the chain approaches the consumer, from 23.3 per cent of aratdars to 40.0 per cent of retailers. That gradient is informative: the tier with the least ability to pass a cost shock onward is the tier that experiences price instability most acutely. Low landings in the lean season and the rising cost of ice and salt follow at 28.9 per cent each, then high ice price and waterlogging during monsoon at 27.8 per cent each.</w:t>
      </w:r>
    </w:p>
    <w:p>
      <w:pPr>
        <w:spacing w:line="317" w:lineRule="auto" w:before="0" w:after="200"/>
        <w:jc w:val="left"/>
      </w:pPr>
      <w:r>
        <w:rPr>
          <w:rFonts w:ascii="Times New Roman" w:hAnsi="Times New Roman"/>
          <w:b w:val="0"/>
          <w:i w:val="0"/>
          <w:sz w:val="24"/>
        </w:rPr>
        <w:t>Three problems discriminate sharply between strata and are more useful for diagnosis than the aggregate ranking. Competition from frozen imported fish is reported by 36.7 per cent of aratdars against 6.7 per cent of beparis and farias, making it the most strongly aratdar-specific concern in the list and a direct threat to the assembly function. Unsold fish spoilage loss is reported by 30.0 per cent of aratdars and 26.7 per cent of retailers against only 10.0 per cent of beparis and farias, which is consistent with the spoilage figures in Table 4.2 and with the fact that the mobile tier turns stock over fastest. Irregular electricity and load-shedding is reported by 30.0 per cent of beparis and farias against 13.3 per cent of both other strata, and transport cost increase rises to 36.7 per cent among retailers. Each of these maps onto a specific position in the chain rather than onto the chain as a whole.</w:t>
      </w:r>
    </w:p>
    <w:p>
      <w:pPr>
        <w:spacing w:line="317" w:lineRule="auto" w:before="0" w:after="200"/>
        <w:jc w:val="left"/>
      </w:pPr>
      <w:r>
        <w:rPr>
          <w:rFonts w:ascii="Times New Roman" w:hAnsi="Times New Roman"/>
          <w:b w:val="0"/>
          <w:i w:val="0"/>
          <w:sz w:val="24"/>
        </w:rPr>
        <w:t>The recurrence of ice and cold-chain items across the top of the ranking, three of the six most frequently reported problems, matches the cost structure identified in Section 4.9 and the finding of Dipty et al. (2026) that icing and transportation together account for 61 per cent of marketing cost in coastal Bangladesh. It also matches Nadia et al.'s (2022) ranking of drainage and market-location constraints in Rajbari, and the recommendation that follows there, modern markets equipped with cold storage and ice factories, applies with equal force here.</w:t>
      </w:r>
    </w:p>
    <w:p>
      <w:pPr>
        <w:pStyle w:val="Heading2"/>
      </w:pPr>
      <w:r>
        <w:t>4.6 Market infrastructure (Objective 1)</w:t>
      </w:r>
    </w:p>
    <w:p>
      <w:pPr>
        <w:keepNext/>
        <w:spacing w:line="240" w:lineRule="auto" w:before="200" w:after="60"/>
        <w:jc w:val="center"/>
      </w:pPr>
      <w:r>
        <w:rPr>
          <w:rFonts w:ascii="Times New Roman" w:hAnsi="Times New Roman"/>
          <w:b/>
          <w:i w:val="0"/>
          <w:sz w:val="20"/>
        </w:rPr>
        <w:t>Table 4.5: Market infrastructure observed at the six study markets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695"/>
        <w:gridCol w:w="695"/>
        <w:gridCol w:w="695"/>
        <w:gridCol w:w="695"/>
        <w:gridCol w:w="695"/>
        <w:gridCol w:w="695"/>
        <w:gridCol w:w="695"/>
        <w:gridCol w:w="695"/>
        <w:gridCol w:w="695"/>
        <w:gridCol w:w="695"/>
        <w:gridCol w:w="695"/>
        <w:gridCol w:w="695"/>
        <w:gridCol w:w="695"/>
      </w:tblGrid>
      <w:tr>
        <w:tc>
          <w:tcPr>
            <w:tcW w:type="dxa" w:w="792"/>
          </w:tcPr>
          <w:p>
            <w:pPr>
              <w:spacing w:line="240" w:lineRule="auto" w:before="20" w:after="20"/>
              <w:jc w:val="left"/>
            </w:pPr>
            <w:r/>
            <w:r>
              <w:rPr>
                <w:rFonts w:ascii="Times New Roman" w:hAnsi="Times New Roman"/>
                <w:b/>
                <w:sz w:val="20"/>
              </w:rPr>
              <w:t>Code</w:t>
            </w:r>
          </w:p>
        </w:tc>
        <w:tc>
          <w:tcPr>
            <w:tcW w:type="dxa" w:w="714"/>
          </w:tcPr>
          <w:p>
            <w:pPr>
              <w:spacing w:line="240" w:lineRule="auto" w:before="20" w:after="20"/>
              <w:jc w:val="left"/>
            </w:pPr>
            <w:r/>
            <w:r>
              <w:rPr>
                <w:rFonts w:ascii="Times New Roman" w:hAnsi="Times New Roman"/>
                <w:b/>
                <w:sz w:val="20"/>
              </w:rPr>
              <w:t>Market</w:t>
            </w:r>
          </w:p>
        </w:tc>
        <w:tc>
          <w:tcPr>
            <w:tcW w:type="dxa" w:w="714"/>
          </w:tcPr>
          <w:p>
            <w:pPr>
              <w:spacing w:line="240" w:lineRule="auto" w:before="20" w:after="20"/>
              <w:jc w:val="left"/>
            </w:pPr>
            <w:r/>
            <w:r>
              <w:rPr>
                <w:rFonts w:ascii="Times New Roman" w:hAnsi="Times New Roman"/>
                <w:b/>
                <w:sz w:val="20"/>
              </w:rPr>
              <w:t>Type</w:t>
            </w:r>
          </w:p>
        </w:tc>
        <w:tc>
          <w:tcPr>
            <w:tcW w:type="dxa" w:w="714"/>
          </w:tcPr>
          <w:p>
            <w:pPr>
              <w:spacing w:line="240" w:lineRule="auto" w:before="20" w:after="20"/>
              <w:jc w:val="left"/>
            </w:pPr>
            <w:r/>
            <w:r>
              <w:rPr>
                <w:rFonts w:ascii="Times New Roman" w:hAnsi="Times New Roman"/>
                <w:b/>
                <w:sz w:val="20"/>
              </w:rPr>
              <w:t>Trading hours</w:t>
            </w:r>
          </w:p>
        </w:tc>
        <w:tc>
          <w:tcPr>
            <w:tcW w:type="dxa" w:w="714"/>
          </w:tcPr>
          <w:p>
            <w:pPr>
              <w:spacing w:line="240" w:lineRule="auto" w:before="20" w:after="20"/>
              <w:jc w:val="right"/>
            </w:pPr>
            <w:r/>
            <w:r>
              <w:rPr>
                <w:rFonts w:ascii="Times New Roman" w:hAnsi="Times New Roman"/>
                <w:b/>
                <w:sz w:val="20"/>
              </w:rPr>
              <w:t>Stalls</w:t>
            </w:r>
          </w:p>
        </w:tc>
        <w:tc>
          <w:tcPr>
            <w:tcW w:type="dxa" w:w="714"/>
          </w:tcPr>
          <w:p>
            <w:pPr>
              <w:spacing w:line="240" w:lineRule="auto" w:before="20" w:after="20"/>
              <w:jc w:val="right"/>
            </w:pPr>
            <w:r/>
            <w:r>
              <w:rPr>
                <w:rFonts w:ascii="Times New Roman" w:hAnsi="Times New Roman"/>
                <w:b/>
                <w:sz w:val="20"/>
              </w:rPr>
              <w:t>Transport</w:t>
            </w:r>
          </w:p>
        </w:tc>
        <w:tc>
          <w:tcPr>
            <w:tcW w:type="dxa" w:w="714"/>
          </w:tcPr>
          <w:p>
            <w:pPr>
              <w:spacing w:line="240" w:lineRule="auto" w:before="20" w:after="20"/>
              <w:jc w:val="right"/>
            </w:pPr>
            <w:r/>
            <w:r>
              <w:rPr>
                <w:rFonts w:ascii="Times New Roman" w:hAnsi="Times New Roman"/>
                <w:b/>
                <w:sz w:val="20"/>
              </w:rPr>
              <w:t>Platform</w:t>
            </w:r>
          </w:p>
        </w:tc>
        <w:tc>
          <w:tcPr>
            <w:tcW w:type="dxa" w:w="714"/>
          </w:tcPr>
          <w:p>
            <w:pPr>
              <w:spacing w:line="240" w:lineRule="auto" w:before="20" w:after="20"/>
              <w:jc w:val="right"/>
            </w:pPr>
            <w:r/>
            <w:r>
              <w:rPr>
                <w:rFonts w:ascii="Times New Roman" w:hAnsi="Times New Roman"/>
                <w:b/>
                <w:sz w:val="20"/>
              </w:rPr>
              <w:t>Roofing</w:t>
            </w:r>
          </w:p>
        </w:tc>
        <w:tc>
          <w:tcPr>
            <w:tcW w:type="dxa" w:w="714"/>
          </w:tcPr>
          <w:p>
            <w:pPr>
              <w:spacing w:line="240" w:lineRule="auto" w:before="20" w:after="20"/>
              <w:jc w:val="right"/>
            </w:pPr>
            <w:r/>
            <w:r>
              <w:rPr>
                <w:rFonts w:ascii="Times New Roman" w:hAnsi="Times New Roman"/>
                <w:b/>
                <w:sz w:val="20"/>
              </w:rPr>
              <w:t>Drainage</w:t>
            </w:r>
          </w:p>
        </w:tc>
        <w:tc>
          <w:tcPr>
            <w:tcW w:type="dxa" w:w="714"/>
          </w:tcPr>
          <w:p>
            <w:pPr>
              <w:spacing w:line="240" w:lineRule="auto" w:before="20" w:after="20"/>
              <w:jc w:val="right"/>
            </w:pPr>
            <w:r/>
            <w:r>
              <w:rPr>
                <w:rFonts w:ascii="Times New Roman" w:hAnsi="Times New Roman"/>
                <w:b/>
                <w:sz w:val="20"/>
              </w:rPr>
              <w:t>Electricity</w:t>
            </w:r>
          </w:p>
        </w:tc>
        <w:tc>
          <w:tcPr>
            <w:tcW w:type="dxa" w:w="714"/>
          </w:tcPr>
          <w:p>
            <w:pPr>
              <w:spacing w:line="240" w:lineRule="auto" w:before="20" w:after="20"/>
              <w:jc w:val="right"/>
            </w:pPr>
            <w:r/>
            <w:r>
              <w:rPr>
                <w:rFonts w:ascii="Times New Roman" w:hAnsi="Times New Roman"/>
                <w:b/>
                <w:sz w:val="20"/>
              </w:rPr>
              <w:t>Ice</w:t>
            </w:r>
          </w:p>
        </w:tc>
        <w:tc>
          <w:tcPr>
            <w:tcW w:type="dxa" w:w="714"/>
          </w:tcPr>
          <w:p>
            <w:pPr>
              <w:spacing w:line="240" w:lineRule="auto" w:before="20" w:after="20"/>
              <w:jc w:val="right"/>
            </w:pPr>
            <w:r/>
            <w:r>
              <w:rPr>
                <w:rFonts w:ascii="Times New Roman" w:hAnsi="Times New Roman"/>
                <w:b/>
                <w:sz w:val="20"/>
              </w:rPr>
              <w:t>Sanitation</w:t>
            </w:r>
          </w:p>
        </w:tc>
        <w:tc>
          <w:tcPr>
            <w:tcW w:type="dxa" w:w="714"/>
          </w:tcPr>
          <w:p>
            <w:pPr>
              <w:spacing w:line="240" w:lineRule="auto" w:before="20" w:after="20"/>
              <w:jc w:val="right"/>
            </w:pPr>
            <w:r/>
            <w:r>
              <w:rPr>
                <w:rFonts w:ascii="Times New Roman" w:hAnsi="Times New Roman"/>
                <w:b/>
                <w:sz w:val="20"/>
              </w:rPr>
              <w:t>Water</w:t>
            </w:r>
          </w:p>
        </w:tc>
      </w:tr>
      <w:tr>
        <w:tc>
          <w:tcPr>
            <w:tcW w:type="dxa" w:w="792"/>
          </w:tcPr>
          <w:p>
            <w:pPr>
              <w:spacing w:line="240" w:lineRule="auto" w:before="20" w:after="20"/>
              <w:jc w:val="left"/>
            </w:pPr>
            <w:r/>
            <w:r>
              <w:rPr>
                <w:rFonts w:ascii="Times New Roman" w:hAnsi="Times New Roman"/>
                <w:b w:val="0"/>
                <w:sz w:val="20"/>
              </w:rPr>
              <w:t>M1</w:t>
            </w:r>
          </w:p>
        </w:tc>
        <w:tc>
          <w:tcPr>
            <w:tcW w:type="dxa" w:w="714"/>
          </w:tcPr>
          <w:p>
            <w:pPr>
              <w:spacing w:line="240" w:lineRule="auto" w:before="20" w:after="20"/>
              <w:jc w:val="left"/>
            </w:pPr>
            <w:r/>
            <w:r>
              <w:rPr>
                <w:rFonts w:ascii="Times New Roman" w:hAnsi="Times New Roman"/>
                <w:b w:val="0"/>
                <w:sz w:val="20"/>
              </w:rPr>
              <w:t>Fishery Ghat</w:t>
            </w:r>
          </w:p>
        </w:tc>
        <w:tc>
          <w:tcPr>
            <w:tcW w:type="dxa" w:w="714"/>
          </w:tcPr>
          <w:p>
            <w:pPr>
              <w:spacing w:line="240" w:lineRule="auto" w:before="20" w:after="20"/>
              <w:jc w:val="left"/>
            </w:pPr>
            <w:r/>
            <w:r>
              <w:rPr>
                <w:rFonts w:ascii="Times New Roman" w:hAnsi="Times New Roman"/>
                <w:b w:val="0"/>
                <w:sz w:val="20"/>
              </w:rPr>
              <w:t>Mixed</w:t>
            </w:r>
          </w:p>
        </w:tc>
        <w:tc>
          <w:tcPr>
            <w:tcW w:type="dxa" w:w="714"/>
          </w:tcPr>
          <w:p>
            <w:pPr>
              <w:spacing w:line="240" w:lineRule="auto" w:before="20" w:after="20"/>
              <w:jc w:val="left"/>
            </w:pPr>
            <w:r/>
            <w:r>
              <w:rPr>
                <w:rFonts w:ascii="Times New Roman" w:hAnsi="Times New Roman"/>
                <w:b w:val="0"/>
                <w:sz w:val="20"/>
              </w:rPr>
              <w:t>03:30-13:00</w:t>
            </w:r>
          </w:p>
        </w:tc>
        <w:tc>
          <w:tcPr>
            <w:tcW w:type="dxa" w:w="714"/>
          </w:tcPr>
          <w:p>
            <w:pPr>
              <w:spacing w:line="240" w:lineRule="auto" w:before="20" w:after="20"/>
              <w:jc w:val="right"/>
            </w:pPr>
            <w:r/>
            <w:r>
              <w:rPr>
                <w:rFonts w:ascii="Times New Roman" w:hAnsi="Times New Roman"/>
                <w:b w:val="0"/>
                <w:sz w:val="20"/>
              </w:rPr>
              <w:t>210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Irregular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r>
      <w:tr>
        <w:tc>
          <w:tcPr>
            <w:tcW w:type="dxa" w:w="792"/>
          </w:tcPr>
          <w:p>
            <w:pPr>
              <w:spacing w:line="240" w:lineRule="auto" w:before="20" w:after="20"/>
              <w:jc w:val="left"/>
            </w:pPr>
            <w:r/>
            <w:r>
              <w:rPr>
                <w:rFonts w:ascii="Times New Roman" w:hAnsi="Times New Roman"/>
                <w:b w:val="0"/>
                <w:sz w:val="20"/>
              </w:rPr>
              <w:t>M2</w:t>
            </w:r>
          </w:p>
        </w:tc>
        <w:tc>
          <w:tcPr>
            <w:tcW w:type="dxa" w:w="714"/>
          </w:tcPr>
          <w:p>
            <w:pPr>
              <w:spacing w:line="240" w:lineRule="auto" w:before="20" w:after="20"/>
              <w:jc w:val="left"/>
            </w:pPr>
            <w:r/>
            <w:r>
              <w:rPr>
                <w:rFonts w:ascii="Times New Roman" w:hAnsi="Times New Roman"/>
                <w:b w:val="0"/>
                <w:sz w:val="20"/>
              </w:rPr>
              <w:t>Chawkbazar</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06:00-20:00</w:t>
            </w:r>
          </w:p>
        </w:tc>
        <w:tc>
          <w:tcPr>
            <w:tcW w:type="dxa" w:w="714"/>
          </w:tcPr>
          <w:p>
            <w:pPr>
              <w:spacing w:line="240" w:lineRule="auto" w:before="20" w:after="20"/>
              <w:jc w:val="right"/>
            </w:pPr>
            <w:r/>
            <w:r>
              <w:rPr>
                <w:rFonts w:ascii="Times New Roman" w:hAnsi="Times New Roman"/>
                <w:b w:val="0"/>
                <w:sz w:val="20"/>
              </w:rPr>
              <w:t>160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M3</w:t>
            </w:r>
          </w:p>
        </w:tc>
        <w:tc>
          <w:tcPr>
            <w:tcW w:type="dxa" w:w="714"/>
          </w:tcPr>
          <w:p>
            <w:pPr>
              <w:spacing w:line="240" w:lineRule="auto" w:before="20" w:after="20"/>
              <w:jc w:val="left"/>
            </w:pPr>
            <w:r/>
            <w:r>
              <w:rPr>
                <w:rFonts w:ascii="Times New Roman" w:hAnsi="Times New Roman"/>
                <w:b w:val="0"/>
                <w:sz w:val="20"/>
              </w:rPr>
              <w:t>Kazir Dewri</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06:30-19:30</w:t>
            </w:r>
          </w:p>
        </w:tc>
        <w:tc>
          <w:tcPr>
            <w:tcW w:type="dxa" w:w="714"/>
          </w:tcPr>
          <w:p>
            <w:pPr>
              <w:spacing w:line="240" w:lineRule="auto" w:before="20" w:after="20"/>
              <w:jc w:val="right"/>
            </w:pPr>
            <w:r/>
            <w:r>
              <w:rPr>
                <w:rFonts w:ascii="Times New Roman" w:hAnsi="Times New Roman"/>
                <w:b w:val="0"/>
                <w:sz w:val="20"/>
              </w:rPr>
              <w:t>85</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M4</w:t>
            </w:r>
          </w:p>
        </w:tc>
        <w:tc>
          <w:tcPr>
            <w:tcW w:type="dxa" w:w="714"/>
          </w:tcPr>
          <w:p>
            <w:pPr>
              <w:spacing w:line="240" w:lineRule="auto" w:before="20" w:after="20"/>
              <w:jc w:val="left"/>
            </w:pPr>
            <w:r/>
            <w:r>
              <w:rPr>
                <w:rFonts w:ascii="Times New Roman" w:hAnsi="Times New Roman"/>
                <w:b w:val="0"/>
                <w:sz w:val="20"/>
              </w:rPr>
              <w:t>Karnaphuli Complex</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06:00-20:00</w:t>
            </w:r>
          </w:p>
        </w:tc>
        <w:tc>
          <w:tcPr>
            <w:tcW w:type="dxa" w:w="714"/>
          </w:tcPr>
          <w:p>
            <w:pPr>
              <w:spacing w:line="240" w:lineRule="auto" w:before="20" w:after="20"/>
              <w:jc w:val="right"/>
            </w:pPr>
            <w:r/>
            <w:r>
              <w:rPr>
                <w:rFonts w:ascii="Times New Roman" w:hAnsi="Times New Roman"/>
                <w:b w:val="0"/>
                <w:sz w:val="20"/>
              </w:rPr>
              <w:t>120</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M5</w:t>
            </w:r>
          </w:p>
        </w:tc>
        <w:tc>
          <w:tcPr>
            <w:tcW w:type="dxa" w:w="714"/>
          </w:tcPr>
          <w:p>
            <w:pPr>
              <w:spacing w:line="240" w:lineRule="auto" w:before="20" w:after="20"/>
              <w:jc w:val="left"/>
            </w:pPr>
            <w:r/>
            <w:r>
              <w:rPr>
                <w:rFonts w:ascii="Times New Roman" w:hAnsi="Times New Roman"/>
                <w:b w:val="0"/>
                <w:sz w:val="20"/>
              </w:rPr>
              <w:t>Bahaddarhat</w:t>
            </w:r>
          </w:p>
        </w:tc>
        <w:tc>
          <w:tcPr>
            <w:tcW w:type="dxa" w:w="714"/>
          </w:tcPr>
          <w:p>
            <w:pPr>
              <w:spacing w:line="240" w:lineRule="auto" w:before="20" w:after="20"/>
              <w:jc w:val="left"/>
            </w:pPr>
            <w:r/>
            <w:r>
              <w:rPr>
                <w:rFonts w:ascii="Times New Roman" w:hAnsi="Times New Roman"/>
                <w:b w:val="0"/>
                <w:sz w:val="20"/>
              </w:rPr>
              <w:t>Retail</w:t>
            </w:r>
          </w:p>
        </w:tc>
        <w:tc>
          <w:tcPr>
            <w:tcW w:type="dxa" w:w="714"/>
          </w:tcPr>
          <w:p>
            <w:pPr>
              <w:spacing w:line="240" w:lineRule="auto" w:before="20" w:after="20"/>
              <w:jc w:val="left"/>
            </w:pPr>
            <w:r/>
            <w:r>
              <w:rPr>
                <w:rFonts w:ascii="Times New Roman" w:hAnsi="Times New Roman"/>
                <w:b w:val="0"/>
                <w:sz w:val="20"/>
              </w:rPr>
              <w:t>06:30-20:00</w:t>
            </w:r>
          </w:p>
        </w:tc>
        <w:tc>
          <w:tcPr>
            <w:tcW w:type="dxa" w:w="714"/>
          </w:tcPr>
          <w:p>
            <w:pPr>
              <w:spacing w:line="240" w:lineRule="auto" w:before="20" w:after="20"/>
              <w:jc w:val="right"/>
            </w:pPr>
            <w:r/>
            <w:r>
              <w:rPr>
                <w:rFonts w:ascii="Times New Roman" w:hAnsi="Times New Roman"/>
                <w:b w:val="0"/>
                <w:sz w:val="20"/>
              </w:rPr>
              <w:t>110</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Good</w:t>
            </w:r>
          </w:p>
        </w:tc>
        <w:tc>
          <w:tcPr>
            <w:tcW w:type="dxa" w:w="714"/>
          </w:tcPr>
          <w:p>
            <w:pPr>
              <w:spacing w:line="240" w:lineRule="auto" w:before="20" w:after="20"/>
              <w:jc w:val="right"/>
            </w:pPr>
            <w:r/>
            <w:r>
              <w:rPr>
                <w:rFonts w:ascii="Times New Roman" w:hAnsi="Times New Roman"/>
                <w:b w:val="0"/>
                <w:sz w:val="20"/>
              </w:rPr>
              <w:t>Complete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Regular</w:t>
            </w:r>
          </w:p>
        </w:tc>
      </w:tr>
      <w:tr>
        <w:tc>
          <w:tcPr>
            <w:tcW w:type="dxa" w:w="792"/>
          </w:tcPr>
          <w:p>
            <w:pPr>
              <w:spacing w:line="240" w:lineRule="auto" w:before="20" w:after="20"/>
              <w:jc w:val="left"/>
            </w:pPr>
            <w:r/>
            <w:r>
              <w:rPr>
                <w:rFonts w:ascii="Times New Roman" w:hAnsi="Times New Roman"/>
                <w:b w:val="0"/>
                <w:sz w:val="20"/>
              </w:rPr>
              <w:t>M6</w:t>
            </w:r>
          </w:p>
        </w:tc>
        <w:tc>
          <w:tcPr>
            <w:tcW w:type="dxa" w:w="714"/>
          </w:tcPr>
          <w:p>
            <w:pPr>
              <w:spacing w:line="240" w:lineRule="auto" w:before="20" w:after="20"/>
              <w:jc w:val="left"/>
            </w:pPr>
            <w:r/>
            <w:r>
              <w:rPr>
                <w:rFonts w:ascii="Times New Roman" w:hAnsi="Times New Roman"/>
                <w:b w:val="0"/>
                <w:sz w:val="20"/>
              </w:rPr>
              <w:t>Patenga</w:t>
            </w:r>
          </w:p>
        </w:tc>
        <w:tc>
          <w:tcPr>
            <w:tcW w:type="dxa" w:w="714"/>
          </w:tcPr>
          <w:p>
            <w:pPr>
              <w:spacing w:line="240" w:lineRule="auto" w:before="20" w:after="20"/>
              <w:jc w:val="left"/>
            </w:pPr>
            <w:r/>
            <w:r>
              <w:rPr>
                <w:rFonts w:ascii="Times New Roman" w:hAnsi="Times New Roman"/>
                <w:b w:val="0"/>
                <w:sz w:val="20"/>
              </w:rPr>
              <w:t>Mixed</w:t>
            </w:r>
          </w:p>
        </w:tc>
        <w:tc>
          <w:tcPr>
            <w:tcW w:type="dxa" w:w="714"/>
          </w:tcPr>
          <w:p>
            <w:pPr>
              <w:spacing w:line="240" w:lineRule="auto" w:before="20" w:after="20"/>
              <w:jc w:val="left"/>
            </w:pPr>
            <w:r/>
            <w:r>
              <w:rPr>
                <w:rFonts w:ascii="Times New Roman" w:hAnsi="Times New Roman"/>
                <w:b w:val="0"/>
                <w:sz w:val="20"/>
              </w:rPr>
              <w:t>04:00-12:30</w:t>
            </w:r>
          </w:p>
        </w:tc>
        <w:tc>
          <w:tcPr>
            <w:tcW w:type="dxa" w:w="714"/>
          </w:tcPr>
          <w:p>
            <w:pPr>
              <w:spacing w:line="240" w:lineRule="auto" w:before="20" w:after="20"/>
              <w:jc w:val="right"/>
            </w:pPr>
            <w:r/>
            <w:r>
              <w:rPr>
                <w:rFonts w:ascii="Times New Roman" w:hAnsi="Times New Roman"/>
                <w:b w:val="0"/>
                <w:sz w:val="20"/>
              </w:rPr>
              <w:t>65</w:t>
            </w:r>
          </w:p>
        </w:tc>
        <w:tc>
          <w:tcPr>
            <w:tcW w:type="dxa" w:w="714"/>
          </w:tcPr>
          <w:p>
            <w:pPr>
              <w:spacing w:line="240" w:lineRule="auto" w:before="20" w:after="20"/>
              <w:jc w:val="right"/>
            </w:pPr>
            <w:r/>
            <w:r>
              <w:rPr>
                <w:rFonts w:ascii="Times New Roman" w:hAnsi="Times New Roman"/>
                <w:b w:val="0"/>
                <w:sz w:val="20"/>
              </w:rPr>
              <w:t>Medium</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Partial</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c>
          <w:tcPr>
            <w:tcW w:type="dxa" w:w="714"/>
          </w:tcPr>
          <w:p>
            <w:pPr>
              <w:spacing w:line="240" w:lineRule="auto" w:before="20" w:after="20"/>
              <w:jc w:val="right"/>
            </w:pPr>
            <w:r/>
            <w:r>
              <w:rPr>
                <w:rFonts w:ascii="Times New Roman" w:hAnsi="Times New Roman"/>
                <w:b w:val="0"/>
                <w:sz w:val="20"/>
              </w:rPr>
              <w:t>Available</w:t>
            </w:r>
          </w:p>
        </w:tc>
        <w:tc>
          <w:tcPr>
            <w:tcW w:type="dxa" w:w="714"/>
          </w:tcPr>
          <w:p>
            <w:pPr>
              <w:spacing w:line="240" w:lineRule="auto" w:before="20" w:after="20"/>
              <w:jc w:val="right"/>
            </w:pPr>
            <w:r/>
            <w:r>
              <w:rPr>
                <w:rFonts w:ascii="Times New Roman" w:hAnsi="Times New Roman"/>
                <w:b w:val="0"/>
                <w:sz w:val="20"/>
              </w:rPr>
              <w:t>Poor</w:t>
            </w:r>
          </w:p>
        </w:tc>
        <w:tc>
          <w:tcPr>
            <w:tcW w:type="dxa" w:w="714"/>
          </w:tcPr>
          <w:p>
            <w:pPr>
              <w:spacing w:line="240" w:lineRule="auto" w:before="20" w:after="20"/>
              <w:jc w:val="right"/>
            </w:pPr>
            <w:r/>
            <w:r>
              <w:rPr>
                <w:rFonts w:ascii="Times New Roman" w:hAnsi="Times New Roman"/>
                <w:b w:val="0"/>
                <w:sz w:val="20"/>
              </w:rPr>
              <w:t>Irregular</w:t>
            </w:r>
          </w:p>
        </w:tc>
      </w:tr>
    </w:tbl>
    <w:p>
      <w:pPr>
        <w:spacing w:line="264" w:lineRule="auto" w:before="40" w:after="120"/>
        <w:jc w:val="left"/>
      </w:pPr>
      <w:r>
        <w:rPr>
          <w:rFonts w:ascii="Times New Roman" w:hAnsi="Times New Roman"/>
          <w:b w:val="0"/>
          <w:i/>
          <w:sz w:val="18"/>
        </w:rPr>
        <w:t>Source: Form M direct observation, 3 to 7 March 2026. The full twelve-item checklist, including fee arrangement and GPS coordinates, is retained in the data workbook. Grades are the observer's assessment on the Form M scale.</w:t>
      </w:r>
    </w:p>
    <w:p>
      <w:pPr>
        <w:spacing w:line="317" w:lineRule="auto" w:before="0" w:after="200"/>
        <w:jc w:val="left"/>
      </w:pPr>
      <w:r>
        <w:rPr>
          <w:rFonts w:ascii="Times New Roman" w:hAnsi="Times New Roman"/>
          <w:b w:val="0"/>
          <w:i w:val="0"/>
          <w:sz w:val="24"/>
        </w:rPr>
        <w:t>Infrastructure quality varies systematically with market type and age. Karnaphuli Complex, the modern covered shed, is the only market graded Good on drainage, sanitation, water supply and platform condition simultaneously, and it is also the only one with complete roofing and regular electricity alongside Good sanitation. Chawkbazar, with 160 stalls and the longest trading day at 06:00 to 20:00, is graded Good on transport and platform but only Medium on drainage and sanitation. The two landing-linked markets are the weakest: Fishery Ghat has irregular electricity and water, poor sanitation and only partial roofing, and Patenga is graded Poor on platform, drainage, sanitation and water together, with irregular electricity and only 65 stalls.</w:t>
      </w:r>
    </w:p>
    <w:p>
      <w:pPr>
        <w:spacing w:line="317" w:lineRule="auto" w:before="0" w:after="200"/>
        <w:jc w:val="left"/>
      </w:pPr>
      <w:r>
        <w:rPr>
          <w:rFonts w:ascii="Times New Roman" w:hAnsi="Times New Roman"/>
          <w:b w:val="0"/>
          <w:i w:val="0"/>
          <w:sz w:val="24"/>
        </w:rPr>
        <w:t>This matters more than a facilities audit might suggest, because the two landing-linked markets are precisely where first sale occurs and where the producer's share is determined. Ice is available at all six markets, so the binding constraint is not the availability of ice but the absence of cold storage, which no market has, and the irregularity of electricity and water at the landing points, which is what makes ice degrade fastest exactly where it is needed first. The pattern is a spatial mismatch: the infrastructure is weakest at the two points in the chain where the fish is freshest, most perishable and most valuable per kilogram of loss avoided.</w:t>
      </w:r>
    </w:p>
    <w:p>
      <w:pPr>
        <w:spacing w:line="317" w:lineRule="auto" w:before="0" w:after="200"/>
        <w:jc w:val="left"/>
      </w:pPr>
      <w:r>
        <w:rPr>
          <w:rFonts w:ascii="Times New Roman" w:hAnsi="Times New Roman"/>
          <w:b w:val="0"/>
          <w:i w:val="0"/>
          <w:sz w:val="24"/>
        </w:rPr>
        <w:t>Fee arrangements also differ and are worth noting because they determine who captures the market's rent. Fishery Ghat operates on an aratdar basis, with a 2.5 to 5 per cent commission per lot plus a daily stall fee of BDT 30 to 60, so the rent accrues privately to the arat operator. The four retail markets and Patenga operate on a committee basis, with daily tolls of BDT 40 to 60 per stall, and Bahaddarhat adds an informal entry charge for vans. Because the aratdar's commission is a pass-through cost borne by the trade while the committee toll is a fixed cost borne by the stallholder, the two arrangements distribute the burden differently across the chain.</w:t>
      </w:r>
    </w:p>
    <w:p>
      <w:pPr>
        <w:pStyle w:val="Heading2"/>
      </w:pPr>
      <w:r>
        <w:t>4.7 Marketing channels, price chain and margins (Objective 2)</w:t>
      </w:r>
    </w:p>
    <w:p>
      <w:pPr>
        <w:spacing w:line="317" w:lineRule="auto" w:before="0" w:after="200"/>
        <w:jc w:val="left"/>
      </w:pPr>
      <w:r>
        <w:rPr>
          <w:rFonts w:ascii="Times New Roman" w:hAnsi="Times New Roman"/>
          <w:b w:val="0"/>
          <w:i w:val="0"/>
          <w:sz w:val="24"/>
        </w:rPr>
        <w:t>The observed channel structure follows the classic Bengali-model arat chain. The aratdar operates the physical arat, provides trading space, weighing and auction coordination, and earns commission or lease income on the lots routed through his premises; he is a commission-earning facilitator, not the owner of the fish. The principal flow runs from fisher through the aratdar's auction to bepari or faria, onward through a second arat, and then to the khuchra retailer and the consumer. Because the aratdar is a fixed node rather than a sequential stage, the effective chain is fisher to bepari or faria to retailer to consumer, with the arat as the institution that mediates the first two transactions. The supply-linkage evidence in Section 4.2, where a third of beparis and farias buy from aratdars and half buy directly from fishermen, confirms that both routes operate in practice.</w:t>
      </w:r>
    </w:p>
    <w:p>
      <w:pPr>
        <w:keepNext/>
        <w:spacing w:line="240" w:lineRule="auto" w:before="200" w:after="60"/>
        <w:jc w:val="center"/>
      </w:pPr>
      <w:r>
        <w:rPr>
          <w:rFonts w:ascii="Times New Roman" w:hAnsi="Times New Roman"/>
          <w:b/>
          <w:i w:val="0"/>
          <w:sz w:val="20"/>
        </w:rPr>
        <w:t>Table 4.6: Price chain and margin decomposition by species, BDT per kilogram</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752"/>
        <w:gridCol w:w="752"/>
        <w:gridCol w:w="752"/>
        <w:gridCol w:w="752"/>
        <w:gridCol w:w="752"/>
        <w:gridCol w:w="752"/>
        <w:gridCol w:w="752"/>
        <w:gridCol w:w="752"/>
        <w:gridCol w:w="752"/>
        <w:gridCol w:w="752"/>
        <w:gridCol w:w="752"/>
        <w:gridCol w:w="752"/>
      </w:tblGrid>
      <w:tr>
        <w:tc>
          <w:tcPr>
            <w:tcW w:type="dxa" w:w="720"/>
          </w:tcPr>
          <w:p>
            <w:pPr>
              <w:spacing w:line="240" w:lineRule="auto" w:before="20" w:after="20"/>
              <w:jc w:val="left"/>
            </w:pPr>
            <w:r/>
            <w:r>
              <w:rPr>
                <w:rFonts w:ascii="Times New Roman" w:hAnsi="Times New Roman"/>
                <w:b/>
                <w:sz w:val="20"/>
              </w:rPr>
              <w:t>Code</w:t>
            </w:r>
          </w:p>
        </w:tc>
        <w:tc>
          <w:tcPr>
            <w:tcW w:type="dxa" w:w="785"/>
          </w:tcPr>
          <w:p>
            <w:pPr>
              <w:spacing w:line="240" w:lineRule="auto" w:before="20" w:after="20"/>
              <w:jc w:val="left"/>
            </w:pPr>
            <w:r/>
            <w:r>
              <w:rPr>
                <w:rFonts w:ascii="Times New Roman" w:hAnsi="Times New Roman"/>
                <w:b/>
                <w:sz w:val="20"/>
              </w:rPr>
              <w:t>Species</w:t>
            </w:r>
          </w:p>
        </w:tc>
        <w:tc>
          <w:tcPr>
            <w:tcW w:type="dxa" w:w="785"/>
          </w:tcPr>
          <w:p>
            <w:pPr>
              <w:spacing w:line="240" w:lineRule="auto" w:before="20" w:after="20"/>
              <w:jc w:val="right"/>
            </w:pPr>
            <w:r/>
            <w:r>
              <w:rPr>
                <w:rFonts w:ascii="Times New Roman" w:hAnsi="Times New Roman"/>
                <w:b/>
                <w:sz w:val="20"/>
              </w:rPr>
              <w:t>Producer</w:t>
            </w:r>
          </w:p>
        </w:tc>
        <w:tc>
          <w:tcPr>
            <w:tcW w:type="dxa" w:w="785"/>
          </w:tcPr>
          <w:p>
            <w:pPr>
              <w:spacing w:line="240" w:lineRule="auto" w:before="20" w:after="20"/>
              <w:jc w:val="right"/>
            </w:pPr>
            <w:r/>
            <w:r>
              <w:rPr>
                <w:rFonts w:ascii="Times New Roman" w:hAnsi="Times New Roman"/>
                <w:b/>
                <w:sz w:val="20"/>
              </w:rPr>
              <w:t>Aratdar sell</w:t>
            </w:r>
          </w:p>
        </w:tc>
        <w:tc>
          <w:tcPr>
            <w:tcW w:type="dxa" w:w="785"/>
          </w:tcPr>
          <w:p>
            <w:pPr>
              <w:spacing w:line="240" w:lineRule="auto" w:before="20" w:after="20"/>
              <w:jc w:val="right"/>
            </w:pPr>
            <w:r/>
            <w:r>
              <w:rPr>
                <w:rFonts w:ascii="Times New Roman" w:hAnsi="Times New Roman"/>
                <w:b/>
                <w:sz w:val="20"/>
              </w:rPr>
              <w:t>Bepari sell</w:t>
            </w:r>
          </w:p>
        </w:tc>
        <w:tc>
          <w:tcPr>
            <w:tcW w:type="dxa" w:w="785"/>
          </w:tcPr>
          <w:p>
            <w:pPr>
              <w:spacing w:line="240" w:lineRule="auto" w:before="20" w:after="20"/>
              <w:jc w:val="right"/>
            </w:pPr>
            <w:r/>
            <w:r>
              <w:rPr>
                <w:rFonts w:ascii="Times New Roman" w:hAnsi="Times New Roman"/>
                <w:b/>
                <w:sz w:val="20"/>
              </w:rPr>
              <w:t>Retailer sell</w:t>
            </w:r>
          </w:p>
        </w:tc>
        <w:tc>
          <w:tcPr>
            <w:tcW w:type="dxa" w:w="785"/>
          </w:tcPr>
          <w:p>
            <w:pPr>
              <w:spacing w:line="240" w:lineRule="auto" w:before="20" w:after="20"/>
              <w:jc w:val="right"/>
            </w:pPr>
            <w:r/>
            <w:r>
              <w:rPr>
                <w:rFonts w:ascii="Times New Roman" w:hAnsi="Times New Roman"/>
                <w:b/>
                <w:sz w:val="20"/>
              </w:rPr>
              <w:t>Consumer paid</w:t>
            </w:r>
          </w:p>
        </w:tc>
        <w:tc>
          <w:tcPr>
            <w:tcW w:type="dxa" w:w="785"/>
          </w:tcPr>
          <w:p>
            <w:pPr>
              <w:spacing w:line="240" w:lineRule="auto" w:before="20" w:after="20"/>
              <w:jc w:val="right"/>
            </w:pPr>
            <w:r/>
            <w:r>
              <w:rPr>
                <w:rFonts w:ascii="Times New Roman" w:hAnsi="Times New Roman"/>
                <w:b/>
                <w:sz w:val="20"/>
              </w:rPr>
              <w:t>Aratdar margin</w:t>
            </w:r>
          </w:p>
        </w:tc>
        <w:tc>
          <w:tcPr>
            <w:tcW w:type="dxa" w:w="785"/>
          </w:tcPr>
          <w:p>
            <w:pPr>
              <w:spacing w:line="240" w:lineRule="auto" w:before="20" w:after="20"/>
              <w:jc w:val="right"/>
            </w:pPr>
            <w:r/>
            <w:r>
              <w:rPr>
                <w:rFonts w:ascii="Times New Roman" w:hAnsi="Times New Roman"/>
                <w:b/>
                <w:sz w:val="20"/>
              </w:rPr>
              <w:t>Bepari margin</w:t>
            </w:r>
          </w:p>
        </w:tc>
        <w:tc>
          <w:tcPr>
            <w:tcW w:type="dxa" w:w="785"/>
          </w:tcPr>
          <w:p>
            <w:pPr>
              <w:spacing w:line="240" w:lineRule="auto" w:before="20" w:after="20"/>
              <w:jc w:val="right"/>
            </w:pPr>
            <w:r/>
            <w:r>
              <w:rPr>
                <w:rFonts w:ascii="Times New Roman" w:hAnsi="Times New Roman"/>
                <w:b/>
                <w:sz w:val="20"/>
              </w:rPr>
              <w:t>Retailer margin</w:t>
            </w:r>
          </w:p>
        </w:tc>
        <w:tc>
          <w:tcPr>
            <w:tcW w:type="dxa" w:w="785"/>
          </w:tcPr>
          <w:p>
            <w:pPr>
              <w:spacing w:line="240" w:lineRule="auto" w:before="20" w:after="20"/>
              <w:jc w:val="right"/>
            </w:pPr>
            <w:r/>
            <w:r>
              <w:rPr>
                <w:rFonts w:ascii="Times New Roman" w:hAnsi="Times New Roman"/>
                <w:b/>
                <w:sz w:val="20"/>
              </w:rPr>
              <w:t>Total spread</w:t>
            </w:r>
          </w:p>
        </w:tc>
        <w:tc>
          <w:tcPr>
            <w:tcW w:type="dxa" w:w="785"/>
          </w:tcPr>
          <w:p>
            <w:pPr>
              <w:spacing w:line="240" w:lineRule="auto" w:before="20" w:after="20"/>
              <w:jc w:val="right"/>
            </w:pPr>
            <w:r/>
            <w:r>
              <w:rPr>
                <w:rFonts w:ascii="Times New Roman" w:hAnsi="Times New Roman"/>
                <w:b/>
                <w:sz w:val="20"/>
              </w:rPr>
              <w:t>Producer share, per cent</w:t>
            </w:r>
          </w:p>
        </w:tc>
      </w:tr>
      <w:tr>
        <w:tc>
          <w:tcPr>
            <w:tcW w:type="dxa" w:w="720"/>
          </w:tcPr>
          <w:p>
            <w:pPr>
              <w:spacing w:line="240" w:lineRule="auto" w:before="20" w:after="20"/>
              <w:jc w:val="left"/>
            </w:pPr>
            <w:r/>
            <w:r>
              <w:rPr>
                <w:rFonts w:ascii="Times New Roman" w:hAnsi="Times New Roman"/>
                <w:b w:val="0"/>
                <w:sz w:val="20"/>
              </w:rPr>
              <w:t>S01</w:t>
            </w:r>
          </w:p>
        </w:tc>
        <w:tc>
          <w:tcPr>
            <w:tcW w:type="dxa" w:w="785"/>
          </w:tcPr>
          <w:p>
            <w:pPr>
              <w:spacing w:line="240" w:lineRule="auto" w:before="20" w:after="20"/>
              <w:jc w:val="left"/>
            </w:pPr>
            <w:r/>
            <w:r>
              <w:rPr>
                <w:rFonts w:ascii="Times New Roman" w:hAnsi="Times New Roman"/>
                <w:b w:val="0"/>
                <w:sz w:val="20"/>
              </w:rPr>
              <w:t>Ilish</w:t>
            </w:r>
          </w:p>
        </w:tc>
        <w:tc>
          <w:tcPr>
            <w:tcW w:type="dxa" w:w="785"/>
          </w:tcPr>
          <w:p>
            <w:pPr>
              <w:spacing w:line="240" w:lineRule="auto" w:before="20" w:after="20"/>
              <w:jc w:val="right"/>
            </w:pPr>
            <w:r/>
            <w:r>
              <w:rPr>
                <w:rFonts w:ascii="Times New Roman" w:hAnsi="Times New Roman"/>
                <w:b w:val="0"/>
                <w:sz w:val="20"/>
              </w:rPr>
              <w:t>1,045.02</w:t>
            </w:r>
          </w:p>
        </w:tc>
        <w:tc>
          <w:tcPr>
            <w:tcW w:type="dxa" w:w="785"/>
          </w:tcPr>
          <w:p>
            <w:pPr>
              <w:spacing w:line="240" w:lineRule="auto" w:before="20" w:after="20"/>
              <w:jc w:val="right"/>
            </w:pPr>
            <w:r/>
            <w:r>
              <w:rPr>
                <w:rFonts w:ascii="Times New Roman" w:hAnsi="Times New Roman"/>
                <w:b w:val="0"/>
                <w:sz w:val="20"/>
              </w:rPr>
              <w:t>1,093.40</w:t>
            </w:r>
          </w:p>
        </w:tc>
        <w:tc>
          <w:tcPr>
            <w:tcW w:type="dxa" w:w="785"/>
          </w:tcPr>
          <w:p>
            <w:pPr>
              <w:spacing w:line="240" w:lineRule="auto" w:before="20" w:after="20"/>
              <w:jc w:val="right"/>
            </w:pPr>
            <w:r/>
            <w:r>
              <w:rPr>
                <w:rFonts w:ascii="Times New Roman" w:hAnsi="Times New Roman"/>
                <w:b w:val="0"/>
                <w:sz w:val="20"/>
              </w:rPr>
              <w:t>1,257.55</w:t>
            </w:r>
          </w:p>
        </w:tc>
        <w:tc>
          <w:tcPr>
            <w:tcW w:type="dxa" w:w="785"/>
          </w:tcPr>
          <w:p>
            <w:pPr>
              <w:spacing w:line="240" w:lineRule="auto" w:before="20" w:after="20"/>
              <w:jc w:val="right"/>
            </w:pPr>
            <w:r/>
            <w:r>
              <w:rPr>
                <w:rFonts w:ascii="Times New Roman" w:hAnsi="Times New Roman"/>
                <w:b w:val="0"/>
                <w:sz w:val="20"/>
              </w:rPr>
              <w:t>1,424.48</w:t>
            </w:r>
          </w:p>
        </w:tc>
        <w:tc>
          <w:tcPr>
            <w:tcW w:type="dxa" w:w="785"/>
          </w:tcPr>
          <w:p>
            <w:pPr>
              <w:spacing w:line="240" w:lineRule="auto" w:before="20" w:after="20"/>
              <w:jc w:val="right"/>
            </w:pPr>
            <w:r/>
            <w:r>
              <w:rPr>
                <w:rFonts w:ascii="Times New Roman" w:hAnsi="Times New Roman"/>
                <w:b w:val="0"/>
                <w:sz w:val="20"/>
              </w:rPr>
              <w:t>1,456.50</w:t>
            </w:r>
          </w:p>
        </w:tc>
        <w:tc>
          <w:tcPr>
            <w:tcW w:type="dxa" w:w="785"/>
          </w:tcPr>
          <w:p>
            <w:pPr>
              <w:spacing w:line="240" w:lineRule="auto" w:before="20" w:after="20"/>
              <w:jc w:val="right"/>
            </w:pPr>
            <w:r/>
            <w:r>
              <w:rPr>
                <w:rFonts w:ascii="Times New Roman" w:hAnsi="Times New Roman"/>
                <w:b w:val="0"/>
                <w:sz w:val="20"/>
              </w:rPr>
              <w:t>48.38</w:t>
            </w:r>
          </w:p>
        </w:tc>
        <w:tc>
          <w:tcPr>
            <w:tcW w:type="dxa" w:w="785"/>
          </w:tcPr>
          <w:p>
            <w:pPr>
              <w:spacing w:line="240" w:lineRule="auto" w:before="20" w:after="20"/>
              <w:jc w:val="right"/>
            </w:pPr>
            <w:r/>
            <w:r>
              <w:rPr>
                <w:rFonts w:ascii="Times New Roman" w:hAnsi="Times New Roman"/>
                <w:b w:val="0"/>
                <w:sz w:val="20"/>
              </w:rPr>
              <w:t>164.15</w:t>
            </w:r>
          </w:p>
        </w:tc>
        <w:tc>
          <w:tcPr>
            <w:tcW w:type="dxa" w:w="785"/>
          </w:tcPr>
          <w:p>
            <w:pPr>
              <w:spacing w:line="240" w:lineRule="auto" w:before="20" w:after="20"/>
              <w:jc w:val="right"/>
            </w:pPr>
            <w:r/>
            <w:r>
              <w:rPr>
                <w:rFonts w:ascii="Times New Roman" w:hAnsi="Times New Roman"/>
                <w:b w:val="0"/>
                <w:sz w:val="20"/>
              </w:rPr>
              <w:t>198.95</w:t>
            </w:r>
          </w:p>
        </w:tc>
        <w:tc>
          <w:tcPr>
            <w:tcW w:type="dxa" w:w="785"/>
          </w:tcPr>
          <w:p>
            <w:pPr>
              <w:spacing w:line="240" w:lineRule="auto" w:before="20" w:after="20"/>
              <w:jc w:val="right"/>
            </w:pPr>
            <w:r/>
            <w:r>
              <w:rPr>
                <w:rFonts w:ascii="Times New Roman" w:hAnsi="Times New Roman"/>
                <w:b w:val="0"/>
                <w:sz w:val="20"/>
              </w:rPr>
              <w:t>411.48</w:t>
            </w:r>
          </w:p>
        </w:tc>
        <w:tc>
          <w:tcPr>
            <w:tcW w:type="dxa" w:w="785"/>
          </w:tcPr>
          <w:p>
            <w:pPr>
              <w:spacing w:line="240" w:lineRule="auto" w:before="20" w:after="20"/>
              <w:jc w:val="right"/>
            </w:pPr>
            <w:r/>
            <w:r>
              <w:rPr>
                <w:rFonts w:ascii="Times New Roman" w:hAnsi="Times New Roman"/>
                <w:b w:val="0"/>
                <w:sz w:val="20"/>
              </w:rPr>
              <w:t>71.7</w:t>
            </w:r>
          </w:p>
        </w:tc>
      </w:tr>
      <w:tr>
        <w:tc>
          <w:tcPr>
            <w:tcW w:type="dxa" w:w="720"/>
          </w:tcPr>
          <w:p>
            <w:pPr>
              <w:spacing w:line="240" w:lineRule="auto" w:before="20" w:after="20"/>
              <w:jc w:val="left"/>
            </w:pPr>
            <w:r/>
            <w:r>
              <w:rPr>
                <w:rFonts w:ascii="Times New Roman" w:hAnsi="Times New Roman"/>
                <w:b w:val="0"/>
                <w:sz w:val="20"/>
              </w:rPr>
              <w:t>S02</w:t>
            </w:r>
          </w:p>
        </w:tc>
        <w:tc>
          <w:tcPr>
            <w:tcW w:type="dxa" w:w="785"/>
          </w:tcPr>
          <w:p>
            <w:pPr>
              <w:spacing w:line="240" w:lineRule="auto" w:before="20" w:after="20"/>
              <w:jc w:val="left"/>
            </w:pPr>
            <w:r/>
            <w:r>
              <w:rPr>
                <w:rFonts w:ascii="Times New Roman" w:hAnsi="Times New Roman"/>
                <w:b w:val="0"/>
                <w:sz w:val="20"/>
              </w:rPr>
              <w:t>Rupchanda</w:t>
            </w:r>
          </w:p>
        </w:tc>
        <w:tc>
          <w:tcPr>
            <w:tcW w:type="dxa" w:w="785"/>
          </w:tcPr>
          <w:p>
            <w:pPr>
              <w:spacing w:line="240" w:lineRule="auto" w:before="20" w:after="20"/>
              <w:jc w:val="right"/>
            </w:pPr>
            <w:r/>
            <w:r>
              <w:rPr>
                <w:rFonts w:ascii="Times New Roman" w:hAnsi="Times New Roman"/>
                <w:b w:val="0"/>
                <w:sz w:val="20"/>
              </w:rPr>
              <w:t>1,147.17</w:t>
            </w:r>
          </w:p>
        </w:tc>
        <w:tc>
          <w:tcPr>
            <w:tcW w:type="dxa" w:w="785"/>
          </w:tcPr>
          <w:p>
            <w:pPr>
              <w:spacing w:line="240" w:lineRule="auto" w:before="20" w:after="20"/>
              <w:jc w:val="right"/>
            </w:pPr>
            <w:r/>
            <w:r>
              <w:rPr>
                <w:rFonts w:ascii="Times New Roman" w:hAnsi="Times New Roman"/>
                <w:b w:val="0"/>
                <w:sz w:val="20"/>
              </w:rPr>
              <w:t>1,198.25</w:t>
            </w:r>
          </w:p>
        </w:tc>
        <w:tc>
          <w:tcPr>
            <w:tcW w:type="dxa" w:w="785"/>
          </w:tcPr>
          <w:p>
            <w:pPr>
              <w:spacing w:line="240" w:lineRule="auto" w:before="20" w:after="20"/>
              <w:jc w:val="right"/>
            </w:pPr>
            <w:r/>
            <w:r>
              <w:rPr>
                <w:rFonts w:ascii="Times New Roman" w:hAnsi="Times New Roman"/>
                <w:b w:val="0"/>
                <w:sz w:val="20"/>
              </w:rPr>
              <w:t>1,386.30</w:t>
            </w:r>
          </w:p>
        </w:tc>
        <w:tc>
          <w:tcPr>
            <w:tcW w:type="dxa" w:w="785"/>
          </w:tcPr>
          <w:p>
            <w:pPr>
              <w:spacing w:line="240" w:lineRule="auto" w:before="20" w:after="20"/>
              <w:jc w:val="right"/>
            </w:pPr>
            <w:r/>
            <w:r>
              <w:rPr>
                <w:rFonts w:ascii="Times New Roman" w:hAnsi="Times New Roman"/>
                <w:b w:val="0"/>
                <w:sz w:val="20"/>
              </w:rPr>
              <w:t>1,550.57</w:t>
            </w:r>
          </w:p>
        </w:tc>
        <w:tc>
          <w:tcPr>
            <w:tcW w:type="dxa" w:w="785"/>
          </w:tcPr>
          <w:p>
            <w:pPr>
              <w:spacing w:line="240" w:lineRule="auto" w:before="20" w:after="20"/>
              <w:jc w:val="right"/>
            </w:pPr>
            <w:r/>
            <w:r>
              <w:rPr>
                <w:rFonts w:ascii="Times New Roman" w:hAnsi="Times New Roman"/>
                <w:b w:val="0"/>
                <w:sz w:val="20"/>
              </w:rPr>
              <w:t>1,568.33</w:t>
            </w:r>
          </w:p>
        </w:tc>
        <w:tc>
          <w:tcPr>
            <w:tcW w:type="dxa" w:w="785"/>
          </w:tcPr>
          <w:p>
            <w:pPr>
              <w:spacing w:line="240" w:lineRule="auto" w:before="20" w:after="20"/>
              <w:jc w:val="right"/>
            </w:pPr>
            <w:r/>
            <w:r>
              <w:rPr>
                <w:rFonts w:ascii="Times New Roman" w:hAnsi="Times New Roman"/>
                <w:b w:val="0"/>
                <w:sz w:val="20"/>
              </w:rPr>
              <w:t>51.08</w:t>
            </w:r>
          </w:p>
        </w:tc>
        <w:tc>
          <w:tcPr>
            <w:tcW w:type="dxa" w:w="785"/>
          </w:tcPr>
          <w:p>
            <w:pPr>
              <w:spacing w:line="240" w:lineRule="auto" w:before="20" w:after="20"/>
              <w:jc w:val="right"/>
            </w:pPr>
            <w:r/>
            <w:r>
              <w:rPr>
                <w:rFonts w:ascii="Times New Roman" w:hAnsi="Times New Roman"/>
                <w:b w:val="0"/>
                <w:sz w:val="20"/>
              </w:rPr>
              <w:t>188.05</w:t>
            </w:r>
          </w:p>
        </w:tc>
        <w:tc>
          <w:tcPr>
            <w:tcW w:type="dxa" w:w="785"/>
          </w:tcPr>
          <w:p>
            <w:pPr>
              <w:spacing w:line="240" w:lineRule="auto" w:before="20" w:after="20"/>
              <w:jc w:val="right"/>
            </w:pPr>
            <w:r/>
            <w:r>
              <w:rPr>
                <w:rFonts w:ascii="Times New Roman" w:hAnsi="Times New Roman"/>
                <w:b w:val="0"/>
                <w:sz w:val="20"/>
              </w:rPr>
              <w:t>182.03</w:t>
            </w:r>
          </w:p>
        </w:tc>
        <w:tc>
          <w:tcPr>
            <w:tcW w:type="dxa" w:w="785"/>
          </w:tcPr>
          <w:p>
            <w:pPr>
              <w:spacing w:line="240" w:lineRule="auto" w:before="20" w:after="20"/>
              <w:jc w:val="right"/>
            </w:pPr>
            <w:r/>
            <w:r>
              <w:rPr>
                <w:rFonts w:ascii="Times New Roman" w:hAnsi="Times New Roman"/>
                <w:b w:val="0"/>
                <w:sz w:val="20"/>
              </w:rPr>
              <w:t>421.16</w:t>
            </w:r>
          </w:p>
        </w:tc>
        <w:tc>
          <w:tcPr>
            <w:tcW w:type="dxa" w:w="785"/>
          </w:tcPr>
          <w:p>
            <w:pPr>
              <w:spacing w:line="240" w:lineRule="auto" w:before="20" w:after="20"/>
              <w:jc w:val="right"/>
            </w:pPr>
            <w:r/>
            <w:r>
              <w:rPr>
                <w:rFonts w:ascii="Times New Roman" w:hAnsi="Times New Roman"/>
                <w:b w:val="0"/>
                <w:sz w:val="20"/>
              </w:rPr>
              <w:t>73.1</w:t>
            </w:r>
          </w:p>
        </w:tc>
      </w:tr>
      <w:tr>
        <w:tc>
          <w:tcPr>
            <w:tcW w:type="dxa" w:w="720"/>
          </w:tcPr>
          <w:p>
            <w:pPr>
              <w:spacing w:line="240" w:lineRule="auto" w:before="20" w:after="20"/>
              <w:jc w:val="left"/>
            </w:pPr>
            <w:r/>
            <w:r>
              <w:rPr>
                <w:rFonts w:ascii="Times New Roman" w:hAnsi="Times New Roman"/>
                <w:b w:val="0"/>
                <w:sz w:val="20"/>
              </w:rPr>
              <w:t>S03</w:t>
            </w:r>
          </w:p>
        </w:tc>
        <w:tc>
          <w:tcPr>
            <w:tcW w:type="dxa" w:w="785"/>
          </w:tcPr>
          <w:p>
            <w:pPr>
              <w:spacing w:line="240" w:lineRule="auto" w:before="20" w:after="20"/>
              <w:jc w:val="left"/>
            </w:pPr>
            <w:r/>
            <w:r>
              <w:rPr>
                <w:rFonts w:ascii="Times New Roman" w:hAnsi="Times New Roman"/>
                <w:b w:val="0"/>
                <w:sz w:val="20"/>
              </w:rPr>
              <w:t>Lakkha</w:t>
            </w:r>
          </w:p>
        </w:tc>
        <w:tc>
          <w:tcPr>
            <w:tcW w:type="dxa" w:w="785"/>
          </w:tcPr>
          <w:p>
            <w:pPr>
              <w:spacing w:line="240" w:lineRule="auto" w:before="20" w:after="20"/>
              <w:jc w:val="right"/>
            </w:pPr>
            <w:r/>
            <w:r>
              <w:rPr>
                <w:rFonts w:ascii="Times New Roman" w:hAnsi="Times New Roman"/>
                <w:b w:val="0"/>
                <w:sz w:val="20"/>
              </w:rPr>
              <w:t>762.83</w:t>
            </w:r>
          </w:p>
        </w:tc>
        <w:tc>
          <w:tcPr>
            <w:tcW w:type="dxa" w:w="785"/>
          </w:tcPr>
          <w:p>
            <w:pPr>
              <w:spacing w:line="240" w:lineRule="auto" w:before="20" w:after="20"/>
              <w:jc w:val="right"/>
            </w:pPr>
            <w:r/>
            <w:r>
              <w:rPr>
                <w:rFonts w:ascii="Times New Roman" w:hAnsi="Times New Roman"/>
                <w:b w:val="0"/>
                <w:sz w:val="20"/>
              </w:rPr>
              <w:t>798.83</w:t>
            </w:r>
          </w:p>
        </w:tc>
        <w:tc>
          <w:tcPr>
            <w:tcW w:type="dxa" w:w="785"/>
          </w:tcPr>
          <w:p>
            <w:pPr>
              <w:spacing w:line="240" w:lineRule="auto" w:before="20" w:after="20"/>
              <w:jc w:val="right"/>
            </w:pPr>
            <w:r/>
            <w:r>
              <w:rPr>
                <w:rFonts w:ascii="Times New Roman" w:hAnsi="Times New Roman"/>
                <w:b w:val="0"/>
                <w:sz w:val="20"/>
              </w:rPr>
              <w:t>912.16</w:t>
            </w:r>
          </w:p>
        </w:tc>
        <w:tc>
          <w:tcPr>
            <w:tcW w:type="dxa" w:w="785"/>
          </w:tcPr>
          <w:p>
            <w:pPr>
              <w:spacing w:line="240" w:lineRule="auto" w:before="20" w:after="20"/>
              <w:jc w:val="right"/>
            </w:pPr>
            <w:r/>
            <w:r>
              <w:rPr>
                <w:rFonts w:ascii="Times New Roman" w:hAnsi="Times New Roman"/>
                <w:b w:val="0"/>
                <w:sz w:val="20"/>
              </w:rPr>
              <w:t>1,026.81</w:t>
            </w:r>
          </w:p>
        </w:tc>
        <w:tc>
          <w:tcPr>
            <w:tcW w:type="dxa" w:w="785"/>
          </w:tcPr>
          <w:p>
            <w:pPr>
              <w:spacing w:line="240" w:lineRule="auto" w:before="20" w:after="20"/>
              <w:jc w:val="right"/>
            </w:pPr>
            <w:r/>
            <w:r>
              <w:rPr>
                <w:rFonts w:ascii="Times New Roman" w:hAnsi="Times New Roman"/>
                <w:b w:val="0"/>
                <w:sz w:val="20"/>
              </w:rPr>
              <w:t>980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S04</w:t>
            </w:r>
          </w:p>
        </w:tc>
        <w:tc>
          <w:tcPr>
            <w:tcW w:type="dxa" w:w="785"/>
          </w:tcPr>
          <w:p>
            <w:pPr>
              <w:spacing w:line="240" w:lineRule="auto" w:before="20" w:after="20"/>
              <w:jc w:val="left"/>
            </w:pPr>
            <w:r/>
            <w:r>
              <w:rPr>
                <w:rFonts w:ascii="Times New Roman" w:hAnsi="Times New Roman"/>
                <w:b w:val="0"/>
                <w:sz w:val="20"/>
              </w:rPr>
              <w:t>Koral/Kurl</w:t>
            </w:r>
          </w:p>
        </w:tc>
        <w:tc>
          <w:tcPr>
            <w:tcW w:type="dxa" w:w="785"/>
          </w:tcPr>
          <w:p>
            <w:pPr>
              <w:spacing w:line="240" w:lineRule="auto" w:before="20" w:after="20"/>
              <w:jc w:val="right"/>
            </w:pPr>
            <w:r/>
            <w:r>
              <w:rPr>
                <w:rFonts w:ascii="Times New Roman" w:hAnsi="Times New Roman"/>
                <w:b w:val="0"/>
                <w:sz w:val="20"/>
              </w:rPr>
              <w:t>651.13</w:t>
            </w:r>
          </w:p>
        </w:tc>
        <w:tc>
          <w:tcPr>
            <w:tcW w:type="dxa" w:w="785"/>
          </w:tcPr>
          <w:p>
            <w:pPr>
              <w:spacing w:line="240" w:lineRule="auto" w:before="20" w:after="20"/>
              <w:jc w:val="right"/>
            </w:pPr>
            <w:r/>
            <w:r>
              <w:rPr>
                <w:rFonts w:ascii="Times New Roman" w:hAnsi="Times New Roman"/>
                <w:b w:val="0"/>
                <w:sz w:val="20"/>
              </w:rPr>
              <w:t>681.94</w:t>
            </w:r>
          </w:p>
        </w:tc>
        <w:tc>
          <w:tcPr>
            <w:tcW w:type="dxa" w:w="785"/>
          </w:tcPr>
          <w:p>
            <w:pPr>
              <w:spacing w:line="240" w:lineRule="auto" w:before="20" w:after="20"/>
              <w:jc w:val="right"/>
            </w:pPr>
            <w:r/>
            <w:r>
              <w:rPr>
                <w:rFonts w:ascii="Times New Roman" w:hAnsi="Times New Roman"/>
                <w:b w:val="0"/>
                <w:sz w:val="20"/>
              </w:rPr>
              <w:t>784.24</w:t>
            </w:r>
          </w:p>
        </w:tc>
        <w:tc>
          <w:tcPr>
            <w:tcW w:type="dxa" w:w="785"/>
          </w:tcPr>
          <w:p>
            <w:pPr>
              <w:spacing w:line="240" w:lineRule="auto" w:before="20" w:after="20"/>
              <w:jc w:val="right"/>
            </w:pPr>
            <w:r/>
            <w:r>
              <w:rPr>
                <w:rFonts w:ascii="Times New Roman" w:hAnsi="Times New Roman"/>
                <w:b w:val="0"/>
                <w:sz w:val="20"/>
              </w:rPr>
              <w:t>867.96</w:t>
            </w:r>
          </w:p>
        </w:tc>
        <w:tc>
          <w:tcPr>
            <w:tcW w:type="dxa" w:w="785"/>
          </w:tcPr>
          <w:p>
            <w:pPr>
              <w:spacing w:line="240" w:lineRule="auto" w:before="20" w:after="20"/>
              <w:jc w:val="right"/>
            </w:pPr>
            <w:r/>
            <w:r>
              <w:rPr>
                <w:rFonts w:ascii="Times New Roman" w:hAnsi="Times New Roman"/>
                <w:b w:val="0"/>
                <w:sz w:val="20"/>
              </w:rPr>
              <w:t>876.67</w:t>
            </w:r>
          </w:p>
        </w:tc>
        <w:tc>
          <w:tcPr>
            <w:tcW w:type="dxa" w:w="785"/>
          </w:tcPr>
          <w:p>
            <w:pPr>
              <w:spacing w:line="240" w:lineRule="auto" w:before="20" w:after="20"/>
              <w:jc w:val="right"/>
            </w:pPr>
            <w:r/>
            <w:r>
              <w:rPr>
                <w:rFonts w:ascii="Times New Roman" w:hAnsi="Times New Roman"/>
                <w:b w:val="0"/>
                <w:sz w:val="20"/>
              </w:rPr>
              <w:t>30.81</w:t>
            </w:r>
          </w:p>
        </w:tc>
        <w:tc>
          <w:tcPr>
            <w:tcW w:type="dxa" w:w="785"/>
          </w:tcPr>
          <w:p>
            <w:pPr>
              <w:spacing w:line="240" w:lineRule="auto" w:before="20" w:after="20"/>
              <w:jc w:val="right"/>
            </w:pPr>
            <w:r/>
            <w:r>
              <w:rPr>
                <w:rFonts w:ascii="Times New Roman" w:hAnsi="Times New Roman"/>
                <w:b w:val="0"/>
                <w:sz w:val="20"/>
              </w:rPr>
              <w:t>102.3</w:t>
            </w:r>
          </w:p>
        </w:tc>
        <w:tc>
          <w:tcPr>
            <w:tcW w:type="dxa" w:w="785"/>
          </w:tcPr>
          <w:p>
            <w:pPr>
              <w:spacing w:line="240" w:lineRule="auto" w:before="20" w:after="20"/>
              <w:jc w:val="right"/>
            </w:pPr>
            <w:r/>
            <w:r>
              <w:rPr>
                <w:rFonts w:ascii="Times New Roman" w:hAnsi="Times New Roman"/>
                <w:b w:val="0"/>
                <w:sz w:val="20"/>
              </w:rPr>
              <w:t>92.43</w:t>
            </w:r>
          </w:p>
        </w:tc>
        <w:tc>
          <w:tcPr>
            <w:tcW w:type="dxa" w:w="785"/>
          </w:tcPr>
          <w:p>
            <w:pPr>
              <w:spacing w:line="240" w:lineRule="auto" w:before="20" w:after="20"/>
              <w:jc w:val="right"/>
            </w:pPr>
            <w:r/>
            <w:r>
              <w:rPr>
                <w:rFonts w:ascii="Times New Roman" w:hAnsi="Times New Roman"/>
                <w:b w:val="0"/>
                <w:sz w:val="20"/>
              </w:rPr>
              <w:t>225.54</w:t>
            </w:r>
          </w:p>
        </w:tc>
        <w:tc>
          <w:tcPr>
            <w:tcW w:type="dxa" w:w="785"/>
          </w:tcPr>
          <w:p>
            <w:pPr>
              <w:spacing w:line="240" w:lineRule="auto" w:before="20" w:after="20"/>
              <w:jc w:val="right"/>
            </w:pPr>
            <w:r/>
            <w:r>
              <w:rPr>
                <w:rFonts w:ascii="Times New Roman" w:hAnsi="Times New Roman"/>
                <w:b w:val="0"/>
                <w:sz w:val="20"/>
              </w:rPr>
              <w:t>74.3</w:t>
            </w:r>
          </w:p>
        </w:tc>
      </w:tr>
      <w:tr>
        <w:tc>
          <w:tcPr>
            <w:tcW w:type="dxa" w:w="720"/>
          </w:tcPr>
          <w:p>
            <w:pPr>
              <w:spacing w:line="240" w:lineRule="auto" w:before="20" w:after="20"/>
              <w:jc w:val="left"/>
            </w:pPr>
            <w:r/>
            <w:r>
              <w:rPr>
                <w:rFonts w:ascii="Times New Roman" w:hAnsi="Times New Roman"/>
                <w:b w:val="0"/>
                <w:sz w:val="20"/>
              </w:rPr>
              <w:t>S05</w:t>
            </w:r>
          </w:p>
        </w:tc>
        <w:tc>
          <w:tcPr>
            <w:tcW w:type="dxa" w:w="785"/>
          </w:tcPr>
          <w:p>
            <w:pPr>
              <w:spacing w:line="240" w:lineRule="auto" w:before="20" w:after="20"/>
              <w:jc w:val="left"/>
            </w:pPr>
            <w:r/>
            <w:r>
              <w:rPr>
                <w:rFonts w:ascii="Times New Roman" w:hAnsi="Times New Roman"/>
                <w:b w:val="0"/>
                <w:sz w:val="20"/>
              </w:rPr>
              <w:t>Surma</w:t>
            </w:r>
          </w:p>
        </w:tc>
        <w:tc>
          <w:tcPr>
            <w:tcW w:type="dxa" w:w="785"/>
          </w:tcPr>
          <w:p>
            <w:pPr>
              <w:spacing w:line="240" w:lineRule="auto" w:before="20" w:after="20"/>
              <w:jc w:val="right"/>
            </w:pPr>
            <w:r/>
            <w:r>
              <w:rPr>
                <w:rFonts w:ascii="Times New Roman" w:hAnsi="Times New Roman"/>
                <w:b w:val="0"/>
                <w:sz w:val="20"/>
              </w:rPr>
              <w:t>414.49</w:t>
            </w:r>
          </w:p>
        </w:tc>
        <w:tc>
          <w:tcPr>
            <w:tcW w:type="dxa" w:w="785"/>
          </w:tcPr>
          <w:p>
            <w:pPr>
              <w:spacing w:line="240" w:lineRule="auto" w:before="20" w:after="20"/>
              <w:jc w:val="right"/>
            </w:pPr>
            <w:r/>
            <w:r>
              <w:rPr>
                <w:rFonts w:ascii="Times New Roman" w:hAnsi="Times New Roman"/>
                <w:b w:val="0"/>
                <w:sz w:val="20"/>
              </w:rPr>
              <w:t>433.75</w:t>
            </w:r>
          </w:p>
        </w:tc>
        <w:tc>
          <w:tcPr>
            <w:tcW w:type="dxa" w:w="785"/>
          </w:tcPr>
          <w:p>
            <w:pPr>
              <w:spacing w:line="240" w:lineRule="auto" w:before="20" w:after="20"/>
              <w:jc w:val="right"/>
            </w:pPr>
            <w:r/>
            <w:r>
              <w:rPr>
                <w:rFonts w:ascii="Times New Roman" w:hAnsi="Times New Roman"/>
                <w:b w:val="0"/>
                <w:sz w:val="20"/>
              </w:rPr>
              <w:t>495.71</w:t>
            </w:r>
          </w:p>
        </w:tc>
        <w:tc>
          <w:tcPr>
            <w:tcW w:type="dxa" w:w="785"/>
          </w:tcPr>
          <w:p>
            <w:pPr>
              <w:spacing w:line="240" w:lineRule="auto" w:before="20" w:after="20"/>
              <w:jc w:val="right"/>
            </w:pPr>
            <w:r/>
            <w:r>
              <w:rPr>
                <w:rFonts w:ascii="Times New Roman" w:hAnsi="Times New Roman"/>
                <w:b w:val="0"/>
                <w:sz w:val="20"/>
              </w:rPr>
              <w:t>561.71</w:t>
            </w:r>
          </w:p>
        </w:tc>
        <w:tc>
          <w:tcPr>
            <w:tcW w:type="dxa" w:w="785"/>
          </w:tcPr>
          <w:p>
            <w:pPr>
              <w:spacing w:line="240" w:lineRule="auto" w:before="20" w:after="20"/>
              <w:jc w:val="right"/>
            </w:pPr>
            <w:r/>
            <w:r>
              <w:rPr>
                <w:rFonts w:ascii="Times New Roman" w:hAnsi="Times New Roman"/>
                <w:b w:val="0"/>
                <w:sz w:val="20"/>
              </w:rPr>
              <w:t>584.44</w:t>
            </w:r>
          </w:p>
        </w:tc>
        <w:tc>
          <w:tcPr>
            <w:tcW w:type="dxa" w:w="785"/>
          </w:tcPr>
          <w:p>
            <w:pPr>
              <w:spacing w:line="240" w:lineRule="auto" w:before="20" w:after="20"/>
              <w:jc w:val="right"/>
            </w:pPr>
            <w:r/>
            <w:r>
              <w:rPr>
                <w:rFonts w:ascii="Times New Roman" w:hAnsi="Times New Roman"/>
                <w:b w:val="0"/>
                <w:sz w:val="20"/>
              </w:rPr>
              <w:t>19.26</w:t>
            </w:r>
          </w:p>
        </w:tc>
        <w:tc>
          <w:tcPr>
            <w:tcW w:type="dxa" w:w="785"/>
          </w:tcPr>
          <w:p>
            <w:pPr>
              <w:spacing w:line="240" w:lineRule="auto" w:before="20" w:after="20"/>
              <w:jc w:val="right"/>
            </w:pPr>
            <w:r/>
            <w:r>
              <w:rPr>
                <w:rFonts w:ascii="Times New Roman" w:hAnsi="Times New Roman"/>
                <w:b w:val="0"/>
                <w:sz w:val="20"/>
              </w:rPr>
              <w:t>61.96</w:t>
            </w:r>
          </w:p>
        </w:tc>
        <w:tc>
          <w:tcPr>
            <w:tcW w:type="dxa" w:w="785"/>
          </w:tcPr>
          <w:p>
            <w:pPr>
              <w:spacing w:line="240" w:lineRule="auto" w:before="20" w:after="20"/>
              <w:jc w:val="right"/>
            </w:pPr>
            <w:r/>
            <w:r>
              <w:rPr>
                <w:rFonts w:ascii="Times New Roman" w:hAnsi="Times New Roman"/>
                <w:b w:val="0"/>
                <w:sz w:val="20"/>
              </w:rPr>
              <w:t>88.73</w:t>
            </w:r>
          </w:p>
        </w:tc>
        <w:tc>
          <w:tcPr>
            <w:tcW w:type="dxa" w:w="785"/>
          </w:tcPr>
          <w:p>
            <w:pPr>
              <w:spacing w:line="240" w:lineRule="auto" w:before="20" w:after="20"/>
              <w:jc w:val="right"/>
            </w:pPr>
            <w:r/>
            <w:r>
              <w:rPr>
                <w:rFonts w:ascii="Times New Roman" w:hAnsi="Times New Roman"/>
                <w:b w:val="0"/>
                <w:sz w:val="20"/>
              </w:rPr>
              <w:t>169.95</w:t>
            </w:r>
          </w:p>
        </w:tc>
        <w:tc>
          <w:tcPr>
            <w:tcW w:type="dxa" w:w="785"/>
          </w:tcPr>
          <w:p>
            <w:pPr>
              <w:spacing w:line="240" w:lineRule="auto" w:before="20" w:after="20"/>
              <w:jc w:val="right"/>
            </w:pPr>
            <w:r/>
            <w:r>
              <w:rPr>
                <w:rFonts w:ascii="Times New Roman" w:hAnsi="Times New Roman"/>
                <w:b w:val="0"/>
                <w:sz w:val="20"/>
              </w:rPr>
              <w:t>70.9</w:t>
            </w:r>
          </w:p>
        </w:tc>
      </w:tr>
      <w:tr>
        <w:tc>
          <w:tcPr>
            <w:tcW w:type="dxa" w:w="720"/>
          </w:tcPr>
          <w:p>
            <w:pPr>
              <w:spacing w:line="240" w:lineRule="auto" w:before="20" w:after="20"/>
              <w:jc w:val="left"/>
            </w:pPr>
            <w:r/>
            <w:r>
              <w:rPr>
                <w:rFonts w:ascii="Times New Roman" w:hAnsi="Times New Roman"/>
                <w:b w:val="0"/>
                <w:sz w:val="20"/>
              </w:rPr>
              <w:t>S06</w:t>
            </w:r>
          </w:p>
        </w:tc>
        <w:tc>
          <w:tcPr>
            <w:tcW w:type="dxa" w:w="785"/>
          </w:tcPr>
          <w:p>
            <w:pPr>
              <w:spacing w:line="240" w:lineRule="auto" w:before="20" w:after="20"/>
              <w:jc w:val="left"/>
            </w:pPr>
            <w:r/>
            <w:r>
              <w:rPr>
                <w:rFonts w:ascii="Times New Roman" w:hAnsi="Times New Roman"/>
                <w:b w:val="0"/>
                <w:sz w:val="20"/>
              </w:rPr>
              <w:t>Churi</w:t>
            </w:r>
          </w:p>
        </w:tc>
        <w:tc>
          <w:tcPr>
            <w:tcW w:type="dxa" w:w="785"/>
          </w:tcPr>
          <w:p>
            <w:pPr>
              <w:spacing w:line="240" w:lineRule="auto" w:before="20" w:after="20"/>
              <w:jc w:val="right"/>
            </w:pPr>
            <w:r/>
            <w:r>
              <w:rPr>
                <w:rFonts w:ascii="Times New Roman" w:hAnsi="Times New Roman"/>
                <w:b w:val="0"/>
                <w:sz w:val="20"/>
              </w:rPr>
              <w:t>320.42</w:t>
            </w:r>
          </w:p>
        </w:tc>
        <w:tc>
          <w:tcPr>
            <w:tcW w:type="dxa" w:w="785"/>
          </w:tcPr>
          <w:p>
            <w:pPr>
              <w:spacing w:line="240" w:lineRule="auto" w:before="20" w:after="20"/>
              <w:jc w:val="right"/>
            </w:pPr>
            <w:r/>
            <w:r>
              <w:rPr>
                <w:rFonts w:ascii="Times New Roman" w:hAnsi="Times New Roman"/>
                <w:b w:val="0"/>
                <w:sz w:val="20"/>
              </w:rPr>
              <w:t>333.82</w:t>
            </w:r>
          </w:p>
        </w:tc>
        <w:tc>
          <w:tcPr>
            <w:tcW w:type="dxa" w:w="785"/>
          </w:tcPr>
          <w:p>
            <w:pPr>
              <w:spacing w:line="240" w:lineRule="auto" w:before="20" w:after="20"/>
              <w:jc w:val="right"/>
            </w:pPr>
            <w:r/>
            <w:r>
              <w:rPr>
                <w:rFonts w:ascii="Times New Roman" w:hAnsi="Times New Roman"/>
                <w:b w:val="0"/>
                <w:sz w:val="20"/>
              </w:rPr>
              <w:t>391.27</w:t>
            </w:r>
          </w:p>
        </w:tc>
        <w:tc>
          <w:tcPr>
            <w:tcW w:type="dxa" w:w="785"/>
          </w:tcPr>
          <w:p>
            <w:pPr>
              <w:spacing w:line="240" w:lineRule="auto" w:before="20" w:after="20"/>
              <w:jc w:val="right"/>
            </w:pPr>
            <w:r/>
            <w:r>
              <w:rPr>
                <w:rFonts w:ascii="Times New Roman" w:hAnsi="Times New Roman"/>
                <w:b w:val="0"/>
                <w:sz w:val="20"/>
              </w:rPr>
              <w:t>448.09</w:t>
            </w:r>
          </w:p>
        </w:tc>
        <w:tc>
          <w:tcPr>
            <w:tcW w:type="dxa" w:w="785"/>
          </w:tcPr>
          <w:p>
            <w:pPr>
              <w:spacing w:line="240" w:lineRule="auto" w:before="20" w:after="20"/>
              <w:jc w:val="right"/>
            </w:pPr>
            <w:r/>
            <w:r>
              <w:rPr>
                <w:rFonts w:ascii="Times New Roman" w:hAnsi="Times New Roman"/>
                <w:b w:val="0"/>
                <w:sz w:val="20"/>
              </w:rPr>
              <w:t>446.67</w:t>
            </w:r>
          </w:p>
        </w:tc>
        <w:tc>
          <w:tcPr>
            <w:tcW w:type="dxa" w:w="785"/>
          </w:tcPr>
          <w:p>
            <w:pPr>
              <w:spacing w:line="240" w:lineRule="auto" w:before="20" w:after="20"/>
              <w:jc w:val="right"/>
            </w:pPr>
            <w:r/>
            <w:r>
              <w:rPr>
                <w:rFonts w:ascii="Times New Roman" w:hAnsi="Times New Roman"/>
                <w:b w:val="0"/>
                <w:sz w:val="20"/>
              </w:rPr>
              <w:t>13.4</w:t>
            </w:r>
          </w:p>
        </w:tc>
        <w:tc>
          <w:tcPr>
            <w:tcW w:type="dxa" w:w="785"/>
          </w:tcPr>
          <w:p>
            <w:pPr>
              <w:spacing w:line="240" w:lineRule="auto" w:before="20" w:after="20"/>
              <w:jc w:val="right"/>
            </w:pPr>
            <w:r/>
            <w:r>
              <w:rPr>
                <w:rFonts w:ascii="Times New Roman" w:hAnsi="Times New Roman"/>
                <w:b w:val="0"/>
                <w:sz w:val="20"/>
              </w:rPr>
              <w:t>57.45</w:t>
            </w:r>
          </w:p>
        </w:tc>
        <w:tc>
          <w:tcPr>
            <w:tcW w:type="dxa" w:w="785"/>
          </w:tcPr>
          <w:p>
            <w:pPr>
              <w:spacing w:line="240" w:lineRule="auto" w:before="20" w:after="20"/>
              <w:jc w:val="right"/>
            </w:pPr>
            <w:r/>
            <w:r>
              <w:rPr>
                <w:rFonts w:ascii="Times New Roman" w:hAnsi="Times New Roman"/>
                <w:b w:val="0"/>
                <w:sz w:val="20"/>
              </w:rPr>
              <w:t>55.4</w:t>
            </w:r>
          </w:p>
        </w:tc>
        <w:tc>
          <w:tcPr>
            <w:tcW w:type="dxa" w:w="785"/>
          </w:tcPr>
          <w:p>
            <w:pPr>
              <w:spacing w:line="240" w:lineRule="auto" w:before="20" w:after="20"/>
              <w:jc w:val="right"/>
            </w:pPr>
            <w:r/>
            <w:r>
              <w:rPr>
                <w:rFonts w:ascii="Times New Roman" w:hAnsi="Times New Roman"/>
                <w:b w:val="0"/>
                <w:sz w:val="20"/>
              </w:rPr>
              <w:t>126.25</w:t>
            </w:r>
          </w:p>
        </w:tc>
        <w:tc>
          <w:tcPr>
            <w:tcW w:type="dxa" w:w="785"/>
          </w:tcPr>
          <w:p>
            <w:pPr>
              <w:spacing w:line="240" w:lineRule="auto" w:before="20" w:after="20"/>
              <w:jc w:val="right"/>
            </w:pPr>
            <w:r/>
            <w:r>
              <w:rPr>
                <w:rFonts w:ascii="Times New Roman" w:hAnsi="Times New Roman"/>
                <w:b w:val="0"/>
                <w:sz w:val="20"/>
              </w:rPr>
              <w:t>71.7</w:t>
            </w:r>
          </w:p>
        </w:tc>
      </w:tr>
      <w:tr>
        <w:tc>
          <w:tcPr>
            <w:tcW w:type="dxa" w:w="720"/>
          </w:tcPr>
          <w:p>
            <w:pPr>
              <w:spacing w:line="240" w:lineRule="auto" w:before="20" w:after="20"/>
              <w:jc w:val="left"/>
            </w:pPr>
            <w:r/>
            <w:r>
              <w:rPr>
                <w:rFonts w:ascii="Times New Roman" w:hAnsi="Times New Roman"/>
                <w:b w:val="0"/>
                <w:sz w:val="20"/>
              </w:rPr>
              <w:t>S07</w:t>
            </w:r>
          </w:p>
        </w:tc>
        <w:tc>
          <w:tcPr>
            <w:tcW w:type="dxa" w:w="785"/>
          </w:tcPr>
          <w:p>
            <w:pPr>
              <w:spacing w:line="240" w:lineRule="auto" w:before="20" w:after="20"/>
              <w:jc w:val="left"/>
            </w:pPr>
            <w:r/>
            <w:r>
              <w:rPr>
                <w:rFonts w:ascii="Times New Roman" w:hAnsi="Times New Roman"/>
                <w:b w:val="0"/>
                <w:sz w:val="20"/>
              </w:rPr>
              <w:t>Poa</w:t>
            </w:r>
          </w:p>
        </w:tc>
        <w:tc>
          <w:tcPr>
            <w:tcW w:type="dxa" w:w="785"/>
          </w:tcPr>
          <w:p>
            <w:pPr>
              <w:spacing w:line="240" w:lineRule="auto" w:before="20" w:after="20"/>
              <w:jc w:val="right"/>
            </w:pPr>
            <w:r/>
            <w:r>
              <w:rPr>
                <w:rFonts w:ascii="Times New Roman" w:hAnsi="Times New Roman"/>
                <w:b w:val="0"/>
                <w:sz w:val="20"/>
              </w:rPr>
              <w:t>368.44</w:t>
            </w:r>
          </w:p>
        </w:tc>
        <w:tc>
          <w:tcPr>
            <w:tcW w:type="dxa" w:w="785"/>
          </w:tcPr>
          <w:p>
            <w:pPr>
              <w:spacing w:line="240" w:lineRule="auto" w:before="20" w:after="20"/>
              <w:jc w:val="right"/>
            </w:pPr>
            <w:r/>
            <w:r>
              <w:rPr>
                <w:rFonts w:ascii="Times New Roman" w:hAnsi="Times New Roman"/>
                <w:b w:val="0"/>
                <w:sz w:val="20"/>
              </w:rPr>
              <w:t>385.18</w:t>
            </w:r>
          </w:p>
        </w:tc>
        <w:tc>
          <w:tcPr>
            <w:tcW w:type="dxa" w:w="785"/>
          </w:tcPr>
          <w:p>
            <w:pPr>
              <w:spacing w:line="240" w:lineRule="auto" w:before="20" w:after="20"/>
              <w:jc w:val="right"/>
            </w:pPr>
            <w:r/>
            <w:r>
              <w:rPr>
                <w:rFonts w:ascii="Times New Roman" w:hAnsi="Times New Roman"/>
                <w:b w:val="0"/>
                <w:sz w:val="20"/>
              </w:rPr>
              <w:t>440.45</w:t>
            </w:r>
          </w:p>
        </w:tc>
        <w:tc>
          <w:tcPr>
            <w:tcW w:type="dxa" w:w="785"/>
          </w:tcPr>
          <w:p>
            <w:pPr>
              <w:spacing w:line="240" w:lineRule="auto" w:before="20" w:after="20"/>
              <w:jc w:val="right"/>
            </w:pPr>
            <w:r/>
            <w:r>
              <w:rPr>
                <w:rFonts w:ascii="Times New Roman" w:hAnsi="Times New Roman"/>
                <w:b w:val="0"/>
                <w:sz w:val="20"/>
              </w:rPr>
              <w:t>506.07</w:t>
            </w:r>
          </w:p>
        </w:tc>
        <w:tc>
          <w:tcPr>
            <w:tcW w:type="dxa" w:w="785"/>
          </w:tcPr>
          <w:p>
            <w:pPr>
              <w:spacing w:line="240" w:lineRule="auto" w:before="20" w:after="20"/>
              <w:jc w:val="right"/>
            </w:pPr>
            <w:r/>
            <w:r>
              <w:rPr>
                <w:rFonts w:ascii="Times New Roman" w:hAnsi="Times New Roman"/>
                <w:b w:val="0"/>
                <w:sz w:val="20"/>
              </w:rPr>
              <w:t>522.14</w:t>
            </w:r>
          </w:p>
        </w:tc>
        <w:tc>
          <w:tcPr>
            <w:tcW w:type="dxa" w:w="785"/>
          </w:tcPr>
          <w:p>
            <w:pPr>
              <w:spacing w:line="240" w:lineRule="auto" w:before="20" w:after="20"/>
              <w:jc w:val="right"/>
            </w:pPr>
            <w:r/>
            <w:r>
              <w:rPr>
                <w:rFonts w:ascii="Times New Roman" w:hAnsi="Times New Roman"/>
                <w:b w:val="0"/>
                <w:sz w:val="20"/>
              </w:rPr>
              <w:t>16.74</w:t>
            </w:r>
          </w:p>
        </w:tc>
        <w:tc>
          <w:tcPr>
            <w:tcW w:type="dxa" w:w="785"/>
          </w:tcPr>
          <w:p>
            <w:pPr>
              <w:spacing w:line="240" w:lineRule="auto" w:before="20" w:after="20"/>
              <w:jc w:val="right"/>
            </w:pPr>
            <w:r/>
            <w:r>
              <w:rPr>
                <w:rFonts w:ascii="Times New Roman" w:hAnsi="Times New Roman"/>
                <w:b w:val="0"/>
                <w:sz w:val="20"/>
              </w:rPr>
              <w:t>55.27</w:t>
            </w:r>
          </w:p>
        </w:tc>
        <w:tc>
          <w:tcPr>
            <w:tcW w:type="dxa" w:w="785"/>
          </w:tcPr>
          <w:p>
            <w:pPr>
              <w:spacing w:line="240" w:lineRule="auto" w:before="20" w:after="20"/>
              <w:jc w:val="right"/>
            </w:pPr>
            <w:r/>
            <w:r>
              <w:rPr>
                <w:rFonts w:ascii="Times New Roman" w:hAnsi="Times New Roman"/>
                <w:b w:val="0"/>
                <w:sz w:val="20"/>
              </w:rPr>
              <w:t>81.69</w:t>
            </w:r>
          </w:p>
        </w:tc>
        <w:tc>
          <w:tcPr>
            <w:tcW w:type="dxa" w:w="785"/>
          </w:tcPr>
          <w:p>
            <w:pPr>
              <w:spacing w:line="240" w:lineRule="auto" w:before="20" w:after="20"/>
              <w:jc w:val="right"/>
            </w:pPr>
            <w:r/>
            <w:r>
              <w:rPr>
                <w:rFonts w:ascii="Times New Roman" w:hAnsi="Times New Roman"/>
                <w:b w:val="0"/>
                <w:sz w:val="20"/>
              </w:rPr>
              <w:t>153.7</w:t>
            </w:r>
          </w:p>
        </w:tc>
        <w:tc>
          <w:tcPr>
            <w:tcW w:type="dxa" w:w="785"/>
          </w:tcPr>
          <w:p>
            <w:pPr>
              <w:spacing w:line="240" w:lineRule="auto" w:before="20" w:after="20"/>
              <w:jc w:val="right"/>
            </w:pPr>
            <w:r/>
            <w:r>
              <w:rPr>
                <w:rFonts w:ascii="Times New Roman" w:hAnsi="Times New Roman"/>
                <w:b w:val="0"/>
                <w:sz w:val="20"/>
              </w:rPr>
              <w:t>70.6</w:t>
            </w:r>
          </w:p>
        </w:tc>
      </w:tr>
      <w:tr>
        <w:tc>
          <w:tcPr>
            <w:tcW w:type="dxa" w:w="720"/>
          </w:tcPr>
          <w:p>
            <w:pPr>
              <w:spacing w:line="240" w:lineRule="auto" w:before="20" w:after="20"/>
              <w:jc w:val="left"/>
            </w:pPr>
            <w:r/>
            <w:r>
              <w:rPr>
                <w:rFonts w:ascii="Times New Roman" w:hAnsi="Times New Roman"/>
                <w:b w:val="0"/>
                <w:sz w:val="20"/>
              </w:rPr>
              <w:t>S08</w:t>
            </w:r>
          </w:p>
        </w:tc>
        <w:tc>
          <w:tcPr>
            <w:tcW w:type="dxa" w:w="785"/>
          </w:tcPr>
          <w:p>
            <w:pPr>
              <w:spacing w:line="240" w:lineRule="auto" w:before="20" w:after="20"/>
              <w:jc w:val="left"/>
            </w:pPr>
            <w:r/>
            <w:r>
              <w:rPr>
                <w:rFonts w:ascii="Times New Roman" w:hAnsi="Times New Roman"/>
                <w:b w:val="0"/>
                <w:sz w:val="20"/>
              </w:rPr>
              <w:t>Kankoita</w:t>
            </w:r>
          </w:p>
        </w:tc>
        <w:tc>
          <w:tcPr>
            <w:tcW w:type="dxa" w:w="785"/>
          </w:tcPr>
          <w:p>
            <w:pPr>
              <w:spacing w:line="240" w:lineRule="auto" w:before="20" w:after="20"/>
              <w:jc w:val="right"/>
            </w:pPr>
            <w:r/>
            <w:r>
              <w:rPr>
                <w:rFonts w:ascii="Times New Roman" w:hAnsi="Times New Roman"/>
                <w:b w:val="0"/>
                <w:sz w:val="20"/>
              </w:rPr>
              <w:t>257.23</w:t>
            </w:r>
          </w:p>
        </w:tc>
        <w:tc>
          <w:tcPr>
            <w:tcW w:type="dxa" w:w="785"/>
          </w:tcPr>
          <w:p>
            <w:pPr>
              <w:spacing w:line="240" w:lineRule="auto" w:before="20" w:after="20"/>
              <w:jc w:val="right"/>
            </w:pPr>
            <w:r/>
            <w:r>
              <w:rPr>
                <w:rFonts w:ascii="Times New Roman" w:hAnsi="Times New Roman"/>
                <w:b w:val="0"/>
                <w:sz w:val="20"/>
              </w:rPr>
              <w:t>267.95</w:t>
            </w:r>
          </w:p>
        </w:tc>
        <w:tc>
          <w:tcPr>
            <w:tcW w:type="dxa" w:w="785"/>
          </w:tcPr>
          <w:p>
            <w:pPr>
              <w:spacing w:line="240" w:lineRule="auto" w:before="20" w:after="20"/>
              <w:jc w:val="right"/>
            </w:pPr>
            <w:r/>
            <w:r>
              <w:rPr>
                <w:rFonts w:ascii="Times New Roman" w:hAnsi="Times New Roman"/>
                <w:b w:val="0"/>
                <w:sz w:val="20"/>
              </w:rPr>
              <w:t>281.8</w:t>
            </w:r>
          </w:p>
        </w:tc>
        <w:tc>
          <w:tcPr>
            <w:tcW w:type="dxa" w:w="785"/>
          </w:tcPr>
          <w:p>
            <w:pPr>
              <w:spacing w:line="240" w:lineRule="auto" w:before="20" w:after="20"/>
              <w:jc w:val="right"/>
            </w:pPr>
            <w:r/>
            <w:r>
              <w:rPr>
                <w:rFonts w:ascii="Times New Roman" w:hAnsi="Times New Roman"/>
                <w:b w:val="0"/>
                <w:sz w:val="20"/>
              </w:rPr>
              <w:t>330</w:t>
            </w:r>
          </w:p>
        </w:tc>
        <w:tc>
          <w:tcPr>
            <w:tcW w:type="dxa" w:w="785"/>
          </w:tcPr>
          <w:p>
            <w:pPr>
              <w:spacing w:line="240" w:lineRule="auto" w:before="20" w:after="20"/>
              <w:jc w:val="right"/>
            </w:pPr>
            <w:r/>
            <w:r>
              <w:rPr>
                <w:rFonts w:ascii="Times New Roman" w:hAnsi="Times New Roman"/>
                <w:b w:val="0"/>
                <w:sz w:val="20"/>
              </w:rPr>
              <w:t>350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S09</w:t>
            </w:r>
          </w:p>
        </w:tc>
        <w:tc>
          <w:tcPr>
            <w:tcW w:type="dxa" w:w="785"/>
          </w:tcPr>
          <w:p>
            <w:pPr>
              <w:spacing w:line="240" w:lineRule="auto" w:before="20" w:after="20"/>
              <w:jc w:val="left"/>
            </w:pPr>
            <w:r/>
            <w:r>
              <w:rPr>
                <w:rFonts w:ascii="Times New Roman" w:hAnsi="Times New Roman"/>
                <w:b w:val="0"/>
                <w:sz w:val="20"/>
              </w:rPr>
              <w:t>Loitta</w:t>
            </w:r>
          </w:p>
        </w:tc>
        <w:tc>
          <w:tcPr>
            <w:tcW w:type="dxa" w:w="785"/>
          </w:tcPr>
          <w:p>
            <w:pPr>
              <w:spacing w:line="240" w:lineRule="auto" w:before="20" w:after="20"/>
              <w:jc w:val="right"/>
            </w:pPr>
            <w:r/>
            <w:r>
              <w:rPr>
                <w:rFonts w:ascii="Times New Roman" w:hAnsi="Times New Roman"/>
                <w:b w:val="0"/>
                <w:sz w:val="20"/>
              </w:rPr>
              <w:t>202.31</w:t>
            </w:r>
          </w:p>
        </w:tc>
        <w:tc>
          <w:tcPr>
            <w:tcW w:type="dxa" w:w="785"/>
          </w:tcPr>
          <w:p>
            <w:pPr>
              <w:spacing w:line="240" w:lineRule="auto" w:before="20" w:after="20"/>
              <w:jc w:val="right"/>
            </w:pPr>
            <w:r/>
            <w:r>
              <w:rPr>
                <w:rFonts w:ascii="Times New Roman" w:hAnsi="Times New Roman"/>
                <w:b w:val="0"/>
                <w:sz w:val="20"/>
              </w:rPr>
              <w:t>211.68</w:t>
            </w:r>
          </w:p>
        </w:tc>
        <w:tc>
          <w:tcPr>
            <w:tcW w:type="dxa" w:w="785"/>
          </w:tcPr>
          <w:p>
            <w:pPr>
              <w:spacing w:line="240" w:lineRule="auto" w:before="20" w:after="20"/>
              <w:jc w:val="right"/>
            </w:pPr>
            <w:r/>
            <w:r>
              <w:rPr>
                <w:rFonts w:ascii="Times New Roman" w:hAnsi="Times New Roman"/>
                <w:b w:val="0"/>
                <w:sz w:val="20"/>
              </w:rPr>
              <w:t>226.61</w:t>
            </w:r>
          </w:p>
        </w:tc>
        <w:tc>
          <w:tcPr>
            <w:tcW w:type="dxa" w:w="785"/>
          </w:tcPr>
          <w:p>
            <w:pPr>
              <w:spacing w:line="240" w:lineRule="auto" w:before="20" w:after="20"/>
              <w:jc w:val="right"/>
            </w:pPr>
            <w:r/>
            <w:r>
              <w:rPr>
                <w:rFonts w:ascii="Times New Roman" w:hAnsi="Times New Roman"/>
                <w:b w:val="0"/>
                <w:sz w:val="20"/>
              </w:rPr>
              <w:t>242.5</w:t>
            </w:r>
          </w:p>
        </w:tc>
        <w:tc>
          <w:tcPr>
            <w:tcW w:type="dxa" w:w="785"/>
          </w:tcPr>
          <w:p>
            <w:pPr>
              <w:spacing w:line="240" w:lineRule="auto" w:before="20" w:after="20"/>
              <w:jc w:val="right"/>
            </w:pPr>
            <w:r/>
            <w:r>
              <w:rPr>
                <w:rFonts w:ascii="Times New Roman" w:hAnsi="Times New Roman"/>
                <w:b w:val="0"/>
                <w:sz w:val="20"/>
              </w:rPr>
              <w:t>270.62</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S10</w:t>
            </w:r>
          </w:p>
        </w:tc>
        <w:tc>
          <w:tcPr>
            <w:tcW w:type="dxa" w:w="785"/>
          </w:tcPr>
          <w:p>
            <w:pPr>
              <w:spacing w:line="240" w:lineRule="auto" w:before="20" w:after="20"/>
              <w:jc w:val="left"/>
            </w:pPr>
            <w:r/>
            <w:r>
              <w:rPr>
                <w:rFonts w:ascii="Times New Roman" w:hAnsi="Times New Roman"/>
                <w:b w:val="0"/>
                <w:sz w:val="20"/>
              </w:rPr>
              <w:t>Harina</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t>202.57</w:t>
            </w:r>
          </w:p>
        </w:tc>
        <w:tc>
          <w:tcPr>
            <w:tcW w:type="dxa" w:w="785"/>
          </w:tcPr>
          <w:p>
            <w:pPr>
              <w:spacing w:line="240" w:lineRule="auto" w:before="20" w:after="20"/>
              <w:jc w:val="right"/>
            </w:pPr>
            <w:r/>
            <w:r>
              <w:rPr>
                <w:rFonts w:ascii="Times New Roman" w:hAnsi="Times New Roman"/>
                <w:b w:val="0"/>
                <w:sz w:val="20"/>
              </w:rPr>
              <w:t>238.08</w:t>
            </w:r>
          </w:p>
        </w:tc>
        <w:tc>
          <w:tcPr>
            <w:tcW w:type="dxa" w:w="785"/>
          </w:tcPr>
          <w:p>
            <w:pPr>
              <w:spacing w:line="240" w:lineRule="auto" w:before="20" w:after="20"/>
              <w:jc w:val="right"/>
            </w:pPr>
            <w:r/>
            <w:r>
              <w:rPr>
                <w:rFonts w:ascii="Times New Roman" w:hAnsi="Times New Roman"/>
                <w:b w:val="0"/>
                <w:sz w:val="20"/>
              </w:rPr>
              <w:t>230</w:t>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c>
          <w:tcPr>
            <w:tcW w:type="dxa" w:w="785"/>
          </w:tcPr>
          <w:p>
            <w:pPr>
              <w:spacing w:line="240" w:lineRule="auto" w:before="20" w:after="20"/>
              <w:jc w:val="right"/>
            </w:pPr>
            <w:r/>
            <w:r>
              <w:rPr>
                <w:rFonts w:ascii="Times New Roman" w:hAnsi="Times New Roman"/>
                <w:b w:val="0"/>
                <w:sz w:val="20"/>
              </w:rPr>
            </w:r>
          </w:p>
        </w:tc>
      </w:tr>
      <w:tr>
        <w:tc>
          <w:tcPr>
            <w:tcW w:type="dxa" w:w="720"/>
          </w:tcPr>
          <w:p>
            <w:pPr>
              <w:spacing w:line="240" w:lineRule="auto" w:before="20" w:after="20"/>
              <w:jc w:val="left"/>
            </w:pPr>
            <w:r/>
            <w:r>
              <w:rPr>
                <w:rFonts w:ascii="Times New Roman" w:hAnsi="Times New Roman"/>
                <w:b w:val="0"/>
                <w:sz w:val="20"/>
              </w:rPr>
              <w:t>ALL</w:t>
            </w:r>
          </w:p>
        </w:tc>
        <w:tc>
          <w:tcPr>
            <w:tcW w:type="dxa" w:w="785"/>
          </w:tcPr>
          <w:p>
            <w:pPr>
              <w:spacing w:line="240" w:lineRule="auto" w:before="20" w:after="20"/>
              <w:jc w:val="left"/>
            </w:pPr>
            <w:r/>
            <w:r>
              <w:rPr>
                <w:rFonts w:ascii="Times New Roman" w:hAnsi="Times New Roman"/>
                <w:b w:val="0"/>
                <w:sz w:val="20"/>
              </w:rPr>
              <w:t>Mean of species means (chain-complete: S01, S02, S04, S05, S06, S07)</w:t>
            </w:r>
          </w:p>
        </w:tc>
        <w:tc>
          <w:tcPr>
            <w:tcW w:type="dxa" w:w="785"/>
          </w:tcPr>
          <w:p>
            <w:pPr>
              <w:spacing w:line="240" w:lineRule="auto" w:before="20" w:after="20"/>
              <w:jc w:val="right"/>
            </w:pPr>
            <w:r/>
            <w:r>
              <w:rPr>
                <w:rFonts w:ascii="Times New Roman" w:hAnsi="Times New Roman"/>
                <w:b w:val="0"/>
                <w:sz w:val="20"/>
              </w:rPr>
              <w:t>657.78</w:t>
            </w:r>
          </w:p>
        </w:tc>
        <w:tc>
          <w:tcPr>
            <w:tcW w:type="dxa" w:w="785"/>
          </w:tcPr>
          <w:p>
            <w:pPr>
              <w:spacing w:line="240" w:lineRule="auto" w:before="20" w:after="20"/>
              <w:jc w:val="right"/>
            </w:pPr>
            <w:r/>
            <w:r>
              <w:rPr>
                <w:rFonts w:ascii="Times New Roman" w:hAnsi="Times New Roman"/>
                <w:b w:val="0"/>
                <w:sz w:val="20"/>
              </w:rPr>
              <w:t>687.72</w:t>
            </w:r>
          </w:p>
        </w:tc>
        <w:tc>
          <w:tcPr>
            <w:tcW w:type="dxa" w:w="785"/>
          </w:tcPr>
          <w:p>
            <w:pPr>
              <w:spacing w:line="240" w:lineRule="auto" w:before="20" w:after="20"/>
              <w:jc w:val="right"/>
            </w:pPr>
            <w:r/>
            <w:r>
              <w:rPr>
                <w:rFonts w:ascii="Times New Roman" w:hAnsi="Times New Roman"/>
                <w:b w:val="0"/>
                <w:sz w:val="20"/>
              </w:rPr>
              <w:t>792.59</w:t>
            </w:r>
          </w:p>
        </w:tc>
        <w:tc>
          <w:tcPr>
            <w:tcW w:type="dxa" w:w="785"/>
          </w:tcPr>
          <w:p>
            <w:pPr>
              <w:spacing w:line="240" w:lineRule="auto" w:before="20" w:after="20"/>
              <w:jc w:val="right"/>
            </w:pPr>
            <w:r/>
            <w:r>
              <w:rPr>
                <w:rFonts w:ascii="Times New Roman" w:hAnsi="Times New Roman"/>
                <w:b w:val="0"/>
                <w:sz w:val="20"/>
              </w:rPr>
              <w:t>893.15</w:t>
            </w:r>
          </w:p>
        </w:tc>
        <w:tc>
          <w:tcPr>
            <w:tcW w:type="dxa" w:w="785"/>
          </w:tcPr>
          <w:p>
            <w:pPr>
              <w:spacing w:line="240" w:lineRule="auto" w:before="20" w:after="20"/>
              <w:jc w:val="right"/>
            </w:pPr>
            <w:r/>
            <w:r>
              <w:rPr>
                <w:rFonts w:ascii="Times New Roman" w:hAnsi="Times New Roman"/>
                <w:b w:val="0"/>
                <w:sz w:val="20"/>
              </w:rPr>
              <w:t>909.13</w:t>
            </w:r>
          </w:p>
        </w:tc>
        <w:tc>
          <w:tcPr>
            <w:tcW w:type="dxa" w:w="785"/>
          </w:tcPr>
          <w:p>
            <w:pPr>
              <w:spacing w:line="240" w:lineRule="auto" w:before="20" w:after="20"/>
              <w:jc w:val="right"/>
            </w:pPr>
            <w:r/>
            <w:r>
              <w:rPr>
                <w:rFonts w:ascii="Times New Roman" w:hAnsi="Times New Roman"/>
                <w:b w:val="0"/>
                <w:sz w:val="20"/>
              </w:rPr>
              <w:t>29.94</w:t>
            </w:r>
          </w:p>
        </w:tc>
        <w:tc>
          <w:tcPr>
            <w:tcW w:type="dxa" w:w="785"/>
          </w:tcPr>
          <w:p>
            <w:pPr>
              <w:spacing w:line="240" w:lineRule="auto" w:before="20" w:after="20"/>
              <w:jc w:val="right"/>
            </w:pPr>
            <w:r/>
            <w:r>
              <w:rPr>
                <w:rFonts w:ascii="Times New Roman" w:hAnsi="Times New Roman"/>
                <w:b w:val="0"/>
                <w:sz w:val="20"/>
              </w:rPr>
              <w:t>104.87</w:t>
            </w:r>
          </w:p>
        </w:tc>
        <w:tc>
          <w:tcPr>
            <w:tcW w:type="dxa" w:w="785"/>
          </w:tcPr>
          <w:p>
            <w:pPr>
              <w:spacing w:line="240" w:lineRule="auto" w:before="20" w:after="20"/>
              <w:jc w:val="right"/>
            </w:pPr>
            <w:r/>
            <w:r>
              <w:rPr>
                <w:rFonts w:ascii="Times New Roman" w:hAnsi="Times New Roman"/>
                <w:b w:val="0"/>
                <w:sz w:val="20"/>
              </w:rPr>
              <w:t>116.54</w:t>
            </w:r>
          </w:p>
        </w:tc>
        <w:tc>
          <w:tcPr>
            <w:tcW w:type="dxa" w:w="785"/>
          </w:tcPr>
          <w:p>
            <w:pPr>
              <w:spacing w:line="240" w:lineRule="auto" w:before="20" w:after="20"/>
              <w:jc w:val="right"/>
            </w:pPr>
            <w:r/>
            <w:r>
              <w:rPr>
                <w:rFonts w:ascii="Times New Roman" w:hAnsi="Times New Roman"/>
                <w:b w:val="0"/>
                <w:sz w:val="20"/>
              </w:rPr>
              <w:t>251.35</w:t>
            </w:r>
          </w:p>
        </w:tc>
        <w:tc>
          <w:tcPr>
            <w:tcW w:type="dxa" w:w="785"/>
          </w:tcPr>
          <w:p>
            <w:pPr>
              <w:spacing w:line="240" w:lineRule="auto" w:before="20" w:after="20"/>
              <w:jc w:val="right"/>
            </w:pPr>
            <w:r/>
            <w:r>
              <w:rPr>
                <w:rFonts w:ascii="Times New Roman" w:hAnsi="Times New Roman"/>
                <w:b w:val="0"/>
                <w:sz w:val="20"/>
              </w:rPr>
              <w:t>72.4</w:t>
            </w:r>
          </w:p>
        </w:tc>
      </w:tr>
    </w:tbl>
    <w:p>
      <w:pPr>
        <w:spacing w:line="264" w:lineRule="auto" w:before="40" w:after="120"/>
        <w:jc w:val="left"/>
      </w:pPr>
      <w:r>
        <w:rPr>
          <w:rFonts w:ascii="Times New Roman" w:hAnsi="Times New Roman"/>
          <w:b w:val="0"/>
          <w:i/>
          <w:sz w:val="18"/>
        </w:rPr>
        <w:t>Source: buy-sell price grids and Form C consumer slips. Prices are BDT per kilogram. Producer prices are first-sale quotations at the landing-linked markets M1 and M6 only; aratdar buy quotes at the four retail markets are downstream wholesale purchases and are excluded from the producer level by construction. Consumer-paid prices are the realised prices paid by Form C respondents, not retailer asking quotes. Chain-level margins and producer shares are reported only for the six chain-complete species; the remaining four are descriptive only and are flagged as such in the source table.</w:t>
      </w:r>
    </w:p>
    <w:p>
      <w:pPr>
        <w:spacing w:line="317" w:lineRule="auto" w:before="0" w:after="200"/>
        <w:jc w:val="left"/>
      </w:pPr>
      <w:r>
        <w:rPr>
          <w:rFonts w:ascii="Times New Roman" w:hAnsi="Times New Roman"/>
          <w:b w:val="0"/>
          <w:i w:val="0"/>
          <w:sz w:val="24"/>
        </w:rPr>
        <w:t>The pooled producer's share is 72.4 per cent of the consumer's taka, against a price spread of BDT 251.34 per kg, or 27.6 per cent. This is high by national standards and sits at the top of the reported range, above the 61.46 to 73.83 per cent band Dipty et al. (2026) report for coastal Noakhali and comparable to the 74 per cent Rafi et al. (2024) report for the Bagerhat primary market. It should be compared with landing-city benchmarks rather than with long national chains, where Islam et al. (2006) report fishermen receiving about 68 per cent and Jahan et al. (2024) document the compression that additional intermediaries produce.</w:t>
      </w:r>
    </w:p>
    <w:p>
      <w:pPr>
        <w:spacing w:line="317" w:lineRule="auto" w:before="0" w:after="200"/>
        <w:jc w:val="left"/>
      </w:pPr>
      <w:r>
        <w:rPr>
          <w:rFonts w:ascii="Times New Roman" w:hAnsi="Times New Roman"/>
          <w:b w:val="0"/>
          <w:i w:val="0"/>
          <w:sz w:val="24"/>
        </w:rPr>
        <w:t>Segment margins are BDT 29.94 per kg for the aratdar segment, BDT 104.87 per kg for the bepari or faria segment and BDT 116.53 per kg for the retailer segment. They telescope to the total spread by construction and sum with the producer's share to 100.0 per cent. The dominant margins lie downstream of the landing: the bepari and retailer segments together account for BDT 221.40 per kg, or 88.1 per cent of the total spread, while the segment nearest the fisher accounts for 11.9 per cent. Figure 4.1 displays this distribution.</w:t>
      </w:r>
    </w:p>
    <w:p>
      <w:pPr>
        <w:keepNext/>
        <w:spacing w:line="240" w:lineRule="auto" w:before="200" w:after="80"/>
        <w:jc w:val="center"/>
      </w:pPr>
      <w:r>
        <w:rPr>
          <w:rFonts w:ascii="Times New Roman" w:hAnsi="Times New Roman"/>
          <w:b/>
          <w:i w:val="0"/>
          <w:sz w:val="20"/>
        </w:rPr>
        <w:t>Figure 4.1: Segment marketing margin by intermediary type, BDT per kilogram</w:t>
      </w:r>
    </w:p>
    <w:p>
      <w:pPr>
        <w:spacing w:line="240" w:lineRule="auto" w:before="80" w:after="4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1_margin_by_intermediary.png"/>
                    <pic:cNvPicPr/>
                  </pic:nvPicPr>
                  <pic:blipFill>
                    <a:blip r:embed="rId10"/>
                    <a:stretch>
                      <a:fillRect/>
                    </a:stretch>
                  </pic:blipFill>
                  <pic:spPr>
                    <a:xfrm>
                      <a:off x="0" y="0"/>
                      <a:ext cx="5486400" cy="411480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margin decomposition in Table 4.6.</w:t>
      </w:r>
    </w:p>
    <w:p>
      <w:pPr>
        <w:spacing w:line="317" w:lineRule="auto" w:before="0" w:after="200"/>
        <w:jc w:val="left"/>
      </w:pPr>
      <w:r>
        <w:rPr>
          <w:rFonts w:ascii="Times New Roman" w:hAnsi="Times New Roman"/>
          <w:b w:val="0"/>
          <w:i w:val="0"/>
          <w:sz w:val="24"/>
        </w:rPr>
        <w:t>The interpretation is that the margin is not primarily extracted at the point of first sale. It is created further along the chain, by the transport, icing, financing, fragmentation and retail service functions that stand between the landing and the consumer's bag. This is a materially different picture from the standard critique of fish marketing, which locates the problem at the landing and in the person of the commission agent, and it is consistent with Jahan et al.'s (2024) finding that secondary and consumer-market margins have risen over two decades while primary-market margins have fallen.</w:t>
      </w:r>
    </w:p>
    <w:p>
      <w:pPr>
        <w:spacing w:line="317" w:lineRule="auto" w:before="0" w:after="200"/>
        <w:jc w:val="left"/>
      </w:pPr>
      <w:r>
        <w:rPr>
          <w:rFonts w:ascii="Times New Roman" w:hAnsi="Times New Roman"/>
          <w:b w:val="0"/>
          <w:i w:val="0"/>
          <w:sz w:val="24"/>
        </w:rPr>
        <w:t>The species detail in Table 4.6 shows that the pattern is not uniform. Koral returns the highest producer's share at 74.3 per cent and Rupchanda 73.1 per cent, while Surma returns the lowest at 70.9 per cent and Poa 70.6 per cent. The aratdar margin varies more in relative terms than any other component, from BDT 13.40 per kg on Churi to BDT 51.08 on Rupchanda, a factor of nearly four, which reflects the fact that the arat's commission is charged as a percentage of lot value and therefore scales with the price of the species. The retailer margin is the most stable component in absolute terms across the six species, ranging from BDT 55.40 to BDT 198.95.</w:t>
      </w:r>
    </w:p>
    <w:p>
      <w:pPr>
        <w:spacing w:line="317" w:lineRule="auto" w:before="0" w:after="200"/>
        <w:jc w:val="left"/>
      </w:pPr>
      <w:r>
        <w:rPr>
          <w:rFonts w:ascii="Times New Roman" w:hAnsi="Times New Roman"/>
          <w:b w:val="0"/>
          <w:i w:val="0"/>
          <w:sz w:val="24"/>
        </w:rPr>
        <w:t>Two caveats bound this reading. First, the producer price is a first-sale quotation taken at the landing-linked markets rather than a boat-level fisher interview, so the 72.4 per cent is a share of the consumer's taka reaching the first-sale point, not a verified fisher income share. Second, the margin is a gross figure at this stage; whether the downstream margin is a payment for services or a rent depends on the costs incurred in creating it, which is the question Section 4.9 takes up.</w:t>
      </w:r>
    </w:p>
    <w:p>
      <w:pPr>
        <w:pStyle w:val="Heading2"/>
      </w:pPr>
      <w:r>
        <w:t>4.8 Marketing efficiency and the distribution of the consumer's taka (Objective 2)</w:t>
      </w:r>
    </w:p>
    <w:p>
      <w:pPr>
        <w:keepNext/>
        <w:spacing w:line="240" w:lineRule="auto" w:before="200" w:after="60"/>
        <w:jc w:val="center"/>
      </w:pPr>
      <w:r>
        <w:rPr>
          <w:rFonts w:ascii="Times New Roman" w:hAnsi="Times New Roman"/>
          <w:b/>
          <w:i w:val="0"/>
          <w:sz w:val="20"/>
        </w:rPr>
        <w:t>Table 4.7: Chain-level marketing indicators by species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821"/>
        <w:gridCol w:w="821"/>
        <w:gridCol w:w="821"/>
        <w:gridCol w:w="821"/>
        <w:gridCol w:w="821"/>
        <w:gridCol w:w="821"/>
        <w:gridCol w:w="821"/>
        <w:gridCol w:w="821"/>
        <w:gridCol w:w="821"/>
        <w:gridCol w:w="821"/>
        <w:gridCol w:w="821"/>
      </w:tblGrid>
      <w:tr>
        <w:tc>
          <w:tcPr>
            <w:tcW w:type="dxa" w:w="720"/>
          </w:tcPr>
          <w:p>
            <w:pPr>
              <w:spacing w:line="240" w:lineRule="auto" w:before="20" w:after="20"/>
              <w:jc w:val="left"/>
            </w:pPr>
            <w:r/>
            <w:r>
              <w:rPr>
                <w:rFonts w:ascii="Times New Roman" w:hAnsi="Times New Roman"/>
                <w:b/>
                <w:sz w:val="20"/>
              </w:rPr>
              <w:t>Code</w:t>
            </w:r>
          </w:p>
        </w:tc>
        <w:tc>
          <w:tcPr>
            <w:tcW w:type="dxa" w:w="864"/>
          </w:tcPr>
          <w:p>
            <w:pPr>
              <w:spacing w:line="240" w:lineRule="auto" w:before="20" w:after="20"/>
              <w:jc w:val="left"/>
            </w:pPr>
            <w:r/>
            <w:r>
              <w:rPr>
                <w:rFonts w:ascii="Times New Roman" w:hAnsi="Times New Roman"/>
                <w:b/>
                <w:sz w:val="20"/>
              </w:rPr>
              <w:t>Species</w:t>
            </w:r>
          </w:p>
        </w:tc>
        <w:tc>
          <w:tcPr>
            <w:tcW w:type="dxa" w:w="864"/>
          </w:tcPr>
          <w:p>
            <w:pPr>
              <w:spacing w:line="240" w:lineRule="auto" w:before="20" w:after="20"/>
              <w:jc w:val="right"/>
            </w:pPr>
            <w:r/>
            <w:r>
              <w:rPr>
                <w:rFonts w:ascii="Times New Roman" w:hAnsi="Times New Roman"/>
                <w:b/>
                <w:sz w:val="20"/>
              </w:rPr>
              <w:t>Producer</w:t>
            </w:r>
          </w:p>
        </w:tc>
        <w:tc>
          <w:tcPr>
            <w:tcW w:type="dxa" w:w="864"/>
          </w:tcPr>
          <w:p>
            <w:pPr>
              <w:spacing w:line="240" w:lineRule="auto" w:before="20" w:after="20"/>
              <w:jc w:val="right"/>
            </w:pPr>
            <w:r/>
            <w:r>
              <w:rPr>
                <w:rFonts w:ascii="Times New Roman" w:hAnsi="Times New Roman"/>
                <w:b/>
                <w:sz w:val="20"/>
              </w:rPr>
              <w:t>Consumer</w:t>
            </w:r>
          </w:p>
        </w:tc>
        <w:tc>
          <w:tcPr>
            <w:tcW w:type="dxa" w:w="864"/>
          </w:tcPr>
          <w:p>
            <w:pPr>
              <w:spacing w:line="240" w:lineRule="auto" w:before="20" w:after="20"/>
              <w:jc w:val="right"/>
            </w:pPr>
            <w:r/>
            <w:r>
              <w:rPr>
                <w:rFonts w:ascii="Times New Roman" w:hAnsi="Times New Roman"/>
                <w:b/>
                <w:sz w:val="20"/>
              </w:rPr>
              <w:t>Spread</w:t>
            </w:r>
          </w:p>
        </w:tc>
        <w:tc>
          <w:tcPr>
            <w:tcW w:type="dxa" w:w="864"/>
          </w:tcPr>
          <w:p>
            <w:pPr>
              <w:spacing w:line="240" w:lineRule="auto" w:before="20" w:after="20"/>
              <w:jc w:val="right"/>
            </w:pPr>
            <w:r/>
            <w:r>
              <w:rPr>
                <w:rFonts w:ascii="Times New Roman" w:hAnsi="Times New Roman"/>
                <w:b/>
                <w:sz w:val="20"/>
              </w:rPr>
              <w:t>GMM, per cent</w:t>
            </w:r>
          </w:p>
        </w:tc>
        <w:tc>
          <w:tcPr>
            <w:tcW w:type="dxa" w:w="864"/>
          </w:tcPr>
          <w:p>
            <w:pPr>
              <w:spacing w:line="240" w:lineRule="auto" w:before="20" w:after="20"/>
              <w:jc w:val="right"/>
            </w:pPr>
            <w:r/>
            <w:r>
              <w:rPr>
                <w:rFonts w:ascii="Times New Roman" w:hAnsi="Times New Roman"/>
                <w:b/>
                <w:sz w:val="20"/>
              </w:rPr>
              <w:t>Chain cost</w:t>
            </w:r>
          </w:p>
        </w:tc>
        <w:tc>
          <w:tcPr>
            <w:tcW w:type="dxa" w:w="864"/>
          </w:tcPr>
          <w:p>
            <w:pPr>
              <w:spacing w:line="240" w:lineRule="auto" w:before="20" w:after="20"/>
              <w:jc w:val="right"/>
            </w:pPr>
            <w:r/>
            <w:r>
              <w:rPr>
                <w:rFonts w:ascii="Times New Roman" w:hAnsi="Times New Roman"/>
                <w:b/>
                <w:sz w:val="20"/>
              </w:rPr>
              <w:t>NMM, per cent</w:t>
            </w:r>
          </w:p>
        </w:tc>
        <w:tc>
          <w:tcPr>
            <w:tcW w:type="dxa" w:w="864"/>
          </w:tcPr>
          <w:p>
            <w:pPr>
              <w:spacing w:line="240" w:lineRule="auto" w:before="20" w:after="20"/>
              <w:jc w:val="right"/>
            </w:pPr>
            <w:r/>
            <w:r>
              <w:rPr>
                <w:rFonts w:ascii="Times New Roman" w:hAnsi="Times New Roman"/>
                <w:b/>
                <w:sz w:val="20"/>
              </w:rPr>
              <w:t>PS, per cent</w:t>
            </w:r>
          </w:p>
        </w:tc>
        <w:tc>
          <w:tcPr>
            <w:tcW w:type="dxa" w:w="864"/>
          </w:tcPr>
          <w:p>
            <w:pPr>
              <w:spacing w:line="240" w:lineRule="auto" w:before="20" w:after="20"/>
              <w:jc w:val="right"/>
            </w:pPr>
            <w:r/>
            <w:r>
              <w:rPr>
                <w:rFonts w:ascii="Times New Roman" w:hAnsi="Times New Roman"/>
                <w:b/>
                <w:sz w:val="20"/>
              </w:rPr>
              <w:t>ME consumer</w:t>
            </w:r>
          </w:p>
        </w:tc>
        <w:tc>
          <w:tcPr>
            <w:tcW w:type="dxa" w:w="864"/>
          </w:tcPr>
          <w:p>
            <w:pPr>
              <w:spacing w:line="240" w:lineRule="auto" w:before="20" w:after="20"/>
              <w:jc w:val="right"/>
            </w:pPr>
            <w:r/>
            <w:r>
              <w:rPr>
                <w:rFonts w:ascii="Times New Roman" w:hAnsi="Times New Roman"/>
                <w:b/>
                <w:sz w:val="20"/>
              </w:rPr>
              <w:t>ME producer</w:t>
            </w:r>
          </w:p>
        </w:tc>
      </w:tr>
      <w:tr>
        <w:tc>
          <w:tcPr>
            <w:tcW w:type="dxa" w:w="720"/>
          </w:tcPr>
          <w:p>
            <w:pPr>
              <w:spacing w:line="240" w:lineRule="auto" w:before="20" w:after="20"/>
              <w:jc w:val="left"/>
            </w:pPr>
            <w:r/>
            <w:r>
              <w:rPr>
                <w:rFonts w:ascii="Times New Roman" w:hAnsi="Times New Roman"/>
                <w:b w:val="0"/>
                <w:sz w:val="20"/>
              </w:rPr>
              <w:t>S01</w:t>
            </w:r>
          </w:p>
        </w:tc>
        <w:tc>
          <w:tcPr>
            <w:tcW w:type="dxa" w:w="864"/>
          </w:tcPr>
          <w:p>
            <w:pPr>
              <w:spacing w:line="240" w:lineRule="auto" w:before="20" w:after="20"/>
              <w:jc w:val="left"/>
            </w:pPr>
            <w:r/>
            <w:r>
              <w:rPr>
                <w:rFonts w:ascii="Times New Roman" w:hAnsi="Times New Roman"/>
                <w:b w:val="0"/>
                <w:sz w:val="20"/>
              </w:rPr>
              <w:t>Ilish</w:t>
            </w:r>
          </w:p>
        </w:tc>
        <w:tc>
          <w:tcPr>
            <w:tcW w:type="dxa" w:w="864"/>
          </w:tcPr>
          <w:p>
            <w:pPr>
              <w:spacing w:line="240" w:lineRule="auto" w:before="20" w:after="20"/>
              <w:jc w:val="right"/>
            </w:pPr>
            <w:r/>
            <w:r>
              <w:rPr>
                <w:rFonts w:ascii="Times New Roman" w:hAnsi="Times New Roman"/>
                <w:b w:val="0"/>
                <w:sz w:val="20"/>
              </w:rPr>
              <w:t>1,045.02</w:t>
            </w:r>
          </w:p>
        </w:tc>
        <w:tc>
          <w:tcPr>
            <w:tcW w:type="dxa" w:w="864"/>
          </w:tcPr>
          <w:p>
            <w:pPr>
              <w:spacing w:line="240" w:lineRule="auto" w:before="20" w:after="20"/>
              <w:jc w:val="right"/>
            </w:pPr>
            <w:r/>
            <w:r>
              <w:rPr>
                <w:rFonts w:ascii="Times New Roman" w:hAnsi="Times New Roman"/>
                <w:b w:val="0"/>
                <w:sz w:val="20"/>
              </w:rPr>
              <w:t>1,456.50</w:t>
            </w:r>
          </w:p>
        </w:tc>
        <w:tc>
          <w:tcPr>
            <w:tcW w:type="dxa" w:w="864"/>
          </w:tcPr>
          <w:p>
            <w:pPr>
              <w:spacing w:line="240" w:lineRule="auto" w:before="20" w:after="20"/>
              <w:jc w:val="right"/>
            </w:pPr>
            <w:r/>
            <w:r>
              <w:rPr>
                <w:rFonts w:ascii="Times New Roman" w:hAnsi="Times New Roman"/>
                <w:b w:val="0"/>
                <w:sz w:val="20"/>
              </w:rPr>
              <w:t>411.48</w:t>
            </w:r>
          </w:p>
        </w:tc>
        <w:tc>
          <w:tcPr>
            <w:tcW w:type="dxa" w:w="864"/>
          </w:tcPr>
          <w:p>
            <w:pPr>
              <w:spacing w:line="240" w:lineRule="auto" w:before="20" w:after="20"/>
              <w:jc w:val="right"/>
            </w:pPr>
            <w:r/>
            <w:r>
              <w:rPr>
                <w:rFonts w:ascii="Times New Roman" w:hAnsi="Times New Roman"/>
                <w:b w:val="0"/>
                <w:sz w:val="20"/>
              </w:rPr>
              <w:t>28.3</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18.9</w:t>
            </w:r>
          </w:p>
        </w:tc>
        <w:tc>
          <w:tcPr>
            <w:tcW w:type="dxa" w:w="864"/>
          </w:tcPr>
          <w:p>
            <w:pPr>
              <w:spacing w:line="240" w:lineRule="auto" w:before="20" w:after="20"/>
              <w:jc w:val="right"/>
            </w:pPr>
            <w:r/>
            <w:r>
              <w:rPr>
                <w:rFonts w:ascii="Times New Roman" w:hAnsi="Times New Roman"/>
                <w:b w:val="0"/>
                <w:sz w:val="20"/>
              </w:rPr>
              <w:t>71.7</w:t>
            </w:r>
          </w:p>
        </w:tc>
        <w:tc>
          <w:tcPr>
            <w:tcW w:type="dxa" w:w="864"/>
          </w:tcPr>
          <w:p>
            <w:pPr>
              <w:spacing w:line="240" w:lineRule="auto" w:before="20" w:after="20"/>
              <w:jc w:val="right"/>
            </w:pPr>
            <w:r/>
            <w:r>
              <w:rPr>
                <w:rFonts w:ascii="Times New Roman" w:hAnsi="Times New Roman"/>
                <w:b w:val="0"/>
                <w:sz w:val="20"/>
              </w:rPr>
              <w:t>2.659</w:t>
            </w:r>
          </w:p>
        </w:tc>
        <w:tc>
          <w:tcPr>
            <w:tcW w:type="dxa" w:w="864"/>
          </w:tcPr>
          <w:p>
            <w:pPr>
              <w:spacing w:line="240" w:lineRule="auto" w:before="20" w:after="20"/>
              <w:jc w:val="right"/>
            </w:pPr>
            <w:r/>
            <w:r>
              <w:rPr>
                <w:rFonts w:ascii="Times New Roman" w:hAnsi="Times New Roman"/>
                <w:b w:val="0"/>
                <w:sz w:val="20"/>
              </w:rPr>
              <w:t>1.908</w:t>
            </w:r>
          </w:p>
        </w:tc>
      </w:tr>
      <w:tr>
        <w:tc>
          <w:tcPr>
            <w:tcW w:type="dxa" w:w="720"/>
          </w:tcPr>
          <w:p>
            <w:pPr>
              <w:spacing w:line="240" w:lineRule="auto" w:before="20" w:after="20"/>
              <w:jc w:val="left"/>
            </w:pPr>
            <w:r/>
            <w:r>
              <w:rPr>
                <w:rFonts w:ascii="Times New Roman" w:hAnsi="Times New Roman"/>
                <w:b w:val="0"/>
                <w:sz w:val="20"/>
              </w:rPr>
              <w:t>S02</w:t>
            </w:r>
          </w:p>
        </w:tc>
        <w:tc>
          <w:tcPr>
            <w:tcW w:type="dxa" w:w="864"/>
          </w:tcPr>
          <w:p>
            <w:pPr>
              <w:spacing w:line="240" w:lineRule="auto" w:before="20" w:after="20"/>
              <w:jc w:val="left"/>
            </w:pPr>
            <w:r/>
            <w:r>
              <w:rPr>
                <w:rFonts w:ascii="Times New Roman" w:hAnsi="Times New Roman"/>
                <w:b w:val="0"/>
                <w:sz w:val="20"/>
              </w:rPr>
              <w:t>Rupchanda</w:t>
            </w:r>
          </w:p>
        </w:tc>
        <w:tc>
          <w:tcPr>
            <w:tcW w:type="dxa" w:w="864"/>
          </w:tcPr>
          <w:p>
            <w:pPr>
              <w:spacing w:line="240" w:lineRule="auto" w:before="20" w:after="20"/>
              <w:jc w:val="right"/>
            </w:pPr>
            <w:r/>
            <w:r>
              <w:rPr>
                <w:rFonts w:ascii="Times New Roman" w:hAnsi="Times New Roman"/>
                <w:b w:val="0"/>
                <w:sz w:val="20"/>
              </w:rPr>
              <w:t>1,147.17</w:t>
            </w:r>
          </w:p>
        </w:tc>
        <w:tc>
          <w:tcPr>
            <w:tcW w:type="dxa" w:w="864"/>
          </w:tcPr>
          <w:p>
            <w:pPr>
              <w:spacing w:line="240" w:lineRule="auto" w:before="20" w:after="20"/>
              <w:jc w:val="right"/>
            </w:pPr>
            <w:r/>
            <w:r>
              <w:rPr>
                <w:rFonts w:ascii="Times New Roman" w:hAnsi="Times New Roman"/>
                <w:b w:val="0"/>
                <w:sz w:val="20"/>
              </w:rPr>
              <w:t>1,568.33</w:t>
            </w:r>
          </w:p>
        </w:tc>
        <w:tc>
          <w:tcPr>
            <w:tcW w:type="dxa" w:w="864"/>
          </w:tcPr>
          <w:p>
            <w:pPr>
              <w:spacing w:line="240" w:lineRule="auto" w:before="20" w:after="20"/>
              <w:jc w:val="right"/>
            </w:pPr>
            <w:r/>
            <w:r>
              <w:rPr>
                <w:rFonts w:ascii="Times New Roman" w:hAnsi="Times New Roman"/>
                <w:b w:val="0"/>
                <w:sz w:val="20"/>
              </w:rPr>
              <w:t>421.16</w:t>
            </w:r>
          </w:p>
        </w:tc>
        <w:tc>
          <w:tcPr>
            <w:tcW w:type="dxa" w:w="864"/>
          </w:tcPr>
          <w:p>
            <w:pPr>
              <w:spacing w:line="240" w:lineRule="auto" w:before="20" w:after="20"/>
              <w:jc w:val="right"/>
            </w:pPr>
            <w:r/>
            <w:r>
              <w:rPr>
                <w:rFonts w:ascii="Times New Roman" w:hAnsi="Times New Roman"/>
                <w:b w:val="0"/>
                <w:sz w:val="20"/>
              </w:rPr>
              <w:t>26.9</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18.2</w:t>
            </w:r>
          </w:p>
        </w:tc>
        <w:tc>
          <w:tcPr>
            <w:tcW w:type="dxa" w:w="864"/>
          </w:tcPr>
          <w:p>
            <w:pPr>
              <w:spacing w:line="240" w:lineRule="auto" w:before="20" w:after="20"/>
              <w:jc w:val="right"/>
            </w:pPr>
            <w:r/>
            <w:r>
              <w:rPr>
                <w:rFonts w:ascii="Times New Roman" w:hAnsi="Times New Roman"/>
                <w:b w:val="0"/>
                <w:sz w:val="20"/>
              </w:rPr>
              <w:t>73.1</w:t>
            </w:r>
          </w:p>
        </w:tc>
        <w:tc>
          <w:tcPr>
            <w:tcW w:type="dxa" w:w="864"/>
          </w:tcPr>
          <w:p>
            <w:pPr>
              <w:spacing w:line="240" w:lineRule="auto" w:before="20" w:after="20"/>
              <w:jc w:val="right"/>
            </w:pPr>
            <w:r/>
            <w:r>
              <w:rPr>
                <w:rFonts w:ascii="Times New Roman" w:hAnsi="Times New Roman"/>
                <w:b w:val="0"/>
                <w:sz w:val="20"/>
              </w:rPr>
              <w:t>2.814</w:t>
            </w:r>
          </w:p>
        </w:tc>
        <w:tc>
          <w:tcPr>
            <w:tcW w:type="dxa" w:w="864"/>
          </w:tcPr>
          <w:p>
            <w:pPr>
              <w:spacing w:line="240" w:lineRule="auto" w:before="20" w:after="20"/>
              <w:jc w:val="right"/>
            </w:pPr>
            <w:r/>
            <w:r>
              <w:rPr>
                <w:rFonts w:ascii="Times New Roman" w:hAnsi="Times New Roman"/>
                <w:b w:val="0"/>
                <w:sz w:val="20"/>
              </w:rPr>
              <w:t>2.058</w:t>
            </w:r>
          </w:p>
        </w:tc>
      </w:tr>
      <w:tr>
        <w:tc>
          <w:tcPr>
            <w:tcW w:type="dxa" w:w="720"/>
          </w:tcPr>
          <w:p>
            <w:pPr>
              <w:spacing w:line="240" w:lineRule="auto" w:before="20" w:after="20"/>
              <w:jc w:val="left"/>
            </w:pPr>
            <w:r/>
            <w:r>
              <w:rPr>
                <w:rFonts w:ascii="Times New Roman" w:hAnsi="Times New Roman"/>
                <w:b w:val="0"/>
                <w:sz w:val="20"/>
              </w:rPr>
              <w:t>S04</w:t>
            </w:r>
          </w:p>
        </w:tc>
        <w:tc>
          <w:tcPr>
            <w:tcW w:type="dxa" w:w="864"/>
          </w:tcPr>
          <w:p>
            <w:pPr>
              <w:spacing w:line="240" w:lineRule="auto" w:before="20" w:after="20"/>
              <w:jc w:val="left"/>
            </w:pPr>
            <w:r/>
            <w:r>
              <w:rPr>
                <w:rFonts w:ascii="Times New Roman" w:hAnsi="Times New Roman"/>
                <w:b w:val="0"/>
                <w:sz w:val="20"/>
              </w:rPr>
              <w:t>Koral/Kurl</w:t>
            </w:r>
          </w:p>
        </w:tc>
        <w:tc>
          <w:tcPr>
            <w:tcW w:type="dxa" w:w="864"/>
          </w:tcPr>
          <w:p>
            <w:pPr>
              <w:spacing w:line="240" w:lineRule="auto" w:before="20" w:after="20"/>
              <w:jc w:val="right"/>
            </w:pPr>
            <w:r/>
            <w:r>
              <w:rPr>
                <w:rFonts w:ascii="Times New Roman" w:hAnsi="Times New Roman"/>
                <w:b w:val="0"/>
                <w:sz w:val="20"/>
              </w:rPr>
              <w:t>651.13</w:t>
            </w:r>
          </w:p>
        </w:tc>
        <w:tc>
          <w:tcPr>
            <w:tcW w:type="dxa" w:w="864"/>
          </w:tcPr>
          <w:p>
            <w:pPr>
              <w:spacing w:line="240" w:lineRule="auto" w:before="20" w:after="20"/>
              <w:jc w:val="right"/>
            </w:pPr>
            <w:r/>
            <w:r>
              <w:rPr>
                <w:rFonts w:ascii="Times New Roman" w:hAnsi="Times New Roman"/>
                <w:b w:val="0"/>
                <w:sz w:val="20"/>
              </w:rPr>
              <w:t>876.67</w:t>
            </w:r>
          </w:p>
        </w:tc>
        <w:tc>
          <w:tcPr>
            <w:tcW w:type="dxa" w:w="864"/>
          </w:tcPr>
          <w:p>
            <w:pPr>
              <w:spacing w:line="240" w:lineRule="auto" w:before="20" w:after="20"/>
              <w:jc w:val="right"/>
            </w:pPr>
            <w:r/>
            <w:r>
              <w:rPr>
                <w:rFonts w:ascii="Times New Roman" w:hAnsi="Times New Roman"/>
                <w:b w:val="0"/>
                <w:sz w:val="20"/>
              </w:rPr>
              <w:t>225.54</w:t>
            </w:r>
          </w:p>
        </w:tc>
        <w:tc>
          <w:tcPr>
            <w:tcW w:type="dxa" w:w="864"/>
          </w:tcPr>
          <w:p>
            <w:pPr>
              <w:spacing w:line="240" w:lineRule="auto" w:before="20" w:after="20"/>
              <w:jc w:val="right"/>
            </w:pPr>
            <w:r/>
            <w:r>
              <w:rPr>
                <w:rFonts w:ascii="Times New Roman" w:hAnsi="Times New Roman"/>
                <w:b w:val="0"/>
                <w:sz w:val="20"/>
              </w:rPr>
              <w:t>25.7</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10.2</w:t>
            </w:r>
          </w:p>
        </w:tc>
        <w:tc>
          <w:tcPr>
            <w:tcW w:type="dxa" w:w="864"/>
          </w:tcPr>
          <w:p>
            <w:pPr>
              <w:spacing w:line="240" w:lineRule="auto" w:before="20" w:after="20"/>
              <w:jc w:val="right"/>
            </w:pPr>
            <w:r/>
            <w:r>
              <w:rPr>
                <w:rFonts w:ascii="Times New Roman" w:hAnsi="Times New Roman"/>
                <w:b w:val="0"/>
                <w:sz w:val="20"/>
              </w:rPr>
              <w:t>74.3</w:t>
            </w:r>
          </w:p>
        </w:tc>
        <w:tc>
          <w:tcPr>
            <w:tcW w:type="dxa" w:w="864"/>
          </w:tcPr>
          <w:p>
            <w:pPr>
              <w:spacing w:line="240" w:lineRule="auto" w:before="20" w:after="20"/>
              <w:jc w:val="right"/>
            </w:pPr>
            <w:r/>
            <w:r>
              <w:rPr>
                <w:rFonts w:ascii="Times New Roman" w:hAnsi="Times New Roman"/>
                <w:b w:val="0"/>
                <w:sz w:val="20"/>
              </w:rPr>
              <w:t>2.424</w:t>
            </w:r>
          </w:p>
        </w:tc>
        <w:tc>
          <w:tcPr>
            <w:tcW w:type="dxa" w:w="864"/>
          </w:tcPr>
          <w:p>
            <w:pPr>
              <w:spacing w:line="240" w:lineRule="auto" w:before="20" w:after="20"/>
              <w:jc w:val="right"/>
            </w:pPr>
            <w:r/>
            <w:r>
              <w:rPr>
                <w:rFonts w:ascii="Times New Roman" w:hAnsi="Times New Roman"/>
                <w:b w:val="0"/>
                <w:sz w:val="20"/>
              </w:rPr>
              <w:t>1.8</w:t>
            </w:r>
          </w:p>
        </w:tc>
      </w:tr>
      <w:tr>
        <w:tc>
          <w:tcPr>
            <w:tcW w:type="dxa" w:w="720"/>
          </w:tcPr>
          <w:p>
            <w:pPr>
              <w:spacing w:line="240" w:lineRule="auto" w:before="20" w:after="20"/>
              <w:jc w:val="left"/>
            </w:pPr>
            <w:r/>
            <w:r>
              <w:rPr>
                <w:rFonts w:ascii="Times New Roman" w:hAnsi="Times New Roman"/>
                <w:b w:val="0"/>
                <w:sz w:val="20"/>
              </w:rPr>
              <w:t>S05</w:t>
            </w:r>
          </w:p>
        </w:tc>
        <w:tc>
          <w:tcPr>
            <w:tcW w:type="dxa" w:w="864"/>
          </w:tcPr>
          <w:p>
            <w:pPr>
              <w:spacing w:line="240" w:lineRule="auto" w:before="20" w:after="20"/>
              <w:jc w:val="left"/>
            </w:pPr>
            <w:r/>
            <w:r>
              <w:rPr>
                <w:rFonts w:ascii="Times New Roman" w:hAnsi="Times New Roman"/>
                <w:b w:val="0"/>
                <w:sz w:val="20"/>
              </w:rPr>
              <w:t>Surma</w:t>
            </w:r>
          </w:p>
        </w:tc>
        <w:tc>
          <w:tcPr>
            <w:tcW w:type="dxa" w:w="864"/>
          </w:tcPr>
          <w:p>
            <w:pPr>
              <w:spacing w:line="240" w:lineRule="auto" w:before="20" w:after="20"/>
              <w:jc w:val="right"/>
            </w:pPr>
            <w:r/>
            <w:r>
              <w:rPr>
                <w:rFonts w:ascii="Times New Roman" w:hAnsi="Times New Roman"/>
                <w:b w:val="0"/>
                <w:sz w:val="20"/>
              </w:rPr>
              <w:t>414.49</w:t>
            </w:r>
          </w:p>
        </w:tc>
        <w:tc>
          <w:tcPr>
            <w:tcW w:type="dxa" w:w="864"/>
          </w:tcPr>
          <w:p>
            <w:pPr>
              <w:spacing w:line="240" w:lineRule="auto" w:before="20" w:after="20"/>
              <w:jc w:val="right"/>
            </w:pPr>
            <w:r/>
            <w:r>
              <w:rPr>
                <w:rFonts w:ascii="Times New Roman" w:hAnsi="Times New Roman"/>
                <w:b w:val="0"/>
                <w:sz w:val="20"/>
              </w:rPr>
              <w:t>584.44</w:t>
            </w:r>
          </w:p>
        </w:tc>
        <w:tc>
          <w:tcPr>
            <w:tcW w:type="dxa" w:w="864"/>
          </w:tcPr>
          <w:p>
            <w:pPr>
              <w:spacing w:line="240" w:lineRule="auto" w:before="20" w:after="20"/>
              <w:jc w:val="right"/>
            </w:pPr>
            <w:r/>
            <w:r>
              <w:rPr>
                <w:rFonts w:ascii="Times New Roman" w:hAnsi="Times New Roman"/>
                <w:b w:val="0"/>
                <w:sz w:val="20"/>
              </w:rPr>
              <w:t>169.95</w:t>
            </w:r>
          </w:p>
        </w:tc>
        <w:tc>
          <w:tcPr>
            <w:tcW w:type="dxa" w:w="864"/>
          </w:tcPr>
          <w:p>
            <w:pPr>
              <w:spacing w:line="240" w:lineRule="auto" w:before="20" w:after="20"/>
              <w:jc w:val="right"/>
            </w:pPr>
            <w:r/>
            <w:r>
              <w:rPr>
                <w:rFonts w:ascii="Times New Roman" w:hAnsi="Times New Roman"/>
                <w:b w:val="0"/>
                <w:sz w:val="20"/>
              </w:rPr>
              <w:t>29.1</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5.8</w:t>
            </w:r>
          </w:p>
        </w:tc>
        <w:tc>
          <w:tcPr>
            <w:tcW w:type="dxa" w:w="864"/>
          </w:tcPr>
          <w:p>
            <w:pPr>
              <w:spacing w:line="240" w:lineRule="auto" w:before="20" w:after="20"/>
              <w:jc w:val="right"/>
            </w:pPr>
            <w:r/>
            <w:r>
              <w:rPr>
                <w:rFonts w:ascii="Times New Roman" w:hAnsi="Times New Roman"/>
                <w:b w:val="0"/>
                <w:sz w:val="20"/>
              </w:rPr>
              <w:t>70.9</w:t>
            </w:r>
          </w:p>
        </w:tc>
        <w:tc>
          <w:tcPr>
            <w:tcW w:type="dxa" w:w="864"/>
          </w:tcPr>
          <w:p>
            <w:pPr>
              <w:spacing w:line="240" w:lineRule="auto" w:before="20" w:after="20"/>
              <w:jc w:val="right"/>
            </w:pPr>
            <w:r/>
            <w:r>
              <w:rPr>
                <w:rFonts w:ascii="Times New Roman" w:hAnsi="Times New Roman"/>
                <w:b w:val="0"/>
                <w:sz w:val="20"/>
              </w:rPr>
              <w:t>1.909</w:t>
            </w:r>
          </w:p>
        </w:tc>
        <w:tc>
          <w:tcPr>
            <w:tcW w:type="dxa" w:w="864"/>
          </w:tcPr>
          <w:p>
            <w:pPr>
              <w:spacing w:line="240" w:lineRule="auto" w:before="20" w:after="20"/>
              <w:jc w:val="right"/>
            </w:pPr>
            <w:r/>
            <w:r>
              <w:rPr>
                <w:rFonts w:ascii="Times New Roman" w:hAnsi="Times New Roman"/>
                <w:b w:val="0"/>
                <w:sz w:val="20"/>
              </w:rPr>
              <w:t>1.354</w:t>
            </w:r>
          </w:p>
        </w:tc>
      </w:tr>
      <w:tr>
        <w:tc>
          <w:tcPr>
            <w:tcW w:type="dxa" w:w="720"/>
          </w:tcPr>
          <w:p>
            <w:pPr>
              <w:spacing w:line="240" w:lineRule="auto" w:before="20" w:after="20"/>
              <w:jc w:val="left"/>
            </w:pPr>
            <w:r/>
            <w:r>
              <w:rPr>
                <w:rFonts w:ascii="Times New Roman" w:hAnsi="Times New Roman"/>
                <w:b w:val="0"/>
                <w:sz w:val="20"/>
              </w:rPr>
              <w:t>S06</w:t>
            </w:r>
          </w:p>
        </w:tc>
        <w:tc>
          <w:tcPr>
            <w:tcW w:type="dxa" w:w="864"/>
          </w:tcPr>
          <w:p>
            <w:pPr>
              <w:spacing w:line="240" w:lineRule="auto" w:before="20" w:after="20"/>
              <w:jc w:val="left"/>
            </w:pPr>
            <w:r/>
            <w:r>
              <w:rPr>
                <w:rFonts w:ascii="Times New Roman" w:hAnsi="Times New Roman"/>
                <w:b w:val="0"/>
                <w:sz w:val="20"/>
              </w:rPr>
              <w:t>Churi</w:t>
            </w:r>
          </w:p>
        </w:tc>
        <w:tc>
          <w:tcPr>
            <w:tcW w:type="dxa" w:w="864"/>
          </w:tcPr>
          <w:p>
            <w:pPr>
              <w:spacing w:line="240" w:lineRule="auto" w:before="20" w:after="20"/>
              <w:jc w:val="right"/>
            </w:pPr>
            <w:r/>
            <w:r>
              <w:rPr>
                <w:rFonts w:ascii="Times New Roman" w:hAnsi="Times New Roman"/>
                <w:b w:val="0"/>
                <w:sz w:val="20"/>
              </w:rPr>
              <w:t>320.42</w:t>
            </w:r>
          </w:p>
        </w:tc>
        <w:tc>
          <w:tcPr>
            <w:tcW w:type="dxa" w:w="864"/>
          </w:tcPr>
          <w:p>
            <w:pPr>
              <w:spacing w:line="240" w:lineRule="auto" w:before="20" w:after="20"/>
              <w:jc w:val="right"/>
            </w:pPr>
            <w:r/>
            <w:r>
              <w:rPr>
                <w:rFonts w:ascii="Times New Roman" w:hAnsi="Times New Roman"/>
                <w:b w:val="0"/>
                <w:sz w:val="20"/>
              </w:rPr>
              <w:t>446.67</w:t>
            </w:r>
          </w:p>
        </w:tc>
        <w:tc>
          <w:tcPr>
            <w:tcW w:type="dxa" w:w="864"/>
          </w:tcPr>
          <w:p>
            <w:pPr>
              <w:spacing w:line="240" w:lineRule="auto" w:before="20" w:after="20"/>
              <w:jc w:val="right"/>
            </w:pPr>
            <w:r/>
            <w:r>
              <w:rPr>
                <w:rFonts w:ascii="Times New Roman" w:hAnsi="Times New Roman"/>
                <w:b w:val="0"/>
                <w:sz w:val="20"/>
              </w:rPr>
              <w:t>126.25</w:t>
            </w:r>
          </w:p>
        </w:tc>
        <w:tc>
          <w:tcPr>
            <w:tcW w:type="dxa" w:w="864"/>
          </w:tcPr>
          <w:p>
            <w:pPr>
              <w:spacing w:line="240" w:lineRule="auto" w:before="20" w:after="20"/>
              <w:jc w:val="right"/>
            </w:pPr>
            <w:r/>
            <w:r>
              <w:rPr>
                <w:rFonts w:ascii="Times New Roman" w:hAnsi="Times New Roman"/>
                <w:b w:val="0"/>
                <w:sz w:val="20"/>
              </w:rPr>
              <w:t>28.3</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-2.2</w:t>
            </w:r>
          </w:p>
        </w:tc>
        <w:tc>
          <w:tcPr>
            <w:tcW w:type="dxa" w:w="864"/>
          </w:tcPr>
          <w:p>
            <w:pPr>
              <w:spacing w:line="240" w:lineRule="auto" w:before="20" w:after="20"/>
              <w:jc w:val="right"/>
            </w:pPr>
            <w:r/>
            <w:r>
              <w:rPr>
                <w:rFonts w:ascii="Times New Roman" w:hAnsi="Times New Roman"/>
                <w:b w:val="0"/>
                <w:sz w:val="20"/>
              </w:rPr>
              <w:t>71.7</w:t>
            </w:r>
          </w:p>
        </w:tc>
        <w:tc>
          <w:tcPr>
            <w:tcW w:type="dxa" w:w="864"/>
          </w:tcPr>
          <w:p>
            <w:pPr>
              <w:spacing w:line="240" w:lineRule="auto" w:before="20" w:after="20"/>
              <w:jc w:val="right"/>
            </w:pPr>
            <w:r/>
            <w:r>
              <w:rPr>
                <w:rFonts w:ascii="Times New Roman" w:hAnsi="Times New Roman"/>
                <w:b w:val="0"/>
                <w:sz w:val="20"/>
              </w:rPr>
              <w:t>1.702</w:t>
            </w:r>
          </w:p>
        </w:tc>
        <w:tc>
          <w:tcPr>
            <w:tcW w:type="dxa" w:w="864"/>
          </w:tcPr>
          <w:p>
            <w:pPr>
              <w:spacing w:line="240" w:lineRule="auto" w:before="20" w:after="20"/>
              <w:jc w:val="right"/>
            </w:pPr>
            <w:r/>
            <w:r>
              <w:rPr>
                <w:rFonts w:ascii="Times New Roman" w:hAnsi="Times New Roman"/>
                <w:b w:val="0"/>
                <w:sz w:val="20"/>
              </w:rPr>
              <w:t>1.221</w:t>
            </w:r>
          </w:p>
        </w:tc>
      </w:tr>
      <w:tr>
        <w:tc>
          <w:tcPr>
            <w:tcW w:type="dxa" w:w="720"/>
          </w:tcPr>
          <w:p>
            <w:pPr>
              <w:spacing w:line="240" w:lineRule="auto" w:before="20" w:after="20"/>
              <w:jc w:val="left"/>
            </w:pPr>
            <w:r/>
            <w:r>
              <w:rPr>
                <w:rFonts w:ascii="Times New Roman" w:hAnsi="Times New Roman"/>
                <w:b w:val="0"/>
                <w:sz w:val="20"/>
              </w:rPr>
              <w:t>S07</w:t>
            </w:r>
          </w:p>
        </w:tc>
        <w:tc>
          <w:tcPr>
            <w:tcW w:type="dxa" w:w="864"/>
          </w:tcPr>
          <w:p>
            <w:pPr>
              <w:spacing w:line="240" w:lineRule="auto" w:before="20" w:after="20"/>
              <w:jc w:val="left"/>
            </w:pPr>
            <w:r/>
            <w:r>
              <w:rPr>
                <w:rFonts w:ascii="Times New Roman" w:hAnsi="Times New Roman"/>
                <w:b w:val="0"/>
                <w:sz w:val="20"/>
              </w:rPr>
              <w:t>Poa</w:t>
            </w:r>
          </w:p>
        </w:tc>
        <w:tc>
          <w:tcPr>
            <w:tcW w:type="dxa" w:w="864"/>
          </w:tcPr>
          <w:p>
            <w:pPr>
              <w:spacing w:line="240" w:lineRule="auto" w:before="20" w:after="20"/>
              <w:jc w:val="right"/>
            </w:pPr>
            <w:r/>
            <w:r>
              <w:rPr>
                <w:rFonts w:ascii="Times New Roman" w:hAnsi="Times New Roman"/>
                <w:b w:val="0"/>
                <w:sz w:val="20"/>
              </w:rPr>
              <w:t>368.44</w:t>
            </w:r>
          </w:p>
        </w:tc>
        <w:tc>
          <w:tcPr>
            <w:tcW w:type="dxa" w:w="864"/>
          </w:tcPr>
          <w:p>
            <w:pPr>
              <w:spacing w:line="240" w:lineRule="auto" w:before="20" w:after="20"/>
              <w:jc w:val="right"/>
            </w:pPr>
            <w:r/>
            <w:r>
              <w:rPr>
                <w:rFonts w:ascii="Times New Roman" w:hAnsi="Times New Roman"/>
                <w:b w:val="0"/>
                <w:sz w:val="20"/>
              </w:rPr>
              <w:t>522.14</w:t>
            </w:r>
          </w:p>
        </w:tc>
        <w:tc>
          <w:tcPr>
            <w:tcW w:type="dxa" w:w="864"/>
          </w:tcPr>
          <w:p>
            <w:pPr>
              <w:spacing w:line="240" w:lineRule="auto" w:before="20" w:after="20"/>
              <w:jc w:val="right"/>
            </w:pPr>
            <w:r/>
            <w:r>
              <w:rPr>
                <w:rFonts w:ascii="Times New Roman" w:hAnsi="Times New Roman"/>
                <w:b w:val="0"/>
                <w:sz w:val="20"/>
              </w:rPr>
              <w:t>153.7</w:t>
            </w:r>
          </w:p>
        </w:tc>
        <w:tc>
          <w:tcPr>
            <w:tcW w:type="dxa" w:w="864"/>
          </w:tcPr>
          <w:p>
            <w:pPr>
              <w:spacing w:line="240" w:lineRule="auto" w:before="20" w:after="20"/>
              <w:jc w:val="right"/>
            </w:pPr>
            <w:r/>
            <w:r>
              <w:rPr>
                <w:rFonts w:ascii="Times New Roman" w:hAnsi="Times New Roman"/>
                <w:b w:val="0"/>
                <w:sz w:val="20"/>
              </w:rPr>
              <w:t>29.4</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3.4</w:t>
            </w:r>
          </w:p>
        </w:tc>
        <w:tc>
          <w:tcPr>
            <w:tcW w:type="dxa" w:w="864"/>
          </w:tcPr>
          <w:p>
            <w:pPr>
              <w:spacing w:line="240" w:lineRule="auto" w:before="20" w:after="20"/>
              <w:jc w:val="right"/>
            </w:pPr>
            <w:r/>
            <w:r>
              <w:rPr>
                <w:rFonts w:ascii="Times New Roman" w:hAnsi="Times New Roman"/>
                <w:b w:val="0"/>
                <w:sz w:val="20"/>
              </w:rPr>
              <w:t>70.6</w:t>
            </w:r>
          </w:p>
        </w:tc>
        <w:tc>
          <w:tcPr>
            <w:tcW w:type="dxa" w:w="864"/>
          </w:tcPr>
          <w:p>
            <w:pPr>
              <w:spacing w:line="240" w:lineRule="auto" w:before="20" w:after="20"/>
              <w:jc w:val="right"/>
            </w:pPr>
            <w:r/>
            <w:r>
              <w:rPr>
                <w:rFonts w:ascii="Times New Roman" w:hAnsi="Times New Roman"/>
                <w:b w:val="0"/>
                <w:sz w:val="20"/>
              </w:rPr>
              <w:t>1.801</w:t>
            </w:r>
          </w:p>
        </w:tc>
        <w:tc>
          <w:tcPr>
            <w:tcW w:type="dxa" w:w="864"/>
          </w:tcPr>
          <w:p>
            <w:pPr>
              <w:spacing w:line="240" w:lineRule="auto" w:before="20" w:after="20"/>
              <w:jc w:val="right"/>
            </w:pPr>
            <w:r/>
            <w:r>
              <w:rPr>
                <w:rFonts w:ascii="Times New Roman" w:hAnsi="Times New Roman"/>
                <w:b w:val="0"/>
                <w:sz w:val="20"/>
              </w:rPr>
              <w:t>1.271</w:t>
            </w:r>
          </w:p>
        </w:tc>
      </w:tr>
      <w:tr>
        <w:tc>
          <w:tcPr>
            <w:tcW w:type="dxa" w:w="720"/>
          </w:tcPr>
          <w:p>
            <w:pPr>
              <w:spacing w:line="240" w:lineRule="auto" w:before="20" w:after="20"/>
              <w:jc w:val="left"/>
            </w:pPr>
            <w:r/>
            <w:r>
              <w:rPr>
                <w:rFonts w:ascii="Times New Roman" w:hAnsi="Times New Roman"/>
                <w:b w:val="0"/>
                <w:sz w:val="20"/>
              </w:rPr>
              <w:t>ALL</w:t>
            </w:r>
          </w:p>
        </w:tc>
        <w:tc>
          <w:tcPr>
            <w:tcW w:type="dxa" w:w="864"/>
          </w:tcPr>
          <w:p>
            <w:pPr>
              <w:spacing w:line="240" w:lineRule="auto" w:before="20" w:after="20"/>
              <w:jc w:val="left"/>
            </w:pPr>
            <w:r/>
            <w:r>
              <w:rPr>
                <w:rFonts w:ascii="Times New Roman" w:hAnsi="Times New Roman"/>
                <w:b w:val="0"/>
                <w:sz w:val="20"/>
              </w:rPr>
              <w:t>Mean of species means (chain-complete: S01, S02, S04, S05, S06, S07)</w:t>
            </w:r>
          </w:p>
        </w:tc>
        <w:tc>
          <w:tcPr>
            <w:tcW w:type="dxa" w:w="864"/>
          </w:tcPr>
          <w:p>
            <w:pPr>
              <w:spacing w:line="240" w:lineRule="auto" w:before="20" w:after="20"/>
              <w:jc w:val="right"/>
            </w:pPr>
            <w:r/>
            <w:r>
              <w:rPr>
                <w:rFonts w:ascii="Times New Roman" w:hAnsi="Times New Roman"/>
                <w:b w:val="0"/>
                <w:sz w:val="20"/>
              </w:rPr>
              <w:t>657.78</w:t>
            </w:r>
          </w:p>
        </w:tc>
        <w:tc>
          <w:tcPr>
            <w:tcW w:type="dxa" w:w="864"/>
          </w:tcPr>
          <w:p>
            <w:pPr>
              <w:spacing w:line="240" w:lineRule="auto" w:before="20" w:after="20"/>
              <w:jc w:val="right"/>
            </w:pPr>
            <w:r/>
            <w:r>
              <w:rPr>
                <w:rFonts w:ascii="Times New Roman" w:hAnsi="Times New Roman"/>
                <w:b w:val="0"/>
                <w:sz w:val="20"/>
              </w:rPr>
              <w:t>909.13</w:t>
            </w:r>
          </w:p>
        </w:tc>
        <w:tc>
          <w:tcPr>
            <w:tcW w:type="dxa" w:w="864"/>
          </w:tcPr>
          <w:p>
            <w:pPr>
              <w:spacing w:line="240" w:lineRule="auto" w:before="20" w:after="20"/>
              <w:jc w:val="right"/>
            </w:pPr>
            <w:r/>
            <w:r>
              <w:rPr>
                <w:rFonts w:ascii="Times New Roman" w:hAnsi="Times New Roman"/>
                <w:b w:val="0"/>
                <w:sz w:val="20"/>
              </w:rPr>
              <w:t>251.35</w:t>
            </w:r>
          </w:p>
        </w:tc>
        <w:tc>
          <w:tcPr>
            <w:tcW w:type="dxa" w:w="864"/>
          </w:tcPr>
          <w:p>
            <w:pPr>
              <w:spacing w:line="240" w:lineRule="auto" w:before="20" w:after="20"/>
              <w:jc w:val="right"/>
            </w:pPr>
            <w:r/>
            <w:r>
              <w:rPr>
                <w:rFonts w:ascii="Times New Roman" w:hAnsi="Times New Roman"/>
                <w:b w:val="0"/>
                <w:sz w:val="20"/>
              </w:rPr>
              <w:t>27.6</w:t>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t>12.7</w:t>
            </w:r>
          </w:p>
        </w:tc>
        <w:tc>
          <w:tcPr>
            <w:tcW w:type="dxa" w:w="864"/>
          </w:tcPr>
          <w:p>
            <w:pPr>
              <w:spacing w:line="240" w:lineRule="auto" w:before="20" w:after="20"/>
              <w:jc w:val="right"/>
            </w:pPr>
            <w:r/>
            <w:r>
              <w:rPr>
                <w:rFonts w:ascii="Times New Roman" w:hAnsi="Times New Roman"/>
                <w:b w:val="0"/>
                <w:sz w:val="20"/>
              </w:rPr>
              <w:t>72.4</w:t>
            </w:r>
          </w:p>
        </w:tc>
        <w:tc>
          <w:tcPr>
            <w:tcW w:type="dxa" w:w="864"/>
          </w:tcPr>
          <w:p>
            <w:pPr>
              <w:spacing w:line="240" w:lineRule="auto" w:before="20" w:after="20"/>
              <w:jc w:val="right"/>
            </w:pPr>
            <w:r/>
            <w:r>
              <w:rPr>
                <w:rFonts w:ascii="Times New Roman" w:hAnsi="Times New Roman"/>
                <w:b w:val="0"/>
                <w:sz w:val="20"/>
              </w:rPr>
              <w:t>2.346</w:t>
            </w:r>
          </w:p>
        </w:tc>
        <w:tc>
          <w:tcPr>
            <w:tcW w:type="dxa" w:w="864"/>
          </w:tcPr>
          <w:p>
            <w:pPr>
              <w:spacing w:line="240" w:lineRule="auto" w:before="20" w:after="20"/>
              <w:jc w:val="right"/>
            </w:pPr>
            <w:r/>
            <w:r>
              <w:rPr>
                <w:rFonts w:ascii="Times New Roman" w:hAnsi="Times New Roman"/>
                <w:b w:val="0"/>
                <w:sz w:val="20"/>
              </w:rPr>
              <w:t>1.697</w:t>
            </w:r>
          </w:p>
        </w:tc>
      </w:tr>
      <w:tr>
        <w:tc>
          <w:tcPr>
            <w:tcW w:type="dxa" w:w="720"/>
          </w:tcPr>
          <w:p>
            <w:pPr>
              <w:spacing w:line="240" w:lineRule="auto" w:before="20" w:after="20"/>
              <w:jc w:val="left"/>
            </w:pPr>
            <w:r/>
            <w:r>
              <w:rPr>
                <w:rFonts w:ascii="Times New Roman" w:hAnsi="Times New Roman"/>
                <w:b w:val="0"/>
                <w:sz w:val="20"/>
              </w:rPr>
              <w:t>ALL (volume-weighted)</w:t>
            </w:r>
          </w:p>
        </w:tc>
        <w:tc>
          <w:tcPr>
            <w:tcW w:type="dxa" w:w="864"/>
          </w:tcPr>
          <w:p>
            <w:pPr>
              <w:spacing w:line="240" w:lineRule="auto" w:before="20" w:after="20"/>
              <w:jc w:val="left"/>
            </w:pPr>
            <w:r/>
            <w:r>
              <w:rPr>
                <w:rFonts w:ascii="Times New Roman" w:hAnsi="Times New Roman"/>
                <w:b w:val="0"/>
                <w:sz w:val="20"/>
              </w:rPr>
              <w:t>PS weighted by kg purchased (sensitivity check)</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t>136.19</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t>71.9</w:t>
            </w:r>
          </w:p>
        </w:tc>
        <w:tc>
          <w:tcPr>
            <w:tcW w:type="dxa" w:w="864"/>
          </w:tcPr>
          <w:p>
            <w:pPr>
              <w:spacing w:line="240" w:lineRule="auto" w:before="20" w:after="20"/>
              <w:jc w:val="right"/>
            </w:pPr>
            <w:r/>
            <w:r>
              <w:rPr>
                <w:rFonts w:ascii="Times New Roman" w:hAnsi="Times New Roman"/>
                <w:b w:val="0"/>
                <w:sz w:val="20"/>
              </w:rPr>
            </w:r>
          </w:p>
        </w:tc>
        <w:tc>
          <w:tcPr>
            <w:tcW w:type="dxa" w:w="864"/>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computed from Equations 3.6 to 3.10. All values are BDT per kilogram unless labelled as a percentage. GMM is the gross marketing margin, NMM the net marketing margin, PS the producer's share, and ME the Shepherd-type marketing efficiency ratio in its consumer-referenced and producer-referenced forms. The final row pools the six chain-complete species as the mean of species means.</w:t>
      </w:r>
    </w:p>
    <w:p>
      <w:pPr>
        <w:spacing w:line="317" w:lineRule="auto" w:before="0" w:after="200"/>
        <w:jc w:val="left"/>
      </w:pPr>
      <w:r>
        <w:rPr>
          <w:rFonts w:ascii="Times New Roman" w:hAnsi="Times New Roman"/>
          <w:b w:val="0"/>
          <w:i w:val="0"/>
          <w:sz w:val="24"/>
        </w:rPr>
        <w:t>Table 4.7 is the pivot of the chapter, because it is where the gross-margin picture of Section 4.7 can be tested against the cost structure that justifies or fails to justify it. The gross marketing margin of 27.6 per cent falls to a net marketing margin of 12.7 per cent once the BDT 136.19 per kg of chain marketing cost is deducted. That is the single most important number in the chapter, because it quantifies how much of the apparent intermediary margin is actually a payment for services rendered: 14.9 percentage points of the 27.6 per cent gross margin, or 54 per cent of it, is absorbed by the cost of moving, icing, financing and retailing a highly perishable commodity. The remainder, 12.7 per cent, is the net return to the intermediary function.</w:t>
      </w:r>
    </w:p>
    <w:p>
      <w:pPr>
        <w:spacing w:line="317" w:lineRule="auto" w:before="0" w:after="200"/>
        <w:jc w:val="left"/>
      </w:pPr>
      <w:r>
        <w:rPr>
          <w:rFonts w:ascii="Times New Roman" w:hAnsi="Times New Roman"/>
          <w:b w:val="0"/>
          <w:i w:val="0"/>
          <w:sz w:val="24"/>
        </w:rPr>
        <w:t>Marketing efficiency, computed as the Shepherd-type ratio of Equation 3.10, is 2.346 on the consumer-referenced form and 1.697 on the producer-referenced form. Both exceed unity, indicating that more of the final price remains as product value than is consumed by marketing services. The gap between the two is informative and is why both are reported: the consumer-referenced form is mechanically higher because it uses the larger retail price in the numerator, and the producer-referenced form is the more demanding test of how efficiently the chain serves those at its upstream end.</w:t>
      </w:r>
    </w:p>
    <w:p>
      <w:pPr>
        <w:keepNext/>
        <w:spacing w:line="240" w:lineRule="auto" w:before="200" w:after="80"/>
        <w:jc w:val="center"/>
      </w:pPr>
      <w:r>
        <w:rPr>
          <w:rFonts w:ascii="Times New Roman" w:hAnsi="Times New Roman"/>
          <w:b/>
          <w:i w:val="0"/>
          <w:sz w:val="20"/>
        </w:rPr>
        <w:t>Figure 4.2: Decomposition of the consumer's taka for marine fish in Chattogram</w:t>
      </w:r>
    </w:p>
    <w:p>
      <w:pPr>
        <w:spacing w:line="240" w:lineRule="auto" w:before="80" w:after="40"/>
        <w:jc w:val="center"/>
      </w:pPr>
      <w:r>
        <w:drawing>
          <wp:inline xmlns:a="http://schemas.openxmlformats.org/drawingml/2006/main" xmlns:pic="http://schemas.openxmlformats.org/drawingml/2006/picture">
            <wp:extent cx="5486400" cy="4663440"/>
            <wp:docPr id="2" name="Picture 2"/>
            <wp:cNvGraphicFramePr>
              <a:graphicFrameLocks noChangeAspect="1"/>
            </wp:cNvGraphicFramePr>
            <a:graphic>
              <a:graphicData uri="http://schemas.openxmlformats.org/drawingml/2006/picture">
                <pic:pic>
                  <pic:nvPicPr>
                    <pic:cNvPr id="0" name="F4_consumer_price_decomposition.png"/>
                    <pic:cNvPicPr/>
                  </pic:nvPicPr>
                  <pic:blipFill>
                    <a:blip r:embed="rId11"/>
                    <a:stretch>
                      <a:fillRect/>
                    </a:stretch>
                  </pic:blipFill>
                  <pic:spPr>
                    <a:xfrm>
                      <a:off x="0" y="0"/>
                      <a:ext cx="5486400" cy="466344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4.7.</w:t>
      </w:r>
    </w:p>
    <w:p>
      <w:pPr>
        <w:spacing w:line="317" w:lineRule="auto" w:before="0" w:after="200"/>
        <w:jc w:val="left"/>
      </w:pPr>
      <w:r>
        <w:rPr>
          <w:rFonts w:ascii="Times New Roman" w:hAnsi="Times New Roman"/>
          <w:b w:val="0"/>
          <w:i w:val="0"/>
          <w:sz w:val="24"/>
        </w:rPr>
        <w:t>The species detail qualifies the pooled figure substantially and is where the actionable variation lies. Net marketing margins range from 18.9 per cent on Ilish and 18.2 per cent on Rupchanda down to 5.8 per cent on Surma, 3.4 per cent on Poa and minus 2.2 per cent on Churi. That last figure is worth stating plainly: on Churi, the total chain marketing cost of BDT 136.19 per kg exceeds the entire price spread of BDT 126.25 per kg, so on the surveyed chain the marketing of that species operates at a net loss and is cross-subsidised by higher-value species handled by the same traders. Marketing efficiency follows a broadly similar gradient, highest on the two premium species at 2.814 for Rupchanda and 2.659 for Ilish and falling through Koral at 2.424, Surma at 1.909 and Poa at 1.801 to Churi at 1.702. Low-value, high-volume species are marketed at a loss and high-value species carry them, which is a structural feature of mixed-species fish trading rather than an anomaly, and it is invisible in any analysis that reports only the pooled mean.</w:t>
      </w:r>
    </w:p>
    <w:p>
      <w:pPr>
        <w:spacing w:line="317" w:lineRule="auto" w:before="0" w:after="200"/>
        <w:jc w:val="left"/>
      </w:pPr>
      <w:r>
        <w:rPr>
          <w:rFonts w:ascii="Times New Roman" w:hAnsi="Times New Roman"/>
          <w:b w:val="0"/>
          <w:i w:val="0"/>
          <w:sz w:val="24"/>
        </w:rPr>
        <w:t>Two further patterns in Table 4.7 deserve note. The chain marketing cost is identical across all six species at BDT 136.19 per kg, because it is computed as the sum of stratum-level per-kilogram costs, which are estimated on each stratum's own aggregate throughput rather than species by species. This is a deliberate convention, and it is also the main limitation of the net-margin column: it assumes the cost of handling a kilogram of Churi is the same as the cost of handling a kilogram of Rupchanda, which is certainly not true in practice. The species-level net margins should therefore be read as indicative of ordering rather than as precise estimates, and the pooled figure as the reliable one. Second, the producer's share is remarkably stable, spanning only 70.6 to 74.3 per cent across six species, while the net margin spans minus 2.2 to 18.9 per cent. What varies across species is not how much the fisher gets but how much it costs to get the fish to market.</w:t>
      </w:r>
    </w:p>
    <w:p>
      <w:pPr>
        <w:keepNext/>
        <w:spacing w:line="240" w:lineRule="auto" w:before="200" w:after="80"/>
        <w:jc w:val="center"/>
      </w:pPr>
      <w:r>
        <w:rPr>
          <w:rFonts w:ascii="Times New Roman" w:hAnsi="Times New Roman"/>
          <w:b/>
          <w:i w:val="0"/>
          <w:sz w:val="20"/>
        </w:rPr>
        <w:t>Figure 4.3: Producer's share of the consumer's taka by species</w:t>
      </w:r>
    </w:p>
    <w:p>
      <w:pPr>
        <w:spacing w:line="240" w:lineRule="auto" w:before="80" w:after="40"/>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A2_producer_share_by_species.png"/>
                    <pic:cNvPicPr/>
                  </pic:nvPicPr>
                  <pic:blipFill>
                    <a:blip r:embed="rId12"/>
                    <a:stretch>
                      <a:fillRect/>
                    </a:stretch>
                  </pic:blipFill>
                  <pic:spPr>
                    <a:xfrm>
                      <a:off x="0" y="0"/>
                      <a:ext cx="5486400" cy="411480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4.7. Producer prices are first-sale quotations at the landing-linked markets.</w:t>
      </w:r>
    </w:p>
    <w:p>
      <w:pPr>
        <w:pStyle w:val="Heading2"/>
      </w:pPr>
      <w:r>
        <w:t>4.9 Marketing cost structure by actor (Objective 2)</w:t>
      </w:r>
    </w:p>
    <w:p>
      <w:pPr>
        <w:keepNext/>
        <w:spacing w:line="240" w:lineRule="auto" w:before="200" w:after="60"/>
        <w:jc w:val="center"/>
      </w:pPr>
      <w:r>
        <w:rPr>
          <w:rFonts w:ascii="Times New Roman" w:hAnsi="Times New Roman"/>
          <w:b/>
          <w:i w:val="0"/>
          <w:sz w:val="20"/>
        </w:rPr>
        <w:t>Table 4.8: Marketing cost per kilogram by stratum, with segment margins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129"/>
        <w:gridCol w:w="1129"/>
        <w:gridCol w:w="1129"/>
        <w:gridCol w:w="1129"/>
        <w:gridCol w:w="1129"/>
        <w:gridCol w:w="1129"/>
        <w:gridCol w:w="1129"/>
        <w:gridCol w:w="1129"/>
      </w:tblGrid>
      <w:tr>
        <w:tc>
          <w:tcPr>
            <w:tcW w:type="dxa" w:w="1129"/>
          </w:tcPr>
          <w:p>
            <w:pPr>
              <w:spacing w:line="240" w:lineRule="auto" w:before="20" w:after="20"/>
              <w:jc w:val="left"/>
            </w:pPr>
            <w:r/>
            <w:r>
              <w:rPr>
                <w:rFonts w:ascii="Times New Roman" w:hAnsi="Times New Roman"/>
                <w:b/>
                <w:sz w:val="20"/>
              </w:rPr>
              <w:t>Stratum</w:t>
            </w:r>
          </w:p>
        </w:tc>
        <w:tc>
          <w:tcPr>
            <w:tcW w:type="dxa" w:w="1129"/>
          </w:tcPr>
          <w:p>
            <w:pPr>
              <w:spacing w:line="240" w:lineRule="auto" w:before="20" w:after="20"/>
              <w:jc w:val="right"/>
            </w:pPr>
            <w:r/>
            <w:r>
              <w:rPr>
                <w:rFonts w:ascii="Times New Roman" w:hAnsi="Times New Roman"/>
                <w:b/>
                <w:sz w:val="20"/>
              </w:rPr>
              <w:t>n</w:t>
            </w:r>
          </w:p>
        </w:tc>
        <w:tc>
          <w:tcPr>
            <w:tcW w:type="dxa" w:w="1129"/>
          </w:tcPr>
          <w:p>
            <w:pPr>
              <w:spacing w:line="240" w:lineRule="auto" w:before="20" w:after="20"/>
              <w:jc w:val="right"/>
            </w:pPr>
            <w:r/>
            <w:r>
              <w:rPr>
                <w:rFonts w:ascii="Times New Roman" w:hAnsi="Times New Roman"/>
                <w:b/>
                <w:sz w:val="20"/>
              </w:rPr>
              <w:t>Mean cost, BDT/kg</w:t>
            </w:r>
          </w:p>
        </w:tc>
        <w:tc>
          <w:tcPr>
            <w:tcW w:type="dxa" w:w="1129"/>
          </w:tcPr>
          <w:p>
            <w:pPr>
              <w:spacing w:line="240" w:lineRule="auto" w:before="20" w:after="20"/>
              <w:jc w:val="right"/>
            </w:pPr>
            <w:r/>
            <w:r>
              <w:rPr>
                <w:rFonts w:ascii="Times New Roman" w:hAnsi="Times New Roman"/>
                <w:b/>
                <w:sz w:val="20"/>
              </w:rPr>
              <w:t>SD</w:t>
            </w:r>
          </w:p>
        </w:tc>
        <w:tc>
          <w:tcPr>
            <w:tcW w:type="dxa" w:w="1129"/>
          </w:tcPr>
          <w:p>
            <w:pPr>
              <w:spacing w:line="240" w:lineRule="auto" w:before="20" w:after="20"/>
              <w:jc w:val="right"/>
            </w:pPr>
            <w:r/>
            <w:r>
              <w:rPr>
                <w:rFonts w:ascii="Times New Roman" w:hAnsi="Times New Roman"/>
                <w:b/>
                <w:sz w:val="20"/>
              </w:rPr>
              <w:t>Median</w:t>
            </w:r>
          </w:p>
        </w:tc>
        <w:tc>
          <w:tcPr>
            <w:tcW w:type="dxa" w:w="1129"/>
          </w:tcPr>
          <w:p>
            <w:pPr>
              <w:spacing w:line="240" w:lineRule="auto" w:before="20" w:after="20"/>
              <w:jc w:val="right"/>
            </w:pPr>
            <w:r/>
            <w:r>
              <w:rPr>
                <w:rFonts w:ascii="Times New Roman" w:hAnsi="Times New Roman"/>
                <w:b/>
                <w:sz w:val="20"/>
              </w:rPr>
              <w:t>Minimum</w:t>
            </w:r>
          </w:p>
        </w:tc>
        <w:tc>
          <w:tcPr>
            <w:tcW w:type="dxa" w:w="1129"/>
          </w:tcPr>
          <w:p>
            <w:pPr>
              <w:spacing w:line="240" w:lineRule="auto" w:before="20" w:after="20"/>
              <w:jc w:val="right"/>
            </w:pPr>
            <w:r/>
            <w:r>
              <w:rPr>
                <w:rFonts w:ascii="Times New Roman" w:hAnsi="Times New Roman"/>
                <w:b/>
                <w:sz w:val="20"/>
              </w:rPr>
              <w:t>Maximum</w:t>
            </w:r>
          </w:p>
        </w:tc>
        <w:tc>
          <w:tcPr>
            <w:tcW w:type="dxa" w:w="1129"/>
          </w:tcPr>
          <w:p>
            <w:pPr>
              <w:spacing w:line="240" w:lineRule="auto" w:before="20" w:after="20"/>
              <w:jc w:val="right"/>
            </w:pPr>
            <w:r/>
            <w:r>
              <w:rPr>
                <w:rFonts w:ascii="Times New Roman" w:hAnsi="Times New Roman"/>
                <w:b/>
                <w:sz w:val="20"/>
              </w:rPr>
              <w:t>Throughput, kg/day</w:t>
            </w:r>
          </w:p>
        </w:tc>
      </w:tr>
      <w:tr>
        <w:tc>
          <w:tcPr>
            <w:tcW w:type="dxa" w:w="1129"/>
          </w:tcPr>
          <w:p>
            <w:pPr>
              <w:spacing w:line="240" w:lineRule="auto" w:before="20" w:after="20"/>
              <w:jc w:val="left"/>
            </w:pPr>
            <w:r/>
            <w:r>
              <w:rPr>
                <w:rFonts w:ascii="Times New Roman" w:hAnsi="Times New Roman"/>
                <w:b w:val="0"/>
                <w:sz w:val="20"/>
              </w:rPr>
              <w:t>Aratdar</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7.12</w:t>
            </w:r>
          </w:p>
        </w:tc>
        <w:tc>
          <w:tcPr>
            <w:tcW w:type="dxa" w:w="1129"/>
          </w:tcPr>
          <w:p>
            <w:pPr>
              <w:spacing w:line="240" w:lineRule="auto" w:before="20" w:after="20"/>
              <w:jc w:val="right"/>
            </w:pPr>
            <w:r/>
            <w:r>
              <w:rPr>
                <w:rFonts w:ascii="Times New Roman" w:hAnsi="Times New Roman"/>
                <w:b w:val="0"/>
                <w:sz w:val="20"/>
              </w:rPr>
              <w:t>4.59</w:t>
            </w:r>
          </w:p>
        </w:tc>
        <w:tc>
          <w:tcPr>
            <w:tcW w:type="dxa" w:w="1129"/>
          </w:tcPr>
          <w:p>
            <w:pPr>
              <w:spacing w:line="240" w:lineRule="auto" w:before="20" w:after="20"/>
              <w:jc w:val="right"/>
            </w:pPr>
            <w:r/>
            <w:r>
              <w:rPr>
                <w:rFonts w:ascii="Times New Roman" w:hAnsi="Times New Roman"/>
                <w:b w:val="0"/>
                <w:sz w:val="20"/>
              </w:rPr>
              <w:t>5.83</w:t>
            </w:r>
          </w:p>
        </w:tc>
        <w:tc>
          <w:tcPr>
            <w:tcW w:type="dxa" w:w="1129"/>
          </w:tcPr>
          <w:p>
            <w:pPr>
              <w:spacing w:line="240" w:lineRule="auto" w:before="20" w:after="20"/>
              <w:jc w:val="right"/>
            </w:pPr>
            <w:r/>
            <w:r>
              <w:rPr>
                <w:rFonts w:ascii="Times New Roman" w:hAnsi="Times New Roman"/>
                <w:b w:val="0"/>
                <w:sz w:val="20"/>
              </w:rPr>
              <w:t>2.03</w:t>
            </w:r>
          </w:p>
        </w:tc>
        <w:tc>
          <w:tcPr>
            <w:tcW w:type="dxa" w:w="1129"/>
          </w:tcPr>
          <w:p>
            <w:pPr>
              <w:spacing w:line="240" w:lineRule="auto" w:before="20" w:after="20"/>
              <w:jc w:val="right"/>
            </w:pPr>
            <w:r/>
            <w:r>
              <w:rPr>
                <w:rFonts w:ascii="Times New Roman" w:hAnsi="Times New Roman"/>
                <w:b w:val="0"/>
                <w:sz w:val="20"/>
              </w:rPr>
              <w:t>17.47</w:t>
            </w:r>
          </w:p>
        </w:tc>
        <w:tc>
          <w:tcPr>
            <w:tcW w:type="dxa" w:w="1129"/>
          </w:tcPr>
          <w:p>
            <w:pPr>
              <w:spacing w:line="240" w:lineRule="auto" w:before="20" w:after="20"/>
              <w:jc w:val="right"/>
            </w:pPr>
            <w:r/>
            <w:r>
              <w:rPr>
                <w:rFonts w:ascii="Times New Roman" w:hAnsi="Times New Roman"/>
                <w:b w:val="0"/>
                <w:sz w:val="20"/>
              </w:rPr>
              <w:t>801.14</w:t>
            </w:r>
          </w:p>
        </w:tc>
      </w:tr>
      <w:tr>
        <w:tc>
          <w:tcPr>
            <w:tcW w:type="dxa" w:w="1129"/>
          </w:tcPr>
          <w:p>
            <w:pPr>
              <w:spacing w:line="240" w:lineRule="auto" w:before="20" w:after="20"/>
              <w:jc w:val="left"/>
            </w:pPr>
            <w:r/>
            <w:r>
              <w:rPr>
                <w:rFonts w:ascii="Times New Roman" w:hAnsi="Times New Roman"/>
                <w:b w:val="0"/>
                <w:sz w:val="20"/>
              </w:rPr>
              <w:t>Bepari/Faria</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78.12</w:t>
            </w:r>
          </w:p>
        </w:tc>
        <w:tc>
          <w:tcPr>
            <w:tcW w:type="dxa" w:w="1129"/>
          </w:tcPr>
          <w:p>
            <w:pPr>
              <w:spacing w:line="240" w:lineRule="auto" w:before="20" w:after="20"/>
              <w:jc w:val="right"/>
            </w:pPr>
            <w:r/>
            <w:r>
              <w:rPr>
                <w:rFonts w:ascii="Times New Roman" w:hAnsi="Times New Roman"/>
                <w:b w:val="0"/>
                <w:sz w:val="20"/>
              </w:rPr>
              <w:t>36.9</w:t>
            </w:r>
          </w:p>
        </w:tc>
        <w:tc>
          <w:tcPr>
            <w:tcW w:type="dxa" w:w="1129"/>
          </w:tcPr>
          <w:p>
            <w:pPr>
              <w:spacing w:line="240" w:lineRule="auto" w:before="20" w:after="20"/>
              <w:jc w:val="right"/>
            </w:pPr>
            <w:r/>
            <w:r>
              <w:rPr>
                <w:rFonts w:ascii="Times New Roman" w:hAnsi="Times New Roman"/>
                <w:b w:val="0"/>
                <w:sz w:val="20"/>
              </w:rPr>
              <w:t>70.14</w:t>
            </w:r>
          </w:p>
        </w:tc>
        <w:tc>
          <w:tcPr>
            <w:tcW w:type="dxa" w:w="1129"/>
          </w:tcPr>
          <w:p>
            <w:pPr>
              <w:spacing w:line="240" w:lineRule="auto" w:before="20" w:after="20"/>
              <w:jc w:val="right"/>
            </w:pPr>
            <w:r/>
            <w:r>
              <w:rPr>
                <w:rFonts w:ascii="Times New Roman" w:hAnsi="Times New Roman"/>
                <w:b w:val="0"/>
                <w:sz w:val="20"/>
              </w:rPr>
              <w:t>28.31</w:t>
            </w:r>
          </w:p>
        </w:tc>
        <w:tc>
          <w:tcPr>
            <w:tcW w:type="dxa" w:w="1129"/>
          </w:tcPr>
          <w:p>
            <w:pPr>
              <w:spacing w:line="240" w:lineRule="auto" w:before="20" w:after="20"/>
              <w:jc w:val="right"/>
            </w:pPr>
            <w:r/>
            <w:r>
              <w:rPr>
                <w:rFonts w:ascii="Times New Roman" w:hAnsi="Times New Roman"/>
                <w:b w:val="0"/>
                <w:sz w:val="20"/>
              </w:rPr>
              <w:t>205.89</w:t>
            </w:r>
          </w:p>
        </w:tc>
        <w:tc>
          <w:tcPr>
            <w:tcW w:type="dxa" w:w="1129"/>
          </w:tcPr>
          <w:p>
            <w:pPr>
              <w:spacing w:line="240" w:lineRule="auto" w:before="20" w:after="20"/>
              <w:jc w:val="right"/>
            </w:pPr>
            <w:r/>
            <w:r>
              <w:rPr>
                <w:rFonts w:ascii="Times New Roman" w:hAnsi="Times New Roman"/>
                <w:b w:val="0"/>
                <w:sz w:val="20"/>
              </w:rPr>
              <w:t>205.26</w:t>
            </w:r>
          </w:p>
        </w:tc>
      </w:tr>
      <w:tr>
        <w:tc>
          <w:tcPr>
            <w:tcW w:type="dxa" w:w="1129"/>
          </w:tcPr>
          <w:p>
            <w:pPr>
              <w:spacing w:line="240" w:lineRule="auto" w:before="20" w:after="20"/>
              <w:jc w:val="left"/>
            </w:pPr>
            <w:r/>
            <w:r>
              <w:rPr>
                <w:rFonts w:ascii="Times New Roman" w:hAnsi="Times New Roman"/>
                <w:b w:val="0"/>
                <w:sz w:val="20"/>
              </w:rPr>
              <w:t>Khuchra retailer</w:t>
            </w:r>
          </w:p>
        </w:tc>
        <w:tc>
          <w:tcPr>
            <w:tcW w:type="dxa" w:w="1129"/>
          </w:tcPr>
          <w:p>
            <w:pPr>
              <w:spacing w:line="240" w:lineRule="auto" w:before="20" w:after="20"/>
              <w:jc w:val="right"/>
            </w:pPr>
            <w:r/>
            <w:r>
              <w:rPr>
                <w:rFonts w:ascii="Times New Roman" w:hAnsi="Times New Roman"/>
                <w:b w:val="0"/>
                <w:sz w:val="20"/>
              </w:rPr>
              <w:t>30</w:t>
            </w:r>
          </w:p>
        </w:tc>
        <w:tc>
          <w:tcPr>
            <w:tcW w:type="dxa" w:w="1129"/>
          </w:tcPr>
          <w:p>
            <w:pPr>
              <w:spacing w:line="240" w:lineRule="auto" w:before="20" w:after="20"/>
              <w:jc w:val="right"/>
            </w:pPr>
            <w:r/>
            <w:r>
              <w:rPr>
                <w:rFonts w:ascii="Times New Roman" w:hAnsi="Times New Roman"/>
                <w:b w:val="0"/>
                <w:sz w:val="20"/>
              </w:rPr>
              <w:t>50.95</w:t>
            </w:r>
          </w:p>
        </w:tc>
        <w:tc>
          <w:tcPr>
            <w:tcW w:type="dxa" w:w="1129"/>
          </w:tcPr>
          <w:p>
            <w:pPr>
              <w:spacing w:line="240" w:lineRule="auto" w:before="20" w:after="20"/>
              <w:jc w:val="right"/>
            </w:pPr>
            <w:r/>
            <w:r>
              <w:rPr>
                <w:rFonts w:ascii="Times New Roman" w:hAnsi="Times New Roman"/>
                <w:b w:val="0"/>
                <w:sz w:val="20"/>
              </w:rPr>
              <w:t>18.28</w:t>
            </w:r>
          </w:p>
        </w:tc>
        <w:tc>
          <w:tcPr>
            <w:tcW w:type="dxa" w:w="1129"/>
          </w:tcPr>
          <w:p>
            <w:pPr>
              <w:spacing w:line="240" w:lineRule="auto" w:before="20" w:after="20"/>
              <w:jc w:val="right"/>
            </w:pPr>
            <w:r/>
            <w:r>
              <w:rPr>
                <w:rFonts w:ascii="Times New Roman" w:hAnsi="Times New Roman"/>
                <w:b w:val="0"/>
                <w:sz w:val="20"/>
              </w:rPr>
              <w:t>54.05</w:t>
            </w:r>
          </w:p>
        </w:tc>
        <w:tc>
          <w:tcPr>
            <w:tcW w:type="dxa" w:w="1129"/>
          </w:tcPr>
          <w:p>
            <w:pPr>
              <w:spacing w:line="240" w:lineRule="auto" w:before="20" w:after="20"/>
              <w:jc w:val="right"/>
            </w:pPr>
            <w:r/>
            <w:r>
              <w:rPr>
                <w:rFonts w:ascii="Times New Roman" w:hAnsi="Times New Roman"/>
                <w:b w:val="0"/>
                <w:sz w:val="20"/>
              </w:rPr>
              <w:t>18.03</w:t>
            </w:r>
          </w:p>
        </w:tc>
        <w:tc>
          <w:tcPr>
            <w:tcW w:type="dxa" w:w="1129"/>
          </w:tcPr>
          <w:p>
            <w:pPr>
              <w:spacing w:line="240" w:lineRule="auto" w:before="20" w:after="20"/>
              <w:jc w:val="right"/>
            </w:pPr>
            <w:r/>
            <w:r>
              <w:rPr>
                <w:rFonts w:ascii="Times New Roman" w:hAnsi="Times New Roman"/>
                <w:b w:val="0"/>
                <w:sz w:val="20"/>
              </w:rPr>
              <w:t>83.07</w:t>
            </w:r>
          </w:p>
        </w:tc>
        <w:tc>
          <w:tcPr>
            <w:tcW w:type="dxa" w:w="1129"/>
          </w:tcPr>
          <w:p>
            <w:pPr>
              <w:spacing w:line="240" w:lineRule="auto" w:before="20" w:after="20"/>
              <w:jc w:val="right"/>
            </w:pPr>
            <w:r/>
            <w:r>
              <w:rPr>
                <w:rFonts w:ascii="Times New Roman" w:hAnsi="Times New Roman"/>
                <w:b w:val="0"/>
                <w:sz w:val="20"/>
              </w:rPr>
              <w:t>95.94</w:t>
            </w:r>
          </w:p>
        </w:tc>
      </w:tr>
      <w:tr>
        <w:tc>
          <w:tcPr>
            <w:tcW w:type="dxa" w:w="1129"/>
          </w:tcPr>
          <w:p>
            <w:pPr>
              <w:spacing w:line="240" w:lineRule="auto" w:before="20" w:after="20"/>
              <w:jc w:val="left"/>
            </w:pPr>
            <w:r/>
            <w:r>
              <w:rPr>
                <w:rFonts w:ascii="Times New Roman" w:hAnsi="Times New Roman"/>
                <w:b w:val="0"/>
                <w:sz w:val="20"/>
              </w:rPr>
              <w:t>Aratdar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29.94</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Bepari/Faria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104.87</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Retailer segment margin</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116.53</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r>
        <w:tc>
          <w:tcPr>
            <w:tcW w:type="dxa" w:w="1129"/>
          </w:tcPr>
          <w:p>
            <w:pPr>
              <w:spacing w:line="240" w:lineRule="auto" w:before="20" w:after="20"/>
              <w:jc w:val="left"/>
            </w:pPr>
            <w:r/>
            <w:r>
              <w:rPr>
                <w:rFonts w:ascii="Times New Roman" w:hAnsi="Times New Roman"/>
                <w:b w:val="0"/>
                <w:sz w:val="20"/>
              </w:rPr>
              <w:t>Total price spread</w:t>
            </w:r>
          </w:p>
        </w:tc>
        <w:tc>
          <w:tcPr>
            <w:tcW w:type="dxa" w:w="1129"/>
          </w:tcPr>
          <w:p>
            <w:pPr>
              <w:spacing w:line="240" w:lineRule="auto" w:before="20" w:after="20"/>
              <w:jc w:val="right"/>
            </w:pPr>
            <w:r/>
            <w:r>
              <w:rPr>
                <w:rFonts w:ascii="Times New Roman" w:hAnsi="Times New Roman"/>
                <w:b w:val="0"/>
                <w:sz w:val="20"/>
              </w:rPr>
              <w:t>6 species</w:t>
            </w:r>
          </w:p>
        </w:tc>
        <w:tc>
          <w:tcPr>
            <w:tcW w:type="dxa" w:w="1129"/>
          </w:tcPr>
          <w:p>
            <w:pPr>
              <w:spacing w:line="240" w:lineRule="auto" w:before="20" w:after="20"/>
              <w:jc w:val="right"/>
            </w:pPr>
            <w:r/>
            <w:r>
              <w:rPr>
                <w:rFonts w:ascii="Times New Roman" w:hAnsi="Times New Roman"/>
                <w:b w:val="0"/>
                <w:sz w:val="20"/>
              </w:rPr>
              <w:t>251.34</w:t>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c>
          <w:tcPr>
            <w:tcW w:type="dxa" w:w="1129"/>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actor-specific cost modules normalised to BDT per kilogram following Equation 3.3; segment margins from Table 4.6. Costs are converted to a common daily basis using 26 trading days per month and 312 per year, and physical losses are valued at the respondent's own mean purchase price. The last four rows are segment margins, not costs, and are shown for comparison; they sum to the total spread.</w:t>
      </w:r>
    </w:p>
    <w:p>
      <w:pPr>
        <w:spacing w:line="317" w:lineRule="auto" w:before="0" w:after="200"/>
        <w:jc w:val="left"/>
      </w:pPr>
      <w:r>
        <w:rPr>
          <w:rFonts w:ascii="Times New Roman" w:hAnsi="Times New Roman"/>
          <w:b w:val="0"/>
          <w:i w:val="0"/>
          <w:sz w:val="24"/>
        </w:rPr>
        <w:t>Table 4.8 completes the picture by locating the cost. Marketing cost per kilogram is BDT 7.12 for aratdars, BDT 78.12 for beparis and farias and BDT 50.95 for retailers, summing to the BDT 136.19 per kg used in Section 4.8. The mobile wholesale tier is by a wide margin the cost-heaviest node in the chain, spending more than eleven times as much per kilogram as the arat and more than the retailer does, on a throughput roughly a quarter of the arat's.</w:t>
      </w:r>
    </w:p>
    <w:p>
      <w:pPr>
        <w:spacing w:line="317" w:lineRule="auto" w:before="0" w:after="200"/>
        <w:jc w:val="left"/>
      </w:pPr>
      <w:r>
        <w:rPr>
          <w:rFonts w:ascii="Times New Roman" w:hAnsi="Times New Roman"/>
          <w:b w:val="0"/>
          <w:i w:val="0"/>
          <w:sz w:val="24"/>
        </w:rPr>
        <w:t>This result inverts the expectation that the fixed-premises operator bears the heaviest cost, and the explanation lies in the denominator rather than the numerator. Marketing cost is normalised by each respondent's own throughput, and throughput differs by an order of magnitude across strata, so the figures measure cost intensity at very different operating scales. The bepari or faria spends heavily on transport at a mean BDT 1,976.67 per trip and on ice at 73.57 kg per day, but moves only 205 kg daily, so those costs land on few kilograms. The aratdar spends more in absolute terms, employing 5.47 workers at BDT 673.33 per day, but spreads it across 801 kg. Read as cost intensity rather than as total burden, the figures are coherent; read naively, they would mislead, and this is why the throughput column is reported alongside them and why the caveat in Section 3.11 applies.</w:t>
      </w:r>
    </w:p>
    <w:p>
      <w:pPr>
        <w:spacing w:line="317" w:lineRule="auto" w:before="0" w:after="200"/>
        <w:jc w:val="left"/>
      </w:pPr>
      <w:r>
        <w:rPr>
          <w:rFonts w:ascii="Times New Roman" w:hAnsi="Times New Roman"/>
          <w:b w:val="0"/>
          <w:i w:val="0"/>
          <w:sz w:val="24"/>
        </w:rPr>
        <w:t>The relation between cost and margin is the substantive finding. The aratdar segment has the lowest cost per kilogram and the smallest margin; the bepari or faria segment has the highest cost per kilogram and a middle margin; the retailer has a middle cost and the largest margin. Cost and margin are therefore not proportional across segments, and the segment that incurs the most cost is not the segment that captures the most margin. Combined with the Section 4.7 result that 88.1 per cent of the spread is created downstream of the landing, the evidence does not support the view that the arat is the principal site of extraction in this chain.</w:t>
      </w:r>
    </w:p>
    <w:p>
      <w:pPr>
        <w:spacing w:line="317" w:lineRule="auto" w:before="0" w:after="200"/>
        <w:jc w:val="left"/>
      </w:pPr>
      <w:r>
        <w:rPr>
          <w:rFonts w:ascii="Times New Roman" w:hAnsi="Times New Roman"/>
          <w:b w:val="0"/>
          <w:i w:val="0"/>
          <w:sz w:val="24"/>
        </w:rPr>
        <w:t>The relationship between marketing cost and profit was examined at retailer level using Spearman's rank correlation on the 30 per-kilogram cost and net-profit pairs. The association is weak and negative, rho = minus 0.162, and does not approach significance, p = 0.393. Higher per-kilogram marketing cost is therefore neither rewarded nor systematically penalised in net profit at retail in this sample. This is a null result and is reported as such. It is consistent with retailers facing a market in which the selling price is set by local competition and the going rate rather than by their own cost structure, so that cost differences show up in profit variability rather than in a cost-profit gradient. It also means the cost data should not be read as evidence that heavier spending generates higher returns.</w:t>
      </w:r>
    </w:p>
    <w:p>
      <w:pPr>
        <w:keepNext/>
        <w:spacing w:line="240" w:lineRule="auto" w:before="200" w:after="80"/>
        <w:jc w:val="center"/>
      </w:pPr>
      <w:r>
        <w:rPr>
          <w:rFonts w:ascii="Times New Roman" w:hAnsi="Times New Roman"/>
          <w:b/>
          <w:i w:val="0"/>
          <w:sz w:val="20"/>
        </w:rPr>
        <w:t>Figure 4.4: Price progression through the marketing chain by species</w:t>
      </w:r>
    </w:p>
    <w:p>
      <w:pPr>
        <w:spacing w:line="240" w:lineRule="auto" w:before="80" w:after="40"/>
        <w:jc w:val="center"/>
      </w:pPr>
      <w:r>
        <w:drawing>
          <wp:inline xmlns:a="http://schemas.openxmlformats.org/drawingml/2006/main" xmlns:pic="http://schemas.openxmlformats.org/drawingml/2006/picture">
            <wp:extent cx="5303520" cy="3857105"/>
            <wp:docPr id="4" name="Picture 4"/>
            <wp:cNvGraphicFramePr>
              <a:graphicFrameLocks noChangeAspect="1"/>
            </wp:cNvGraphicFramePr>
            <a:graphic>
              <a:graphicData uri="http://schemas.openxmlformats.org/drawingml/2006/picture">
                <pic:pic>
                  <pic:nvPicPr>
                    <pic:cNvPr id="0" name="F3_price_chain_progression.png"/>
                    <pic:cNvPicPr/>
                  </pic:nvPicPr>
                  <pic:blipFill>
                    <a:blip r:embed="rId13"/>
                    <a:stretch>
                      <a:fillRect/>
                    </a:stretch>
                  </pic:blipFill>
                  <pic:spPr>
                    <a:xfrm>
                      <a:off x="0" y="0"/>
                      <a:ext cx="5303520" cy="3857105"/>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Table 4.6.</w:t>
      </w:r>
    </w:p>
    <w:p>
      <w:pPr>
        <w:spacing w:line="317" w:lineRule="auto" w:before="0" w:after="200"/>
        <w:jc w:val="left"/>
      </w:pPr>
      <w:r>
        <w:rPr>
          <w:rFonts w:ascii="Times New Roman" w:hAnsi="Times New Roman"/>
          <w:b w:val="0"/>
          <w:i w:val="0"/>
          <w:sz w:val="24"/>
        </w:rPr>
        <w:t>Figure 4.4 makes the structural point of the chapter visible: the steepest segments of every species' chain lie downstream of the landing. The producer-to-aratdar rise is comparatively shallow for every species, while the aratdar-to-bepari and bepari-to-retailer rises are steep and roughly parallel. Whatever generates the spread in Chattogram's marine fish markets, it operates with similar force across species, which points to a common cost and structure rather than to species-specific scarcity rents.</w:t>
      </w:r>
    </w:p>
    <w:p>
      <w:pPr>
        <w:pStyle w:val="Heading2"/>
      </w:pPr>
      <w:r>
        <w:t>4.10 Spatial variation in prices across markets (Objective 3)</w:t>
      </w:r>
    </w:p>
    <w:p>
      <w:pPr>
        <w:keepNext/>
        <w:spacing w:line="240" w:lineRule="auto" w:before="200" w:after="60"/>
        <w:jc w:val="center"/>
      </w:pPr>
      <w:r>
        <w:rPr>
          <w:rFonts w:ascii="Times New Roman" w:hAnsi="Times New Roman"/>
          <w:b/>
          <w:i w:val="0"/>
          <w:sz w:val="20"/>
        </w:rPr>
        <w:t>Table 4.9: Mean retail price by species and market, BDT per kilogram</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290"/>
        <w:gridCol w:w="1290"/>
        <w:gridCol w:w="1290"/>
        <w:gridCol w:w="1290"/>
        <w:gridCol w:w="1290"/>
        <w:gridCol w:w="1290"/>
        <w:gridCol w:w="1290"/>
      </w:tblGrid>
      <w:tr>
        <w:tc>
          <w:tcPr>
            <w:tcW w:type="dxa" w:w="1290"/>
          </w:tcPr>
          <w:p>
            <w:pPr>
              <w:spacing w:line="240" w:lineRule="auto" w:before="20" w:after="20"/>
              <w:jc w:val="left"/>
            </w:pPr>
            <w:r/>
            <w:r>
              <w:rPr>
                <w:rFonts w:ascii="Times New Roman" w:hAnsi="Times New Roman"/>
                <w:b/>
                <w:sz w:val="20"/>
              </w:rPr>
              <w:t>Species</w:t>
            </w:r>
          </w:p>
        </w:tc>
        <w:tc>
          <w:tcPr>
            <w:tcW w:type="dxa" w:w="1290"/>
          </w:tcPr>
          <w:p>
            <w:pPr>
              <w:spacing w:line="240" w:lineRule="auto" w:before="20" w:after="20"/>
              <w:jc w:val="right"/>
            </w:pPr>
            <w:r/>
            <w:r>
              <w:rPr>
                <w:rFonts w:ascii="Times New Roman" w:hAnsi="Times New Roman"/>
                <w:b/>
                <w:sz w:val="20"/>
              </w:rPr>
              <w:t>Fishery Ghat</w:t>
            </w:r>
          </w:p>
        </w:tc>
        <w:tc>
          <w:tcPr>
            <w:tcW w:type="dxa" w:w="1290"/>
          </w:tcPr>
          <w:p>
            <w:pPr>
              <w:spacing w:line="240" w:lineRule="auto" w:before="20" w:after="20"/>
              <w:jc w:val="right"/>
            </w:pPr>
            <w:r/>
            <w:r>
              <w:rPr>
                <w:rFonts w:ascii="Times New Roman" w:hAnsi="Times New Roman"/>
                <w:b/>
                <w:sz w:val="20"/>
              </w:rPr>
              <w:t>Chawkbazar</w:t>
            </w:r>
          </w:p>
        </w:tc>
        <w:tc>
          <w:tcPr>
            <w:tcW w:type="dxa" w:w="1290"/>
          </w:tcPr>
          <w:p>
            <w:pPr>
              <w:spacing w:line="240" w:lineRule="auto" w:before="20" w:after="20"/>
              <w:jc w:val="right"/>
            </w:pPr>
            <w:r/>
            <w:r>
              <w:rPr>
                <w:rFonts w:ascii="Times New Roman" w:hAnsi="Times New Roman"/>
                <w:b/>
                <w:sz w:val="20"/>
              </w:rPr>
              <w:t>Kazir Dewri</w:t>
            </w:r>
          </w:p>
        </w:tc>
        <w:tc>
          <w:tcPr>
            <w:tcW w:type="dxa" w:w="1290"/>
          </w:tcPr>
          <w:p>
            <w:pPr>
              <w:spacing w:line="240" w:lineRule="auto" w:before="20" w:after="20"/>
              <w:jc w:val="right"/>
            </w:pPr>
            <w:r/>
            <w:r>
              <w:rPr>
                <w:rFonts w:ascii="Times New Roman" w:hAnsi="Times New Roman"/>
                <w:b/>
                <w:sz w:val="20"/>
              </w:rPr>
              <w:t>Karnaphuli Complex</w:t>
            </w:r>
          </w:p>
        </w:tc>
        <w:tc>
          <w:tcPr>
            <w:tcW w:type="dxa" w:w="1290"/>
          </w:tcPr>
          <w:p>
            <w:pPr>
              <w:spacing w:line="240" w:lineRule="auto" w:before="20" w:after="20"/>
              <w:jc w:val="right"/>
            </w:pPr>
            <w:r/>
            <w:r>
              <w:rPr>
                <w:rFonts w:ascii="Times New Roman" w:hAnsi="Times New Roman"/>
                <w:b/>
                <w:sz w:val="20"/>
              </w:rPr>
              <w:t>Bahaddarhat</w:t>
            </w:r>
          </w:p>
        </w:tc>
        <w:tc>
          <w:tcPr>
            <w:tcW w:type="dxa" w:w="1290"/>
          </w:tcPr>
          <w:p>
            <w:pPr>
              <w:spacing w:line="240" w:lineRule="auto" w:before="20" w:after="20"/>
              <w:jc w:val="right"/>
            </w:pPr>
            <w:r/>
            <w:r>
              <w:rPr>
                <w:rFonts w:ascii="Times New Roman" w:hAnsi="Times New Roman"/>
                <w:b/>
                <w:sz w:val="20"/>
              </w:rPr>
              <w:t>Patenga</w:t>
            </w:r>
          </w:p>
        </w:tc>
      </w:tr>
      <w:tr>
        <w:tc>
          <w:tcPr>
            <w:tcW w:type="dxa" w:w="1290"/>
          </w:tcPr>
          <w:p>
            <w:pPr>
              <w:spacing w:line="240" w:lineRule="auto" w:before="20" w:after="20"/>
              <w:jc w:val="left"/>
            </w:pPr>
            <w:r/>
            <w:r>
              <w:rPr>
                <w:rFonts w:ascii="Times New Roman" w:hAnsi="Times New Roman"/>
                <w:b w:val="0"/>
                <w:sz w:val="20"/>
              </w:rPr>
              <w:t>S01 Ilish</w:t>
            </w:r>
          </w:p>
        </w:tc>
        <w:tc>
          <w:tcPr>
            <w:tcW w:type="dxa" w:w="1290"/>
          </w:tcPr>
          <w:p>
            <w:pPr>
              <w:spacing w:line="240" w:lineRule="auto" w:before="20" w:after="20"/>
              <w:jc w:val="right"/>
            </w:pPr>
            <w:r/>
            <w:r>
              <w:rPr>
                <w:rFonts w:ascii="Times New Roman" w:hAnsi="Times New Roman"/>
                <w:b w:val="0"/>
                <w:sz w:val="20"/>
              </w:rPr>
              <w:t>1,337.00</w:t>
            </w:r>
          </w:p>
        </w:tc>
        <w:tc>
          <w:tcPr>
            <w:tcW w:type="dxa" w:w="1290"/>
          </w:tcPr>
          <w:p>
            <w:pPr>
              <w:spacing w:line="240" w:lineRule="auto" w:before="20" w:after="20"/>
              <w:jc w:val="right"/>
            </w:pPr>
            <w:r/>
            <w:r>
              <w:rPr>
                <w:rFonts w:ascii="Times New Roman" w:hAnsi="Times New Roman"/>
                <w:b w:val="0"/>
                <w:sz w:val="20"/>
              </w:rPr>
              <w:t>1,443.00</w:t>
            </w:r>
          </w:p>
        </w:tc>
        <w:tc>
          <w:tcPr>
            <w:tcW w:type="dxa" w:w="1290"/>
          </w:tcPr>
          <w:p>
            <w:pPr>
              <w:spacing w:line="240" w:lineRule="auto" w:before="20" w:after="20"/>
              <w:jc w:val="right"/>
            </w:pPr>
            <w:r/>
            <w:r>
              <w:rPr>
                <w:rFonts w:ascii="Times New Roman" w:hAnsi="Times New Roman"/>
                <w:b w:val="0"/>
                <w:sz w:val="20"/>
              </w:rPr>
              <w:t>1,449.00</w:t>
            </w:r>
          </w:p>
        </w:tc>
        <w:tc>
          <w:tcPr>
            <w:tcW w:type="dxa" w:w="1290"/>
          </w:tcPr>
          <w:p>
            <w:pPr>
              <w:spacing w:line="240" w:lineRule="auto" w:before="20" w:after="20"/>
              <w:jc w:val="right"/>
            </w:pPr>
            <w:r/>
            <w:r>
              <w:rPr>
                <w:rFonts w:ascii="Times New Roman" w:hAnsi="Times New Roman"/>
                <w:b w:val="0"/>
                <w:sz w:val="20"/>
              </w:rPr>
              <w:t>1,431.00</w:t>
            </w:r>
          </w:p>
        </w:tc>
        <w:tc>
          <w:tcPr>
            <w:tcW w:type="dxa" w:w="1290"/>
          </w:tcPr>
          <w:p>
            <w:pPr>
              <w:spacing w:line="240" w:lineRule="auto" w:before="20" w:after="20"/>
              <w:jc w:val="right"/>
            </w:pPr>
            <w:r/>
            <w:r>
              <w:rPr>
                <w:rFonts w:ascii="Times New Roman" w:hAnsi="Times New Roman"/>
                <w:b w:val="0"/>
                <w:sz w:val="20"/>
              </w:rPr>
              <w:t>1,519.00</w:t>
            </w:r>
          </w:p>
        </w:tc>
        <w:tc>
          <w:tcPr>
            <w:tcW w:type="dxa" w:w="1290"/>
          </w:tcPr>
          <w:p>
            <w:pPr>
              <w:spacing w:line="240" w:lineRule="auto" w:before="20" w:after="20"/>
              <w:jc w:val="right"/>
            </w:pPr>
            <w:r/>
            <w:r>
              <w:rPr>
                <w:rFonts w:ascii="Times New Roman" w:hAnsi="Times New Roman"/>
                <w:b w:val="0"/>
                <w:sz w:val="20"/>
              </w:rPr>
              <w:t>1,384.00</w:t>
            </w:r>
          </w:p>
        </w:tc>
      </w:tr>
      <w:tr>
        <w:tc>
          <w:tcPr>
            <w:tcW w:type="dxa" w:w="1290"/>
          </w:tcPr>
          <w:p>
            <w:pPr>
              <w:spacing w:line="240" w:lineRule="auto" w:before="20" w:after="20"/>
              <w:jc w:val="left"/>
            </w:pPr>
            <w:r/>
            <w:r>
              <w:rPr>
                <w:rFonts w:ascii="Times New Roman" w:hAnsi="Times New Roman"/>
                <w:b w:val="0"/>
                <w:sz w:val="20"/>
              </w:rPr>
              <w:t>S02 Rupchanda</w:t>
            </w:r>
          </w:p>
        </w:tc>
        <w:tc>
          <w:tcPr>
            <w:tcW w:type="dxa" w:w="1290"/>
          </w:tcPr>
          <w:p>
            <w:pPr>
              <w:spacing w:line="240" w:lineRule="auto" w:before="20" w:after="20"/>
              <w:jc w:val="right"/>
            </w:pPr>
            <w:r/>
            <w:r>
              <w:rPr>
                <w:rFonts w:ascii="Times New Roman" w:hAnsi="Times New Roman"/>
                <w:b w:val="0"/>
                <w:sz w:val="20"/>
              </w:rPr>
              <w:t>1,552.00</w:t>
            </w:r>
          </w:p>
        </w:tc>
        <w:tc>
          <w:tcPr>
            <w:tcW w:type="dxa" w:w="1290"/>
          </w:tcPr>
          <w:p>
            <w:pPr>
              <w:spacing w:line="240" w:lineRule="auto" w:before="20" w:after="20"/>
              <w:jc w:val="right"/>
            </w:pPr>
            <w:r/>
            <w:r>
              <w:rPr>
                <w:rFonts w:ascii="Times New Roman" w:hAnsi="Times New Roman"/>
                <w:b w:val="0"/>
                <w:sz w:val="20"/>
              </w:rPr>
              <w:t>1,562.00</w:t>
            </w:r>
          </w:p>
        </w:tc>
        <w:tc>
          <w:tcPr>
            <w:tcW w:type="dxa" w:w="1290"/>
          </w:tcPr>
          <w:p>
            <w:pPr>
              <w:spacing w:line="240" w:lineRule="auto" w:before="20" w:after="20"/>
              <w:jc w:val="right"/>
            </w:pPr>
            <w:r/>
            <w:r>
              <w:rPr>
                <w:rFonts w:ascii="Times New Roman" w:hAnsi="Times New Roman"/>
                <w:b w:val="0"/>
                <w:sz w:val="20"/>
              </w:rPr>
              <w:t>1,589.00</w:t>
            </w:r>
          </w:p>
        </w:tc>
        <w:tc>
          <w:tcPr>
            <w:tcW w:type="dxa" w:w="1290"/>
          </w:tcPr>
          <w:p>
            <w:pPr>
              <w:spacing w:line="240" w:lineRule="auto" w:before="20" w:after="20"/>
              <w:jc w:val="right"/>
            </w:pPr>
            <w:r/>
            <w:r>
              <w:rPr>
                <w:rFonts w:ascii="Times New Roman" w:hAnsi="Times New Roman"/>
                <w:b w:val="0"/>
                <w:sz w:val="20"/>
              </w:rPr>
              <w:t>1,518.00</w:t>
            </w:r>
          </w:p>
        </w:tc>
        <w:tc>
          <w:tcPr>
            <w:tcW w:type="dxa" w:w="1290"/>
          </w:tcPr>
          <w:p>
            <w:pPr>
              <w:spacing w:line="240" w:lineRule="auto" w:before="20" w:after="20"/>
              <w:jc w:val="right"/>
            </w:pPr>
            <w:r/>
            <w:r>
              <w:rPr>
                <w:rFonts w:ascii="Times New Roman" w:hAnsi="Times New Roman"/>
                <w:b w:val="0"/>
                <w:sz w:val="20"/>
              </w:rPr>
              <w:t>1,632.00</w:t>
            </w:r>
          </w:p>
        </w:tc>
        <w:tc>
          <w:tcPr>
            <w:tcW w:type="dxa" w:w="1290"/>
          </w:tcPr>
          <w:p>
            <w:pPr>
              <w:spacing w:line="240" w:lineRule="auto" w:before="20" w:after="20"/>
              <w:jc w:val="right"/>
            </w:pPr>
            <w:r/>
            <w:r>
              <w:rPr>
                <w:rFonts w:ascii="Times New Roman" w:hAnsi="Times New Roman"/>
                <w:b w:val="0"/>
                <w:sz w:val="20"/>
              </w:rPr>
              <w:t>1,466.00</w:t>
            </w:r>
          </w:p>
        </w:tc>
      </w:tr>
      <w:tr>
        <w:tc>
          <w:tcPr>
            <w:tcW w:type="dxa" w:w="1290"/>
          </w:tcPr>
          <w:p>
            <w:pPr>
              <w:spacing w:line="240" w:lineRule="auto" w:before="20" w:after="20"/>
              <w:jc w:val="left"/>
            </w:pPr>
            <w:r/>
            <w:r>
              <w:rPr>
                <w:rFonts w:ascii="Times New Roman" w:hAnsi="Times New Roman"/>
                <w:b w:val="0"/>
                <w:sz w:val="20"/>
              </w:rPr>
              <w:t>S03 Lakkha</w:t>
            </w:r>
          </w:p>
        </w:tc>
        <w:tc>
          <w:tcPr>
            <w:tcW w:type="dxa" w:w="1290"/>
          </w:tcPr>
          <w:p>
            <w:pPr>
              <w:spacing w:line="240" w:lineRule="auto" w:before="20" w:after="20"/>
              <w:jc w:val="right"/>
            </w:pPr>
            <w:r/>
            <w:r>
              <w:rPr>
                <w:rFonts w:ascii="Times New Roman" w:hAnsi="Times New Roman"/>
                <w:b w:val="0"/>
                <w:sz w:val="20"/>
              </w:rPr>
              <w:t>945</w:t>
            </w:r>
          </w:p>
        </w:tc>
        <w:tc>
          <w:tcPr>
            <w:tcW w:type="dxa" w:w="1290"/>
          </w:tcPr>
          <w:p>
            <w:pPr>
              <w:spacing w:line="240" w:lineRule="auto" w:before="20" w:after="20"/>
              <w:jc w:val="right"/>
            </w:pPr>
            <w:r/>
            <w:r>
              <w:rPr>
                <w:rFonts w:ascii="Times New Roman" w:hAnsi="Times New Roman"/>
                <w:b w:val="0"/>
                <w:sz w:val="20"/>
              </w:rPr>
              <w:t>1,026.00</w:t>
            </w:r>
          </w:p>
        </w:tc>
        <w:tc>
          <w:tcPr>
            <w:tcW w:type="dxa" w:w="1290"/>
          </w:tcPr>
          <w:p>
            <w:pPr>
              <w:spacing w:line="240" w:lineRule="auto" w:before="20" w:after="20"/>
              <w:jc w:val="right"/>
            </w:pPr>
            <w:r/>
            <w:r>
              <w:rPr>
                <w:rFonts w:ascii="Times New Roman" w:hAnsi="Times New Roman"/>
                <w:b w:val="0"/>
                <w:sz w:val="20"/>
              </w:rPr>
              <w:t>1,045.00</w:t>
            </w:r>
          </w:p>
        </w:tc>
        <w:tc>
          <w:tcPr>
            <w:tcW w:type="dxa" w:w="1290"/>
          </w:tcPr>
          <w:p>
            <w:pPr>
              <w:spacing w:line="240" w:lineRule="auto" w:before="20" w:after="20"/>
              <w:jc w:val="right"/>
            </w:pPr>
            <w:r/>
            <w:r>
              <w:rPr>
                <w:rFonts w:ascii="Times New Roman" w:hAnsi="Times New Roman"/>
                <w:b w:val="0"/>
                <w:sz w:val="20"/>
              </w:rPr>
              <w:t>1,034.00</w:t>
            </w:r>
          </w:p>
        </w:tc>
        <w:tc>
          <w:tcPr>
            <w:tcW w:type="dxa" w:w="1290"/>
          </w:tcPr>
          <w:p>
            <w:pPr>
              <w:spacing w:line="240" w:lineRule="auto" w:before="20" w:after="20"/>
              <w:jc w:val="right"/>
            </w:pPr>
            <w:r/>
            <w:r>
              <w:rPr>
                <w:rFonts w:ascii="Times New Roman" w:hAnsi="Times New Roman"/>
                <w:b w:val="0"/>
                <w:sz w:val="20"/>
              </w:rPr>
              <w:t>1,030.00</w:t>
            </w:r>
          </w:p>
        </w:tc>
        <w:tc>
          <w:tcPr>
            <w:tcW w:type="dxa" w:w="1290"/>
          </w:tcPr>
          <w:p>
            <w:pPr>
              <w:spacing w:line="240" w:lineRule="auto" w:before="20" w:after="20"/>
              <w:jc w:val="right"/>
            </w:pPr>
            <w:r/>
            <w:r>
              <w:rPr>
                <w:rFonts w:ascii="Times New Roman" w:hAnsi="Times New Roman"/>
                <w:b w:val="0"/>
                <w:sz w:val="20"/>
              </w:rPr>
              <w:t>1,010.00</w:t>
            </w:r>
          </w:p>
        </w:tc>
      </w:tr>
      <w:tr>
        <w:tc>
          <w:tcPr>
            <w:tcW w:type="dxa" w:w="1290"/>
          </w:tcPr>
          <w:p>
            <w:pPr>
              <w:spacing w:line="240" w:lineRule="auto" w:before="20" w:after="20"/>
              <w:jc w:val="left"/>
            </w:pPr>
            <w:r/>
            <w:r>
              <w:rPr>
                <w:rFonts w:ascii="Times New Roman" w:hAnsi="Times New Roman"/>
                <w:b w:val="0"/>
                <w:sz w:val="20"/>
              </w:rPr>
              <w:t>S04 Koral/Kurl</w:t>
            </w:r>
          </w:p>
        </w:tc>
        <w:tc>
          <w:tcPr>
            <w:tcW w:type="dxa" w:w="1290"/>
          </w:tcPr>
          <w:p>
            <w:pPr>
              <w:spacing w:line="240" w:lineRule="auto" w:before="20" w:after="20"/>
              <w:jc w:val="right"/>
            </w:pPr>
            <w:r/>
            <w:r>
              <w:rPr>
                <w:rFonts w:ascii="Times New Roman" w:hAnsi="Times New Roman"/>
                <w:b w:val="0"/>
                <w:sz w:val="20"/>
              </w:rPr>
              <w:t>827</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909</w:t>
            </w:r>
          </w:p>
        </w:tc>
        <w:tc>
          <w:tcPr>
            <w:tcW w:type="dxa" w:w="1290"/>
          </w:tcPr>
          <w:p>
            <w:pPr>
              <w:spacing w:line="240" w:lineRule="auto" w:before="20" w:after="20"/>
              <w:jc w:val="right"/>
            </w:pPr>
            <w:r/>
            <w:r>
              <w:rPr>
                <w:rFonts w:ascii="Times New Roman" w:hAnsi="Times New Roman"/>
                <w:b w:val="0"/>
                <w:sz w:val="20"/>
              </w:rPr>
              <w:t>900</w:t>
            </w:r>
          </w:p>
        </w:tc>
        <w:tc>
          <w:tcPr>
            <w:tcW w:type="dxa" w:w="1290"/>
          </w:tcPr>
          <w:p>
            <w:pPr>
              <w:spacing w:line="240" w:lineRule="auto" w:before="20" w:after="20"/>
              <w:jc w:val="right"/>
            </w:pPr>
            <w:r/>
            <w:r>
              <w:rPr>
                <w:rFonts w:ascii="Times New Roman" w:hAnsi="Times New Roman"/>
                <w:b w:val="0"/>
                <w:sz w:val="20"/>
              </w:rPr>
              <w:t>895</w:t>
            </w:r>
          </w:p>
        </w:tc>
        <w:tc>
          <w:tcPr>
            <w:tcW w:type="dxa" w:w="1290"/>
          </w:tcPr>
          <w:p>
            <w:pPr>
              <w:spacing w:line="240" w:lineRule="auto" w:before="20" w:after="20"/>
              <w:jc w:val="right"/>
            </w:pPr>
            <w:r/>
            <w:r>
              <w:rPr>
                <w:rFonts w:ascii="Times New Roman" w:hAnsi="Times New Roman"/>
                <w:b w:val="0"/>
                <w:sz w:val="20"/>
              </w:rPr>
              <w:t>842</w:t>
            </w:r>
          </w:p>
        </w:tc>
      </w:tr>
      <w:tr>
        <w:tc>
          <w:tcPr>
            <w:tcW w:type="dxa" w:w="1290"/>
          </w:tcPr>
          <w:p>
            <w:pPr>
              <w:spacing w:line="240" w:lineRule="auto" w:before="20" w:after="20"/>
              <w:jc w:val="left"/>
            </w:pPr>
            <w:r/>
            <w:r>
              <w:rPr>
                <w:rFonts w:ascii="Times New Roman" w:hAnsi="Times New Roman"/>
                <w:b w:val="0"/>
                <w:sz w:val="20"/>
              </w:rPr>
              <w:t>S05 Surma</w:t>
            </w:r>
          </w:p>
        </w:tc>
        <w:tc>
          <w:tcPr>
            <w:tcW w:type="dxa" w:w="1290"/>
          </w:tcPr>
          <w:p>
            <w:pPr>
              <w:spacing w:line="240" w:lineRule="auto" w:before="20" w:after="20"/>
              <w:jc w:val="right"/>
            </w:pPr>
            <w:r/>
            <w:r>
              <w:rPr>
                <w:rFonts w:ascii="Times New Roman" w:hAnsi="Times New Roman"/>
                <w:b w:val="0"/>
                <w:sz w:val="20"/>
              </w:rPr>
              <w:t>528</w:t>
            </w:r>
          </w:p>
        </w:tc>
        <w:tc>
          <w:tcPr>
            <w:tcW w:type="dxa" w:w="1290"/>
          </w:tcPr>
          <w:p>
            <w:pPr>
              <w:spacing w:line="240" w:lineRule="auto" w:before="20" w:after="20"/>
              <w:jc w:val="right"/>
            </w:pPr>
            <w:r/>
            <w:r>
              <w:rPr>
                <w:rFonts w:ascii="Times New Roman" w:hAnsi="Times New Roman"/>
                <w:b w:val="0"/>
                <w:sz w:val="20"/>
              </w:rPr>
              <w:t>559</w:t>
            </w:r>
          </w:p>
        </w:tc>
        <w:tc>
          <w:tcPr>
            <w:tcW w:type="dxa" w:w="1290"/>
          </w:tcPr>
          <w:p>
            <w:pPr>
              <w:spacing w:line="240" w:lineRule="auto" w:before="20" w:after="20"/>
              <w:jc w:val="right"/>
            </w:pPr>
            <w:r/>
            <w:r>
              <w:rPr>
                <w:rFonts w:ascii="Times New Roman" w:hAnsi="Times New Roman"/>
                <w:b w:val="0"/>
                <w:sz w:val="20"/>
              </w:rPr>
              <w:t>584</w:t>
            </w:r>
          </w:p>
        </w:tc>
        <w:tc>
          <w:tcPr>
            <w:tcW w:type="dxa" w:w="1290"/>
          </w:tcPr>
          <w:p>
            <w:pPr>
              <w:spacing w:line="240" w:lineRule="auto" w:before="20" w:after="20"/>
              <w:jc w:val="right"/>
            </w:pPr>
            <w:r/>
            <w:r>
              <w:rPr>
                <w:rFonts w:ascii="Times New Roman" w:hAnsi="Times New Roman"/>
                <w:b w:val="0"/>
                <w:sz w:val="20"/>
              </w:rPr>
              <w:t>567</w:t>
            </w:r>
          </w:p>
        </w:tc>
        <w:tc>
          <w:tcPr>
            <w:tcW w:type="dxa" w:w="1290"/>
          </w:tcPr>
          <w:p>
            <w:pPr>
              <w:spacing w:line="240" w:lineRule="auto" w:before="20" w:after="20"/>
              <w:jc w:val="right"/>
            </w:pPr>
            <w:r/>
            <w:r>
              <w:rPr>
                <w:rFonts w:ascii="Times New Roman" w:hAnsi="Times New Roman"/>
                <w:b w:val="0"/>
                <w:sz w:val="20"/>
              </w:rPr>
              <w:t>587</w:t>
            </w:r>
          </w:p>
        </w:tc>
        <w:tc>
          <w:tcPr>
            <w:tcW w:type="dxa" w:w="1290"/>
          </w:tcPr>
          <w:p>
            <w:pPr>
              <w:spacing w:line="240" w:lineRule="auto" w:before="20" w:after="20"/>
              <w:jc w:val="right"/>
            </w:pPr>
            <w:r/>
            <w:r>
              <w:rPr>
                <w:rFonts w:ascii="Times New Roman" w:hAnsi="Times New Roman"/>
                <w:b w:val="0"/>
                <w:sz w:val="20"/>
              </w:rPr>
              <w:t>542</w:t>
            </w:r>
          </w:p>
        </w:tc>
      </w:tr>
      <w:tr>
        <w:tc>
          <w:tcPr>
            <w:tcW w:type="dxa" w:w="1290"/>
          </w:tcPr>
          <w:p>
            <w:pPr>
              <w:spacing w:line="240" w:lineRule="auto" w:before="20" w:after="20"/>
              <w:jc w:val="left"/>
            </w:pPr>
            <w:r/>
            <w:r>
              <w:rPr>
                <w:rFonts w:ascii="Times New Roman" w:hAnsi="Times New Roman"/>
                <w:b w:val="0"/>
                <w:sz w:val="20"/>
              </w:rPr>
              <w:t>S06 Churi</w:t>
            </w:r>
          </w:p>
        </w:tc>
        <w:tc>
          <w:tcPr>
            <w:tcW w:type="dxa" w:w="1290"/>
          </w:tcPr>
          <w:p>
            <w:pPr>
              <w:spacing w:line="240" w:lineRule="auto" w:before="20" w:after="20"/>
              <w:jc w:val="right"/>
            </w:pPr>
            <w:r/>
            <w:r>
              <w:rPr>
                <w:rFonts w:ascii="Times New Roman" w:hAnsi="Times New Roman"/>
                <w:b w:val="0"/>
                <w:sz w:val="20"/>
              </w:rPr>
              <w:t>425</w:t>
            </w:r>
          </w:p>
        </w:tc>
        <w:tc>
          <w:tcPr>
            <w:tcW w:type="dxa" w:w="1290"/>
          </w:tcPr>
          <w:p>
            <w:pPr>
              <w:spacing w:line="240" w:lineRule="auto" w:before="20" w:after="20"/>
              <w:jc w:val="right"/>
            </w:pPr>
            <w:r/>
            <w:r>
              <w:rPr>
                <w:rFonts w:ascii="Times New Roman" w:hAnsi="Times New Roman"/>
                <w:b w:val="0"/>
                <w:sz w:val="20"/>
              </w:rPr>
              <w:t>462</w:t>
            </w:r>
          </w:p>
        </w:tc>
        <w:tc>
          <w:tcPr>
            <w:tcW w:type="dxa" w:w="1290"/>
          </w:tcPr>
          <w:p>
            <w:pPr>
              <w:spacing w:line="240" w:lineRule="auto" w:before="20" w:after="20"/>
              <w:jc w:val="right"/>
            </w:pPr>
            <w:r/>
            <w:r>
              <w:rPr>
                <w:rFonts w:ascii="Times New Roman" w:hAnsi="Times New Roman"/>
                <w:b w:val="0"/>
                <w:sz w:val="20"/>
              </w:rPr>
              <w:t>455</w:t>
            </w:r>
          </w:p>
        </w:tc>
        <w:tc>
          <w:tcPr>
            <w:tcW w:type="dxa" w:w="1290"/>
          </w:tcPr>
          <w:p>
            <w:pPr>
              <w:spacing w:line="240" w:lineRule="auto" w:before="20" w:after="20"/>
              <w:jc w:val="right"/>
            </w:pPr>
            <w:r/>
            <w:r>
              <w:rPr>
                <w:rFonts w:ascii="Times New Roman" w:hAnsi="Times New Roman"/>
                <w:b w:val="0"/>
                <w:sz w:val="20"/>
              </w:rPr>
              <w:t>430</w:t>
            </w:r>
          </w:p>
        </w:tc>
        <w:tc>
          <w:tcPr>
            <w:tcW w:type="dxa" w:w="1290"/>
          </w:tcPr>
          <w:p>
            <w:pPr>
              <w:spacing w:line="240" w:lineRule="auto" w:before="20" w:after="20"/>
              <w:jc w:val="right"/>
            </w:pPr>
            <w:r/>
            <w:r>
              <w:rPr>
                <w:rFonts w:ascii="Times New Roman" w:hAnsi="Times New Roman"/>
                <w:b w:val="0"/>
                <w:sz w:val="20"/>
              </w:rPr>
              <w:t>466</w:t>
            </w:r>
          </w:p>
        </w:tc>
        <w:tc>
          <w:tcPr>
            <w:tcW w:type="dxa" w:w="1290"/>
          </w:tcPr>
          <w:p>
            <w:pPr>
              <w:spacing w:line="240" w:lineRule="auto" w:before="20" w:after="20"/>
              <w:jc w:val="right"/>
            </w:pPr>
            <w:r/>
            <w:r>
              <w:rPr>
                <w:rFonts w:ascii="Times New Roman" w:hAnsi="Times New Roman"/>
                <w:b w:val="0"/>
                <w:sz w:val="20"/>
              </w:rPr>
              <w:t>446</w:t>
            </w:r>
          </w:p>
        </w:tc>
      </w:tr>
      <w:tr>
        <w:tc>
          <w:tcPr>
            <w:tcW w:type="dxa" w:w="1290"/>
          </w:tcPr>
          <w:p>
            <w:pPr>
              <w:spacing w:line="240" w:lineRule="auto" w:before="20" w:after="20"/>
              <w:jc w:val="left"/>
            </w:pPr>
            <w:r/>
            <w:r>
              <w:rPr>
                <w:rFonts w:ascii="Times New Roman" w:hAnsi="Times New Roman"/>
                <w:b w:val="0"/>
                <w:sz w:val="20"/>
              </w:rPr>
              <w:t>S07 Poa</w:t>
            </w:r>
          </w:p>
        </w:tc>
        <w:tc>
          <w:tcPr>
            <w:tcW w:type="dxa" w:w="1290"/>
          </w:tcPr>
          <w:p>
            <w:pPr>
              <w:spacing w:line="240" w:lineRule="auto" w:before="20" w:after="20"/>
              <w:jc w:val="right"/>
            </w:pPr>
            <w:r/>
            <w:r>
              <w:rPr>
                <w:rFonts w:ascii="Times New Roman" w:hAnsi="Times New Roman"/>
                <w:b w:val="0"/>
                <w:sz w:val="20"/>
              </w:rPr>
              <w:t>486</w:t>
            </w:r>
          </w:p>
        </w:tc>
        <w:tc>
          <w:tcPr>
            <w:tcW w:type="dxa" w:w="1290"/>
          </w:tcPr>
          <w:p>
            <w:pPr>
              <w:spacing w:line="240" w:lineRule="auto" w:before="20" w:after="20"/>
              <w:jc w:val="right"/>
            </w:pPr>
            <w:r/>
            <w:r>
              <w:rPr>
                <w:rFonts w:ascii="Times New Roman" w:hAnsi="Times New Roman"/>
                <w:b w:val="0"/>
                <w:sz w:val="20"/>
              </w:rPr>
              <w:t>528</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525</w:t>
            </w:r>
          </w:p>
        </w:tc>
        <w:tc>
          <w:tcPr>
            <w:tcW w:type="dxa" w:w="1290"/>
          </w:tcPr>
          <w:p>
            <w:pPr>
              <w:spacing w:line="240" w:lineRule="auto" w:before="20" w:after="20"/>
              <w:jc w:val="right"/>
            </w:pPr>
            <w:r/>
            <w:r>
              <w:rPr>
                <w:rFonts w:ascii="Times New Roman" w:hAnsi="Times New Roman"/>
                <w:b w:val="0"/>
                <w:sz w:val="20"/>
              </w:rPr>
              <w:t>515</w:t>
            </w:r>
          </w:p>
        </w:tc>
        <w:tc>
          <w:tcPr>
            <w:tcW w:type="dxa" w:w="1290"/>
          </w:tcPr>
          <w:p>
            <w:pPr>
              <w:spacing w:line="240" w:lineRule="auto" w:before="20" w:after="20"/>
              <w:jc w:val="right"/>
            </w:pPr>
            <w:r/>
            <w:r>
              <w:rPr>
                <w:rFonts w:ascii="Times New Roman" w:hAnsi="Times New Roman"/>
                <w:b w:val="0"/>
                <w:sz w:val="20"/>
              </w:rPr>
              <w:t>490</w:t>
            </w:r>
          </w:p>
        </w:tc>
      </w:tr>
      <w:tr>
        <w:tc>
          <w:tcPr>
            <w:tcW w:type="dxa" w:w="1290"/>
          </w:tcPr>
          <w:p>
            <w:pPr>
              <w:spacing w:line="240" w:lineRule="auto" w:before="20" w:after="20"/>
              <w:jc w:val="left"/>
            </w:pPr>
            <w:r/>
            <w:r>
              <w:rPr>
                <w:rFonts w:ascii="Times New Roman" w:hAnsi="Times New Roman"/>
                <w:b w:val="0"/>
                <w:sz w:val="20"/>
              </w:rPr>
              <w:t>S08 Kankoita</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330</w:t>
            </w:r>
          </w:p>
        </w:tc>
        <w:tc>
          <w:tcPr>
            <w:tcW w:type="dxa" w:w="1290"/>
          </w:tcPr>
          <w:p>
            <w:pPr>
              <w:spacing w:line="240" w:lineRule="auto" w:before="20" w:after="20"/>
              <w:jc w:val="right"/>
            </w:pPr>
            <w:r/>
            <w:r>
              <w:rPr>
                <w:rFonts w:ascii="Times New Roman" w:hAnsi="Times New Roman"/>
                <w:b w:val="0"/>
                <w:sz w:val="20"/>
              </w:rPr>
            </w:r>
          </w:p>
        </w:tc>
      </w:tr>
      <w:tr>
        <w:tc>
          <w:tcPr>
            <w:tcW w:type="dxa" w:w="1290"/>
          </w:tcPr>
          <w:p>
            <w:pPr>
              <w:spacing w:line="240" w:lineRule="auto" w:before="20" w:after="20"/>
              <w:jc w:val="left"/>
            </w:pPr>
            <w:r/>
            <w:r>
              <w:rPr>
                <w:rFonts w:ascii="Times New Roman" w:hAnsi="Times New Roman"/>
                <w:b w:val="0"/>
                <w:sz w:val="20"/>
              </w:rPr>
              <w:t>S09 Loitta</w:t>
            </w:r>
          </w:p>
        </w:tc>
        <w:tc>
          <w:tcPr>
            <w:tcW w:type="dxa" w:w="1290"/>
          </w:tcPr>
          <w:p>
            <w:pPr>
              <w:spacing w:line="240" w:lineRule="auto" w:before="20" w:after="20"/>
              <w:jc w:val="right"/>
            </w:pPr>
            <w:r/>
            <w:r>
              <w:rPr>
                <w:rFonts w:ascii="Times New Roman" w:hAnsi="Times New Roman"/>
                <w:b w:val="0"/>
                <w:sz w:val="20"/>
              </w:rPr>
              <w:t>242</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r>
      <w:tr>
        <w:tc>
          <w:tcPr>
            <w:tcW w:type="dxa" w:w="1290"/>
          </w:tcPr>
          <w:p>
            <w:pPr>
              <w:spacing w:line="240" w:lineRule="auto" w:before="20" w:after="20"/>
              <w:jc w:val="left"/>
            </w:pPr>
            <w:r/>
            <w:r>
              <w:rPr>
                <w:rFonts w:ascii="Times New Roman" w:hAnsi="Times New Roman"/>
                <w:b w:val="0"/>
                <w:sz w:val="20"/>
              </w:rPr>
              <w:t>S10 Harina</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t>241</w:t>
            </w:r>
          </w:p>
        </w:tc>
        <w:tc>
          <w:tcPr>
            <w:tcW w:type="dxa" w:w="1290"/>
          </w:tcPr>
          <w:p>
            <w:pPr>
              <w:spacing w:line="240" w:lineRule="auto" w:before="20" w:after="20"/>
              <w:jc w:val="right"/>
            </w:pPr>
            <w:r/>
            <w:r>
              <w:rPr>
                <w:rFonts w:ascii="Times New Roman" w:hAnsi="Times New Roman"/>
                <w:b w:val="0"/>
                <w:sz w:val="20"/>
              </w:rPr>
              <w:t>235</w:t>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c>
          <w:tcPr>
            <w:tcW w:type="dxa" w:w="1290"/>
          </w:tcPr>
          <w:p>
            <w:pPr>
              <w:spacing w:line="240" w:lineRule="auto" w:before="20" w:after="20"/>
              <w:jc w:val="right"/>
            </w:pPr>
            <w:r/>
            <w:r>
              <w:rPr>
                <w:rFonts w:ascii="Times New Roman" w:hAnsi="Times New Roman"/>
                <w:b w:val="0"/>
                <w:sz w:val="20"/>
              </w:rPr>
            </w:r>
          </w:p>
        </w:tc>
      </w:tr>
    </w:tbl>
    <w:p>
      <w:pPr>
        <w:spacing w:line="264" w:lineRule="auto" w:before="40" w:after="120"/>
        <w:jc w:val="left"/>
      </w:pPr>
      <w:r>
        <w:rPr>
          <w:rFonts w:ascii="Times New Roman" w:hAnsi="Times New Roman"/>
          <w:b w:val="0"/>
          <w:i/>
          <w:sz w:val="18"/>
        </w:rPr>
        <w:t>Source: buy-sell price grids, retailer selling quotes. Blank cells indicate no valid quotes for that species-market combination. Kankoita, Loitta and Harina appear in only one or two markets and are shown for completeness but do not support inter-market comparison.</w:t>
      </w:r>
    </w:p>
    <w:p>
      <w:pPr>
        <w:spacing w:line="317" w:lineRule="auto" w:before="0" w:after="200"/>
        <w:jc w:val="left"/>
      </w:pPr>
      <w:r>
        <w:rPr>
          <w:rFonts w:ascii="Times New Roman" w:hAnsi="Times New Roman"/>
          <w:b w:val="0"/>
          <w:i w:val="0"/>
          <w:sz w:val="24"/>
        </w:rPr>
        <w:t>Table 4.9 presents the raw spatial dispersion. Ilish ranges from BDT 1,337 per kg at Fishery Ghat to BDT 1,519 at Bahaddarhat, a gap of BDT 182 or 13.6 per cent, and Rupchanda from BDT 1,466 at Patenga to BDT 1,632 at Bahaddarhat, BDT 166 or 11.3 per cent. Bahaddarhat is the highest-priced market for seven of the nine species with comparable coverage, and the two landing-linked markets, Fishery Ghat and Patenga, are the lowest-priced for five of them. The gradient is consistent with distance from the landing point and with the newer, more residential character of Bahaddarhat noted in Section 4.6.</w:t>
      </w:r>
    </w:p>
    <w:p>
      <w:pPr>
        <w:keepNext/>
        <w:spacing w:line="240" w:lineRule="auto" w:before="200" w:after="60"/>
        <w:jc w:val="center"/>
      </w:pPr>
      <w:r>
        <w:rPr>
          <w:rFonts w:ascii="Times New Roman" w:hAnsi="Times New Roman"/>
          <w:b/>
          <w:i w:val="0"/>
          <w:sz w:val="20"/>
        </w:rPr>
        <w:t>Table 4.10: Kruskal-Wallis tests of retail price differences across markets, by species</w:t>
      </w:r>
    </w:p>
    <w:tbl>
      <w:tblPr>
        <w:tblW w:type="auto" w:w="0"/>
        <w:jc w:val="center"/>
        <w:tblLayout w:type="fixed"/>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1003"/>
        <w:gridCol w:w="1003"/>
        <w:gridCol w:w="1003"/>
        <w:gridCol w:w="1003"/>
        <w:gridCol w:w="1003"/>
        <w:gridCol w:w="1003"/>
        <w:gridCol w:w="1003"/>
        <w:gridCol w:w="1003"/>
        <w:gridCol w:w="1003"/>
      </w:tblGrid>
      <w:tr>
        <w:tc>
          <w:tcPr>
            <w:tcW w:type="dxa" w:w="720"/>
          </w:tcPr>
          <w:p>
            <w:pPr>
              <w:spacing w:line="240" w:lineRule="auto" w:before="20" w:after="20"/>
              <w:jc w:val="left"/>
            </w:pPr>
            <w:r/>
            <w:r>
              <w:rPr>
                <w:rFonts w:ascii="Times New Roman" w:hAnsi="Times New Roman"/>
                <w:b/>
                <w:sz w:val="20"/>
              </w:rPr>
              <w:t>Code</w:t>
            </w:r>
          </w:p>
        </w:tc>
        <w:tc>
          <w:tcPr>
            <w:tcW w:type="dxa" w:w="1080"/>
          </w:tcPr>
          <w:p>
            <w:pPr>
              <w:spacing w:line="240" w:lineRule="auto" w:before="20" w:after="20"/>
              <w:jc w:val="left"/>
            </w:pPr>
            <w:r/>
            <w:r>
              <w:rPr>
                <w:rFonts w:ascii="Times New Roman" w:hAnsi="Times New Roman"/>
                <w:b/>
                <w:sz w:val="20"/>
              </w:rPr>
              <w:t>Species</w:t>
            </w:r>
          </w:p>
        </w:tc>
        <w:tc>
          <w:tcPr>
            <w:tcW w:type="dxa" w:w="1080"/>
          </w:tcPr>
          <w:p>
            <w:pPr>
              <w:spacing w:line="240" w:lineRule="auto" w:before="20" w:after="20"/>
              <w:jc w:val="left"/>
            </w:pPr>
            <w:r/>
            <w:r>
              <w:rPr>
                <w:rFonts w:ascii="Times New Roman" w:hAnsi="Times New Roman"/>
                <w:b/>
                <w:sz w:val="20"/>
              </w:rPr>
              <w:t>Test tier</w:t>
            </w:r>
          </w:p>
        </w:tc>
        <w:tc>
          <w:tcPr>
            <w:tcW w:type="dxa" w:w="1080"/>
          </w:tcPr>
          <w:p>
            <w:pPr>
              <w:spacing w:line="240" w:lineRule="auto" w:before="20" w:after="20"/>
              <w:jc w:val="left"/>
            </w:pPr>
            <w:r/>
            <w:r>
              <w:rPr>
                <w:rFonts w:ascii="Times New Roman" w:hAnsi="Times New Roman"/>
                <w:b/>
                <w:sz w:val="20"/>
              </w:rPr>
              <w:t>Markets qualifying</w:t>
            </w:r>
          </w:p>
        </w:tc>
        <w:tc>
          <w:tcPr>
            <w:tcW w:type="dxa" w:w="1080"/>
          </w:tcPr>
          <w:p>
            <w:pPr>
              <w:spacing w:line="240" w:lineRule="auto" w:before="20" w:after="20"/>
              <w:jc w:val="right"/>
            </w:pPr>
            <w:r/>
            <w:r>
              <w:rPr>
                <w:rFonts w:ascii="Times New Roman" w:hAnsi="Times New Roman"/>
                <w:b/>
                <w:sz w:val="20"/>
              </w:rPr>
              <w:t>n per market</w:t>
            </w:r>
          </w:p>
        </w:tc>
        <w:tc>
          <w:tcPr>
            <w:tcW w:type="dxa" w:w="1080"/>
          </w:tcPr>
          <w:p>
            <w:pPr>
              <w:spacing w:line="240" w:lineRule="auto" w:before="20" w:after="20"/>
              <w:jc w:val="right"/>
            </w:pPr>
            <w:r/>
            <w:r>
              <w:rPr>
                <w:rFonts w:ascii="Times New Roman" w:hAnsi="Times New Roman"/>
                <w:b/>
                <w:sz w:val="20"/>
              </w:rPr>
              <w:t>H</w:t>
            </w:r>
          </w:p>
        </w:tc>
        <w:tc>
          <w:tcPr>
            <w:tcW w:type="dxa" w:w="1080"/>
          </w:tcPr>
          <w:p>
            <w:pPr>
              <w:spacing w:line="240" w:lineRule="auto" w:before="20" w:after="20"/>
              <w:jc w:val="right"/>
            </w:pPr>
            <w:r/>
            <w:r>
              <w:rPr>
                <w:rFonts w:ascii="Times New Roman" w:hAnsi="Times New Roman"/>
                <w:b/>
                <w:sz w:val="20"/>
              </w:rPr>
              <w:t>df</w:t>
            </w:r>
          </w:p>
        </w:tc>
        <w:tc>
          <w:tcPr>
            <w:tcW w:type="dxa" w:w="1080"/>
          </w:tcPr>
          <w:p>
            <w:pPr>
              <w:spacing w:line="240" w:lineRule="auto" w:before="20" w:after="20"/>
              <w:jc w:val="right"/>
            </w:pPr>
            <w:r/>
            <w:r>
              <w:rPr>
                <w:rFonts w:ascii="Times New Roman" w:hAnsi="Times New Roman"/>
                <w:b/>
                <w:sz w:val="20"/>
              </w:rPr>
              <w:t>p</w:t>
            </w:r>
          </w:p>
        </w:tc>
        <w:tc>
          <w:tcPr>
            <w:tcW w:type="dxa" w:w="1080"/>
          </w:tcPr>
          <w:p>
            <w:pPr>
              <w:spacing w:line="240" w:lineRule="auto" w:before="20" w:after="20"/>
              <w:jc w:val="right"/>
            </w:pPr>
            <w:r/>
            <w:r>
              <w:rPr>
                <w:rFonts w:ascii="Times New Roman" w:hAnsi="Times New Roman"/>
                <w:b/>
                <w:sz w:val="20"/>
              </w:rPr>
              <w:t>Decision</w:t>
            </w:r>
          </w:p>
        </w:tc>
      </w:tr>
      <w:tr>
        <w:tc>
          <w:tcPr>
            <w:tcW w:type="dxa" w:w="720"/>
          </w:tcPr>
          <w:p>
            <w:pPr>
              <w:spacing w:line="240" w:lineRule="auto" w:before="20" w:after="20"/>
              <w:jc w:val="left"/>
            </w:pPr>
            <w:r/>
            <w:r>
              <w:rPr>
                <w:rFonts w:ascii="Times New Roman" w:hAnsi="Times New Roman"/>
                <w:b w:val="0"/>
                <w:sz w:val="20"/>
              </w:rPr>
              <w:t>S01</w:t>
            </w:r>
          </w:p>
        </w:tc>
        <w:tc>
          <w:tcPr>
            <w:tcW w:type="dxa" w:w="1080"/>
          </w:tcPr>
          <w:p>
            <w:pPr>
              <w:spacing w:line="240" w:lineRule="auto" w:before="20" w:after="20"/>
              <w:jc w:val="left"/>
            </w:pPr>
            <w:r/>
            <w:r>
              <w:rPr>
                <w:rFonts w:ascii="Times New Roman" w:hAnsi="Times New Roman"/>
                <w:b w:val="0"/>
                <w:sz w:val="20"/>
              </w:rPr>
              <w:t>Ilish</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M2; M3; M4; M5; M6</w:t>
            </w:r>
          </w:p>
        </w:tc>
        <w:tc>
          <w:tcPr>
            <w:tcW w:type="dxa" w:w="1080"/>
          </w:tcPr>
          <w:p>
            <w:pPr>
              <w:spacing w:line="240" w:lineRule="auto" w:before="20" w:after="20"/>
              <w:jc w:val="right"/>
            </w:pPr>
            <w:r/>
            <w:r>
              <w:rPr>
                <w:rFonts w:ascii="Times New Roman" w:hAnsi="Times New Roman"/>
                <w:b w:val="0"/>
                <w:sz w:val="20"/>
              </w:rPr>
              <w:t>M1=5; M2=4; M3=3; M4=5; M5=4; M6=3</w:t>
            </w:r>
          </w:p>
        </w:tc>
        <w:tc>
          <w:tcPr>
            <w:tcW w:type="dxa" w:w="1080"/>
          </w:tcPr>
          <w:p>
            <w:pPr>
              <w:spacing w:line="240" w:lineRule="auto" w:before="20" w:after="20"/>
              <w:jc w:val="right"/>
            </w:pPr>
            <w:r/>
            <w:r>
              <w:rPr>
                <w:rFonts w:ascii="Times New Roman" w:hAnsi="Times New Roman"/>
                <w:b w:val="0"/>
                <w:sz w:val="20"/>
              </w:rPr>
              <w:t>17.478</w:t>
            </w:r>
          </w:p>
        </w:tc>
        <w:tc>
          <w:tcPr>
            <w:tcW w:type="dxa" w:w="1080"/>
          </w:tcPr>
          <w:p>
            <w:pPr>
              <w:spacing w:line="240" w:lineRule="auto" w:before="20" w:after="20"/>
              <w:jc w:val="right"/>
            </w:pPr>
            <w:r/>
            <w:r>
              <w:rPr>
                <w:rFonts w:ascii="Times New Roman" w:hAnsi="Times New Roman"/>
                <w:b w:val="0"/>
                <w:sz w:val="20"/>
              </w:rPr>
              <w:t>5</w:t>
            </w:r>
          </w:p>
        </w:tc>
        <w:tc>
          <w:tcPr>
            <w:tcW w:type="dxa" w:w="1080"/>
          </w:tcPr>
          <w:p>
            <w:pPr>
              <w:spacing w:line="240" w:lineRule="auto" w:before="20" w:after="20"/>
              <w:jc w:val="right"/>
            </w:pPr>
            <w:r/>
            <w:r>
              <w:rPr>
                <w:rFonts w:ascii="Times New Roman" w:hAnsi="Times New Roman"/>
                <w:b w:val="0"/>
                <w:sz w:val="20"/>
              </w:rPr>
              <w:t>0.0037</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S02</w:t>
            </w:r>
          </w:p>
        </w:tc>
        <w:tc>
          <w:tcPr>
            <w:tcW w:type="dxa" w:w="1080"/>
          </w:tcPr>
          <w:p>
            <w:pPr>
              <w:spacing w:line="240" w:lineRule="auto" w:before="20" w:after="20"/>
              <w:jc w:val="left"/>
            </w:pPr>
            <w:r/>
            <w:r>
              <w:rPr>
                <w:rFonts w:ascii="Times New Roman" w:hAnsi="Times New Roman"/>
                <w:b w:val="0"/>
                <w:sz w:val="20"/>
              </w:rPr>
              <w:t>Rupchanda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M2; M3; M4; M5; M6</w:t>
            </w:r>
          </w:p>
        </w:tc>
        <w:tc>
          <w:tcPr>
            <w:tcW w:type="dxa" w:w="1080"/>
          </w:tcPr>
          <w:p>
            <w:pPr>
              <w:spacing w:line="240" w:lineRule="auto" w:before="20" w:after="20"/>
              <w:jc w:val="right"/>
            </w:pPr>
            <w:r/>
            <w:r>
              <w:rPr>
                <w:rFonts w:ascii="Times New Roman" w:hAnsi="Times New Roman"/>
                <w:b w:val="0"/>
                <w:sz w:val="20"/>
              </w:rPr>
              <w:t>M2=3; M3=4; M4=3; M5=3; M6=4</w:t>
            </w:r>
          </w:p>
        </w:tc>
        <w:tc>
          <w:tcPr>
            <w:tcW w:type="dxa" w:w="1080"/>
          </w:tcPr>
          <w:p>
            <w:pPr>
              <w:spacing w:line="240" w:lineRule="auto" w:before="20" w:after="20"/>
              <w:jc w:val="right"/>
            </w:pPr>
            <w:r/>
            <w:r>
              <w:rPr>
                <w:rFonts w:ascii="Times New Roman" w:hAnsi="Times New Roman"/>
                <w:b w:val="0"/>
                <w:sz w:val="20"/>
              </w:rPr>
              <w:t>11.657</w:t>
            </w:r>
          </w:p>
        </w:tc>
        <w:tc>
          <w:tcPr>
            <w:tcW w:type="dxa" w:w="1080"/>
          </w:tcPr>
          <w:p>
            <w:pPr>
              <w:spacing w:line="240" w:lineRule="auto" w:before="20" w:after="20"/>
              <w:jc w:val="right"/>
            </w:pPr>
            <w:r/>
            <w:r>
              <w:rPr>
                <w:rFonts w:ascii="Times New Roman" w:hAnsi="Times New Roman"/>
                <w:b w:val="0"/>
                <w:sz w:val="20"/>
              </w:rPr>
              <w:t>4</w:t>
            </w:r>
          </w:p>
        </w:tc>
        <w:tc>
          <w:tcPr>
            <w:tcW w:type="dxa" w:w="1080"/>
          </w:tcPr>
          <w:p>
            <w:pPr>
              <w:spacing w:line="240" w:lineRule="auto" w:before="20" w:after="20"/>
              <w:jc w:val="right"/>
            </w:pPr>
            <w:r/>
            <w:r>
              <w:rPr>
                <w:rFonts w:ascii="Times New Roman" w:hAnsi="Times New Roman"/>
                <w:b w:val="0"/>
                <w:sz w:val="20"/>
              </w:rPr>
              <w:t>0.0201</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S03</w:t>
            </w:r>
          </w:p>
        </w:tc>
        <w:tc>
          <w:tcPr>
            <w:tcW w:type="dxa" w:w="1080"/>
          </w:tcPr>
          <w:p>
            <w:pPr>
              <w:spacing w:line="240" w:lineRule="auto" w:before="20" w:after="20"/>
              <w:jc w:val="left"/>
            </w:pPr>
            <w:r/>
            <w:r>
              <w:rPr>
                <w:rFonts w:ascii="Times New Roman" w:hAnsi="Times New Roman"/>
                <w:b w:val="0"/>
                <w:sz w:val="20"/>
              </w:rPr>
              <w:t>Lakkha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M2; M3; M4</w:t>
            </w:r>
          </w:p>
        </w:tc>
        <w:tc>
          <w:tcPr>
            <w:tcW w:type="dxa" w:w="1080"/>
          </w:tcPr>
          <w:p>
            <w:pPr>
              <w:spacing w:line="240" w:lineRule="auto" w:before="20" w:after="20"/>
              <w:jc w:val="right"/>
            </w:pPr>
            <w:r/>
            <w:r>
              <w:rPr>
                <w:rFonts w:ascii="Times New Roman" w:hAnsi="Times New Roman"/>
                <w:b w:val="0"/>
                <w:sz w:val="20"/>
              </w:rPr>
              <w:t>M2=4; M3=5; M4=3</w:t>
            </w:r>
          </w:p>
        </w:tc>
        <w:tc>
          <w:tcPr>
            <w:tcW w:type="dxa" w:w="1080"/>
          </w:tcPr>
          <w:p>
            <w:pPr>
              <w:spacing w:line="240" w:lineRule="auto" w:before="20" w:after="20"/>
              <w:jc w:val="right"/>
            </w:pPr>
            <w:r/>
            <w:r>
              <w:rPr>
                <w:rFonts w:ascii="Times New Roman" w:hAnsi="Times New Roman"/>
                <w:b w:val="0"/>
                <w:sz w:val="20"/>
              </w:rPr>
              <w:t>1.353</w:t>
            </w:r>
          </w:p>
        </w:tc>
        <w:tc>
          <w:tcPr>
            <w:tcW w:type="dxa" w:w="1080"/>
          </w:tcPr>
          <w:p>
            <w:pPr>
              <w:spacing w:line="240" w:lineRule="auto" w:before="20" w:after="20"/>
              <w:jc w:val="right"/>
            </w:pPr>
            <w:r/>
            <w:r>
              <w:rPr>
                <w:rFonts w:ascii="Times New Roman" w:hAnsi="Times New Roman"/>
                <w:b w:val="0"/>
                <w:sz w:val="20"/>
              </w:rPr>
              <w:t>2</w:t>
            </w:r>
          </w:p>
        </w:tc>
        <w:tc>
          <w:tcPr>
            <w:tcW w:type="dxa" w:w="1080"/>
          </w:tcPr>
          <w:p>
            <w:pPr>
              <w:spacing w:line="240" w:lineRule="auto" w:before="20" w:after="20"/>
              <w:jc w:val="right"/>
            </w:pPr>
            <w:r/>
            <w:r>
              <w:rPr>
                <w:rFonts w:ascii="Times New Roman" w:hAnsi="Times New Roman"/>
                <w:b w:val="0"/>
                <w:sz w:val="20"/>
              </w:rPr>
              <w:t>0.5083</w:t>
            </w:r>
          </w:p>
        </w:tc>
        <w:tc>
          <w:tcPr>
            <w:tcW w:type="dxa" w:w="1080"/>
          </w:tcPr>
          <w:p>
            <w:pPr>
              <w:spacing w:line="240" w:lineRule="auto" w:before="20" w:after="20"/>
              <w:jc w:val="right"/>
            </w:pPr>
            <w:r/>
            <w:r>
              <w:rPr>
                <w:rFonts w:ascii="Times New Roman" w:hAnsi="Times New Roman"/>
                <w:b w:val="0"/>
                <w:sz w:val="20"/>
              </w:rPr>
              <w:t>fail to reject H0 (p&gt;=0.05)</w:t>
            </w:r>
          </w:p>
        </w:tc>
      </w:tr>
      <w:tr>
        <w:tc>
          <w:tcPr>
            <w:tcW w:type="dxa" w:w="720"/>
          </w:tcPr>
          <w:p>
            <w:pPr>
              <w:spacing w:line="240" w:lineRule="auto" w:before="20" w:after="20"/>
              <w:jc w:val="left"/>
            </w:pPr>
            <w:r/>
            <w:r>
              <w:rPr>
                <w:rFonts w:ascii="Times New Roman" w:hAnsi="Times New Roman"/>
                <w:b w:val="0"/>
                <w:sz w:val="20"/>
              </w:rPr>
              <w:t>S04</w:t>
            </w:r>
          </w:p>
        </w:tc>
        <w:tc>
          <w:tcPr>
            <w:tcW w:type="dxa" w:w="1080"/>
          </w:tcPr>
          <w:p>
            <w:pPr>
              <w:spacing w:line="240" w:lineRule="auto" w:before="20" w:after="20"/>
              <w:jc w:val="left"/>
            </w:pPr>
            <w:r/>
            <w:r>
              <w:rPr>
                <w:rFonts w:ascii="Times New Roman" w:hAnsi="Times New Roman"/>
                <w:b w:val="0"/>
                <w:sz w:val="20"/>
              </w:rPr>
              <w:t>Koral/Kurl</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M3; M6</w:t>
            </w:r>
          </w:p>
        </w:tc>
        <w:tc>
          <w:tcPr>
            <w:tcW w:type="dxa" w:w="1080"/>
          </w:tcPr>
          <w:p>
            <w:pPr>
              <w:spacing w:line="240" w:lineRule="auto" w:before="20" w:after="20"/>
              <w:jc w:val="right"/>
            </w:pPr>
            <w:r/>
            <w:r>
              <w:rPr>
                <w:rFonts w:ascii="Times New Roman" w:hAnsi="Times New Roman"/>
                <w:b w:val="0"/>
                <w:sz w:val="20"/>
              </w:rPr>
              <w:t>M1=3; M3=4; M6=5</w:t>
            </w:r>
          </w:p>
        </w:tc>
        <w:tc>
          <w:tcPr>
            <w:tcW w:type="dxa" w:w="1080"/>
          </w:tcPr>
          <w:p>
            <w:pPr>
              <w:spacing w:line="240" w:lineRule="auto" w:before="20" w:after="20"/>
              <w:jc w:val="right"/>
            </w:pPr>
            <w:r/>
            <w:r>
              <w:rPr>
                <w:rFonts w:ascii="Times New Roman" w:hAnsi="Times New Roman"/>
                <w:b w:val="0"/>
                <w:sz w:val="20"/>
              </w:rPr>
              <w:t>7.781</w:t>
            </w:r>
          </w:p>
        </w:tc>
        <w:tc>
          <w:tcPr>
            <w:tcW w:type="dxa" w:w="1080"/>
          </w:tcPr>
          <w:p>
            <w:pPr>
              <w:spacing w:line="240" w:lineRule="auto" w:before="20" w:after="20"/>
              <w:jc w:val="right"/>
            </w:pPr>
            <w:r/>
            <w:r>
              <w:rPr>
                <w:rFonts w:ascii="Times New Roman" w:hAnsi="Times New Roman"/>
                <w:b w:val="0"/>
                <w:sz w:val="20"/>
              </w:rPr>
              <w:t>2</w:t>
            </w:r>
          </w:p>
        </w:tc>
        <w:tc>
          <w:tcPr>
            <w:tcW w:type="dxa" w:w="1080"/>
          </w:tcPr>
          <w:p>
            <w:pPr>
              <w:spacing w:line="240" w:lineRule="auto" w:before="20" w:after="20"/>
              <w:jc w:val="right"/>
            </w:pPr>
            <w:r/>
            <w:r>
              <w:rPr>
                <w:rFonts w:ascii="Times New Roman" w:hAnsi="Times New Roman"/>
                <w:b w:val="0"/>
                <w:sz w:val="20"/>
              </w:rPr>
              <w:t>0.0204</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S05</w:t>
            </w:r>
          </w:p>
        </w:tc>
        <w:tc>
          <w:tcPr>
            <w:tcW w:type="dxa" w:w="1080"/>
          </w:tcPr>
          <w:p>
            <w:pPr>
              <w:spacing w:line="240" w:lineRule="auto" w:before="20" w:after="20"/>
              <w:jc w:val="left"/>
            </w:pPr>
            <w:r/>
            <w:r>
              <w:rPr>
                <w:rFonts w:ascii="Times New Roman" w:hAnsi="Times New Roman"/>
                <w:b w:val="0"/>
                <w:sz w:val="20"/>
              </w:rPr>
              <w:t>Surma</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M3; M4; M5; M6</w:t>
            </w:r>
          </w:p>
        </w:tc>
        <w:tc>
          <w:tcPr>
            <w:tcW w:type="dxa" w:w="1080"/>
          </w:tcPr>
          <w:p>
            <w:pPr>
              <w:spacing w:line="240" w:lineRule="auto" w:before="20" w:after="20"/>
              <w:jc w:val="right"/>
            </w:pPr>
            <w:r/>
            <w:r>
              <w:rPr>
                <w:rFonts w:ascii="Times New Roman" w:hAnsi="Times New Roman"/>
                <w:b w:val="0"/>
                <w:sz w:val="20"/>
              </w:rPr>
              <w:t>M1=4; M3=3; M4=5; M5=5; M6=4</w:t>
            </w:r>
          </w:p>
        </w:tc>
        <w:tc>
          <w:tcPr>
            <w:tcW w:type="dxa" w:w="1080"/>
          </w:tcPr>
          <w:p>
            <w:pPr>
              <w:spacing w:line="240" w:lineRule="auto" w:before="20" w:after="20"/>
              <w:jc w:val="right"/>
            </w:pPr>
            <w:r/>
            <w:r>
              <w:rPr>
                <w:rFonts w:ascii="Times New Roman" w:hAnsi="Times New Roman"/>
                <w:b w:val="0"/>
                <w:sz w:val="20"/>
              </w:rPr>
              <w:t>14.941</w:t>
            </w:r>
          </w:p>
        </w:tc>
        <w:tc>
          <w:tcPr>
            <w:tcW w:type="dxa" w:w="1080"/>
          </w:tcPr>
          <w:p>
            <w:pPr>
              <w:spacing w:line="240" w:lineRule="auto" w:before="20" w:after="20"/>
              <w:jc w:val="right"/>
            </w:pPr>
            <w:r/>
            <w:r>
              <w:rPr>
                <w:rFonts w:ascii="Times New Roman" w:hAnsi="Times New Roman"/>
                <w:b w:val="0"/>
                <w:sz w:val="20"/>
              </w:rPr>
              <w:t>4</w:t>
            </w:r>
          </w:p>
        </w:tc>
        <w:tc>
          <w:tcPr>
            <w:tcW w:type="dxa" w:w="1080"/>
          </w:tcPr>
          <w:p>
            <w:pPr>
              <w:spacing w:line="240" w:lineRule="auto" w:before="20" w:after="20"/>
              <w:jc w:val="right"/>
            </w:pPr>
            <w:r/>
            <w:r>
              <w:rPr>
                <w:rFonts w:ascii="Times New Roman" w:hAnsi="Times New Roman"/>
                <w:b w:val="0"/>
                <w:sz w:val="20"/>
              </w:rPr>
              <w:t>0.0048</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S06</w:t>
            </w:r>
          </w:p>
        </w:tc>
        <w:tc>
          <w:tcPr>
            <w:tcW w:type="dxa" w:w="1080"/>
          </w:tcPr>
          <w:p>
            <w:pPr>
              <w:spacing w:line="240" w:lineRule="auto" w:before="20" w:after="20"/>
              <w:jc w:val="left"/>
            </w:pPr>
            <w:r/>
            <w:r>
              <w:rPr>
                <w:rFonts w:ascii="Times New Roman" w:hAnsi="Times New Roman"/>
                <w:b w:val="0"/>
                <w:sz w:val="20"/>
              </w:rPr>
              <w:t>Churi</w:t>
            </w:r>
          </w:p>
        </w:tc>
        <w:tc>
          <w:tcPr>
            <w:tcW w:type="dxa" w:w="1080"/>
          </w:tcPr>
          <w:p>
            <w:pPr>
              <w:spacing w:line="240" w:lineRule="auto" w:before="20" w:after="20"/>
              <w:jc w:val="left"/>
            </w:pPr>
            <w:r/>
            <w:r>
              <w:rPr>
                <w:rFonts w:ascii="Times New Roman" w:hAnsi="Times New Roman"/>
                <w:b w:val="0"/>
                <w:sz w:val="20"/>
              </w:rPr>
              <w:t>exploratory (n&gt;=3)</w:t>
            </w:r>
          </w:p>
        </w:tc>
        <w:tc>
          <w:tcPr>
            <w:tcW w:type="dxa" w:w="1080"/>
          </w:tcPr>
          <w:p>
            <w:pPr>
              <w:spacing w:line="240" w:lineRule="auto" w:before="20" w:after="20"/>
              <w:jc w:val="left"/>
            </w:pPr>
            <w:r/>
            <w:r>
              <w:rPr>
                <w:rFonts w:ascii="Times New Roman" w:hAnsi="Times New Roman"/>
                <w:b w:val="0"/>
                <w:sz w:val="20"/>
              </w:rPr>
              <w:t>M1; M2; M4; M5</w:t>
            </w:r>
          </w:p>
        </w:tc>
        <w:tc>
          <w:tcPr>
            <w:tcW w:type="dxa" w:w="1080"/>
          </w:tcPr>
          <w:p>
            <w:pPr>
              <w:spacing w:line="240" w:lineRule="auto" w:before="20" w:after="20"/>
              <w:jc w:val="right"/>
            </w:pPr>
            <w:r/>
            <w:r>
              <w:rPr>
                <w:rFonts w:ascii="Times New Roman" w:hAnsi="Times New Roman"/>
                <w:b w:val="0"/>
                <w:sz w:val="20"/>
              </w:rPr>
              <w:t>M1=3; M2=3; M4=4; M5=5</w:t>
            </w:r>
          </w:p>
        </w:tc>
        <w:tc>
          <w:tcPr>
            <w:tcW w:type="dxa" w:w="1080"/>
          </w:tcPr>
          <w:p>
            <w:pPr>
              <w:spacing w:line="240" w:lineRule="auto" w:before="20" w:after="20"/>
              <w:jc w:val="right"/>
            </w:pPr>
            <w:r/>
            <w:r>
              <w:rPr>
                <w:rFonts w:ascii="Times New Roman" w:hAnsi="Times New Roman"/>
                <w:b w:val="0"/>
                <w:sz w:val="20"/>
              </w:rPr>
              <w:t>10.805</w:t>
            </w:r>
          </w:p>
        </w:tc>
        <w:tc>
          <w:tcPr>
            <w:tcW w:type="dxa" w:w="1080"/>
          </w:tcPr>
          <w:p>
            <w:pPr>
              <w:spacing w:line="240" w:lineRule="auto" w:before="20" w:after="20"/>
              <w:jc w:val="right"/>
            </w:pPr>
            <w:r/>
            <w:r>
              <w:rPr>
                <w:rFonts w:ascii="Times New Roman" w:hAnsi="Times New Roman"/>
                <w:b w:val="0"/>
                <w:sz w:val="20"/>
              </w:rPr>
              <w:t>3</w:t>
            </w:r>
          </w:p>
        </w:tc>
        <w:tc>
          <w:tcPr>
            <w:tcW w:type="dxa" w:w="1080"/>
          </w:tcPr>
          <w:p>
            <w:pPr>
              <w:spacing w:line="240" w:lineRule="auto" w:before="20" w:after="20"/>
              <w:jc w:val="right"/>
            </w:pPr>
            <w:r/>
            <w:r>
              <w:rPr>
                <w:rFonts w:ascii="Times New Roman" w:hAnsi="Times New Roman"/>
                <w:b w:val="0"/>
                <w:sz w:val="20"/>
              </w:rPr>
              <w:t>0.0128</w:t>
            </w:r>
          </w:p>
        </w:tc>
        <w:tc>
          <w:tcPr>
            <w:tcW w:type="dxa" w:w="1080"/>
          </w:tcPr>
          <w:p>
            <w:pPr>
              <w:spacing w:line="240" w:lineRule="auto" w:before="20" w:after="20"/>
              <w:jc w:val="right"/>
            </w:pPr>
            <w:r/>
            <w:r>
              <w:rPr>
                <w:rFonts w:ascii="Times New Roman" w:hAnsi="Times New Roman"/>
                <w:b w:val="0"/>
                <w:sz w:val="20"/>
              </w:rPr>
              <w:t>reject H0 (p&lt;0.05): prices differ across markets</w:t>
            </w:r>
          </w:p>
        </w:tc>
      </w:tr>
      <w:tr>
        <w:tc>
          <w:tcPr>
            <w:tcW w:type="dxa" w:w="720"/>
          </w:tcPr>
          <w:p>
            <w:pPr>
              <w:spacing w:line="240" w:lineRule="auto" w:before="20" w:after="20"/>
              <w:jc w:val="left"/>
            </w:pPr>
            <w:r/>
            <w:r>
              <w:rPr>
                <w:rFonts w:ascii="Times New Roman" w:hAnsi="Times New Roman"/>
                <w:b w:val="0"/>
                <w:sz w:val="20"/>
              </w:rPr>
              <w:t>S07</w:t>
            </w:r>
          </w:p>
        </w:tc>
        <w:tc>
          <w:tcPr>
            <w:tcW w:type="dxa" w:w="1080"/>
          </w:tcPr>
          <w:p>
            <w:pPr>
              <w:spacing w:line="240" w:lineRule="auto" w:before="20" w:after="20"/>
              <w:jc w:val="left"/>
            </w:pPr>
            <w:r/>
            <w:r>
              <w:rPr>
                <w:rFonts w:ascii="Times New Roman" w:hAnsi="Times New Roman"/>
                <w:b w:val="0"/>
                <w:sz w:val="20"/>
              </w:rPr>
              <w:t>Poa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r>
        <w:tc>
          <w:tcPr>
            <w:tcW w:type="dxa" w:w="720"/>
          </w:tcPr>
          <w:p>
            <w:pPr>
              <w:spacing w:line="240" w:lineRule="auto" w:before="20" w:after="20"/>
              <w:jc w:val="left"/>
            </w:pPr>
            <w:r/>
            <w:r>
              <w:rPr>
                <w:rFonts w:ascii="Times New Roman" w:hAnsi="Times New Roman"/>
                <w:b w:val="0"/>
                <w:sz w:val="20"/>
              </w:rPr>
              <w:t>S08</w:t>
            </w:r>
          </w:p>
        </w:tc>
        <w:tc>
          <w:tcPr>
            <w:tcW w:type="dxa" w:w="1080"/>
          </w:tcPr>
          <w:p>
            <w:pPr>
              <w:spacing w:line="240" w:lineRule="auto" w:before="20" w:after="20"/>
              <w:jc w:val="left"/>
            </w:pPr>
            <w:r/>
            <w:r>
              <w:rPr>
                <w:rFonts w:ascii="Times New Roman" w:hAnsi="Times New Roman"/>
                <w:b w:val="0"/>
                <w:sz w:val="20"/>
              </w:rPr>
              <w:t>Kankoita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r>
        <w:tc>
          <w:tcPr>
            <w:tcW w:type="dxa" w:w="720"/>
          </w:tcPr>
          <w:p>
            <w:pPr>
              <w:spacing w:line="240" w:lineRule="auto" w:before="20" w:after="20"/>
              <w:jc w:val="left"/>
            </w:pPr>
            <w:r/>
            <w:r>
              <w:rPr>
                <w:rFonts w:ascii="Times New Roman" w:hAnsi="Times New Roman"/>
                <w:b w:val="0"/>
                <w:sz w:val="20"/>
              </w:rPr>
              <w:t>S09</w:t>
            </w:r>
          </w:p>
        </w:tc>
        <w:tc>
          <w:tcPr>
            <w:tcW w:type="dxa" w:w="1080"/>
          </w:tcPr>
          <w:p>
            <w:pPr>
              <w:spacing w:line="240" w:lineRule="auto" w:before="20" w:after="20"/>
              <w:jc w:val="left"/>
            </w:pPr>
            <w:r/>
            <w:r>
              <w:rPr>
                <w:rFonts w:ascii="Times New Roman" w:hAnsi="Times New Roman"/>
                <w:b w:val="0"/>
                <w:sz w:val="20"/>
              </w:rPr>
              <w:t>Loitta</w:t>
            </w:r>
          </w:p>
        </w:tc>
        <w:tc>
          <w:tcPr>
            <w:tcW w:type="dxa" w:w="1080"/>
          </w:tcPr>
          <w:p>
            <w:pPr>
              <w:spacing w:line="240" w:lineRule="auto" w:before="20" w:after="20"/>
              <w:jc w:val="left"/>
            </w:pPr>
            <w:r/>
            <w:r>
              <w:rPr>
                <w:rFonts w:ascii="Times New Roman" w:hAnsi="Times New Roman"/>
                <w:b w:val="0"/>
                <w:sz w:val="20"/>
              </w:rPr>
              <w:t>not run</w:t>
            </w:r>
          </w:p>
        </w:tc>
        <w:tc>
          <w:tcPr>
            <w:tcW w:type="dxa" w:w="1080"/>
          </w:tcPr>
          <w:p>
            <w:pPr>
              <w:spacing w:line="240" w:lineRule="auto" w:before="20" w:after="20"/>
              <w:jc w:val="lef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r>
          </w:p>
        </w:tc>
        <w:tc>
          <w:tcPr>
            <w:tcW w:type="dxa" w:w="1080"/>
          </w:tcPr>
          <w:p>
            <w:pPr>
              <w:spacing w:line="240" w:lineRule="auto" w:before="20" w:after="20"/>
              <w:jc w:val="right"/>
            </w:pPr>
            <w:r/>
            <w:r>
              <w:rPr>
                <w:rFonts w:ascii="Times New Roman" w:hAnsi="Times New Roman"/>
                <w:b w:val="0"/>
                <w:sz w:val="20"/>
              </w:rPr>
              <w:t>cells &lt; n threshold in &lt;3 markets -&gt; descriptive only</w:t>
            </w:r>
          </w:p>
        </w:tc>
      </w:tr>
    </w:tbl>
    <w:p>
      <w:pPr>
        <w:spacing w:line="264" w:lineRule="auto" w:before="40" w:after="120"/>
        <w:jc w:val="left"/>
      </w:pPr>
      <w:r>
        <w:rPr>
          <w:rFonts w:ascii="Times New Roman" w:hAnsi="Times New Roman"/>
          <w:b w:val="0"/>
          <w:i/>
          <w:sz w:val="18"/>
        </w:rPr>
        <w:t>Source: Kruskal-Wallis H computed within species across markets with at least three observations, per Section 3.8. Alpha = 0.05, two-sided. Species below the threshold are listed as not run and are descriptive only.</w:t>
      </w:r>
    </w:p>
    <w:p>
      <w:pPr>
        <w:spacing w:line="317" w:lineRule="auto" w:before="0" w:after="200"/>
        <w:jc w:val="left"/>
      </w:pPr>
      <w:r>
        <w:rPr>
          <w:rFonts w:ascii="Times New Roman" w:hAnsi="Times New Roman"/>
          <w:b w:val="0"/>
          <w:i w:val="0"/>
          <w:sz w:val="24"/>
        </w:rPr>
        <w:t>Table 4.10 reports the formal tests. Of the six species that qualified, five reject the hypothesis of equal prices across markets at the five per cent level: Ilish, H(5) = 17.478, p = 0.004; Rupchanda, H(4) = 11.657, p = 0.020; Koral, H(2) = 7.781, p = 0.020; Surma, H(4) = 14.941, p = 0.005; and Churi, H(3) = 10.805, p = 0.013. Lakkha fails to reject, H(2) = 1.353, p = 0.508. Poa, Kankoita, Loitta and Harina did not qualify for testing. Prices of the same species therefore do differ significantly across Chattogram's markets, and the dispersion visible in Table 4.9 is not sampling noise.</w:t>
      </w:r>
    </w:p>
    <w:p>
      <w:pPr>
        <w:spacing w:line="317" w:lineRule="auto" w:before="0" w:after="200"/>
        <w:jc w:val="left"/>
      </w:pPr>
      <w:r>
        <w:rPr>
          <w:rFonts w:ascii="Times New Roman" w:hAnsi="Times New Roman"/>
          <w:b w:val="0"/>
          <w:i w:val="0"/>
          <w:sz w:val="24"/>
        </w:rPr>
        <w:t>This finding is consistent with Datta and Mustafa's (2026) identification of three distinct market clusters across 20 Chattogram retail markets, and it stands in a specific relation to it: their coverage establishes the clustering with far greater power, while the present result adds that the clustering is detectable even in a six-market, five-respondent-per-cell design, which argues that the underlying dispersion is substantial rather than marginal. The exploratory status declared in Section 3.8 nonetheless applies, and these p-values should be read with the small cell sizes in mind.</w:t>
      </w:r>
    </w:p>
    <w:p>
      <w:pPr>
        <w:spacing w:line="317" w:lineRule="auto" w:before="0" w:after="200"/>
        <w:jc w:val="left"/>
      </w:pPr>
      <w:r>
        <w:rPr>
          <w:rFonts w:ascii="Times New Roman" w:hAnsi="Times New Roman"/>
          <w:b w:val="0"/>
          <w:i w:val="0"/>
          <w:sz w:val="24"/>
        </w:rPr>
        <w:t>The Dunn post-hoc comparisons with Holm step-down familywise error control identify which market pairs drive the omnibus results. Four pairs remain significant after adjustment, out of 44 comparisons tested: Fishery Ghat against Bahaddarhat for Ilish, z = minus 3.82, adjusted p = 0.002; Bahaddarhat against Patenga for Rupchanda, z = 2.919, adjusted p = 0.035; Fishery Ghat against Kazir Dewri for Koral, z = minus 2.546, adjusted p = 0.033; and Fishery Ghat against Bahaddarhat for Surma, z = minus 3.244, adjusted p = 0.012. Every significant pair involves either Fishery Ghat or Patenga, the two landing-linked markets, or Bahaddarhat, the most distant residential market. The spatial price structure of Chattogram's marine fish trade is therefore a landing-to-periphery gradient: proximity to the landing point lowers price, distance from it raises price, and the intermediate central markets are statistically indistinguishable from one another.</w:t>
      </w:r>
    </w:p>
    <w:p>
      <w:pPr>
        <w:keepNext/>
        <w:spacing w:line="240" w:lineRule="auto" w:before="200" w:after="80"/>
        <w:jc w:val="center"/>
      </w:pPr>
      <w:r>
        <w:rPr>
          <w:rFonts w:ascii="Times New Roman" w:hAnsi="Times New Roman"/>
          <w:b/>
          <w:i w:val="0"/>
          <w:sz w:val="20"/>
        </w:rPr>
        <w:t>Figure 4.5: Distribution of retail price by species, boxplot by market</w:t>
      </w:r>
    </w:p>
    <w:p>
      <w:pPr>
        <w:spacing w:line="240" w:lineRule="auto" w:before="80" w:after="4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F2_retail_price_boxplot.png"/>
                    <pic:cNvPicPr/>
                  </pic:nvPicPr>
                  <pic:blipFill>
                    <a:blip r:embed="rId14"/>
                    <a:stretch>
                      <a:fillRect/>
                    </a:stretch>
                  </pic:blipFill>
                  <pic:spPr>
                    <a:xfrm>
                      <a:off x="0" y="0"/>
                      <a:ext cx="5303520" cy="353568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price observations underlying Table 4.9.</w:t>
      </w:r>
    </w:p>
    <w:p>
      <w:pPr>
        <w:spacing w:line="317" w:lineRule="auto" w:before="0" w:after="200"/>
        <w:jc w:val="left"/>
      </w:pPr>
      <w:r>
        <w:rPr>
          <w:rFonts w:ascii="Times New Roman" w:hAnsi="Times New Roman"/>
          <w:b w:val="0"/>
          <w:i w:val="0"/>
          <w:sz w:val="24"/>
        </w:rPr>
        <w:t>The practical significance of this is straightforward. A household buying Ilish at Fishery Ghat rather than Bahaddarhat pays 13.6 per cent less for the same fish, and the gap is large enough to matter to a weekly food budget. Because the omnibus tests reject for five of six species and the significant pairwise contrasts all fall along the same landing-to-periphery axis, the dispersion is structural rather than idiosyncratic, and it is the kind of gap that public price information is well suited to narrow.</w:t>
      </w:r>
    </w:p>
    <w:p>
      <w:pPr>
        <w:pStyle w:val="Heading2"/>
      </w:pPr>
      <w:r>
        <w:t>4.11 Species-wise variation in prices and performance (Objective 3)</w:t>
      </w:r>
    </w:p>
    <w:p>
      <w:pPr>
        <w:spacing w:line="317" w:lineRule="auto" w:before="0" w:after="200"/>
        <w:jc w:val="left"/>
      </w:pPr>
      <w:r>
        <w:rPr>
          <w:rFonts w:ascii="Times New Roman" w:hAnsi="Times New Roman"/>
          <w:b w:val="0"/>
          <w:i w:val="0"/>
          <w:sz w:val="24"/>
        </w:rPr>
        <w:t>Species differ far more in price level than markets do, which is the complementary half of Objective 3. Among the chain-complete species the consumer-paid price spans BDT 446.67 per kg for Churi to BDT 1,568.33 for Rupchanda, a factor of 3.5, against the largest within-species market gap of 13.6 per cent recorded in Section 4.10. Rupchanda, the silver pomfret, is the most expensive species in the sample and Koral the third most expensive, which is consistent with Datta and Mustafa's (2026) observation that retail availability in Chattogram diverges from national production patterns with pomfret overrepresented relative to its share of landings.</w:t>
      </w:r>
    </w:p>
    <w:p>
      <w:pPr>
        <w:spacing w:line="317" w:lineRule="auto" w:before="0" w:after="200"/>
        <w:jc w:val="left"/>
      </w:pPr>
      <w:r>
        <w:rPr>
          <w:rFonts w:ascii="Times New Roman" w:hAnsi="Times New Roman"/>
          <w:b w:val="0"/>
          <w:i w:val="0"/>
          <w:sz w:val="24"/>
        </w:rPr>
        <w:t>What is more interesting is that price level and marketing performance are close to orthogonal. Ilish is the second most expensive species yet returns a below-average producer's share of 71.7 per cent and the highest net marketing margin in the sample at 18.9 per cent, while Koral, at less than two-thirds of the Ilish price, returns the highest producer's share at 74.3 per cent and a net margin of 10.2 per cent. Surma and Poa, the two cheapest chain-complete species after Churi, return the lowest producer's shares and among the lowest net margins. There is no simple ranking in which expensive fish are marketed efficiently and cheap fish inefficiently; the relationship runs through volume, chain length and handling requirements rather than through price alone.</w:t>
      </w:r>
    </w:p>
    <w:p>
      <w:pPr>
        <w:spacing w:line="317" w:lineRule="auto" w:before="0" w:after="200"/>
        <w:jc w:val="left"/>
      </w:pPr>
      <w:r>
        <w:rPr>
          <w:rFonts w:ascii="Times New Roman" w:hAnsi="Times New Roman"/>
          <w:b w:val="0"/>
          <w:i w:val="0"/>
          <w:sz w:val="24"/>
        </w:rPr>
        <w:t>The consumer side of the market was characterised separately through the 30 exit interviews. Three-quarters of purchasers, 73.3 per cent, shop weekly and 26.7 per cent daily, so the Chattogram marine fish consumer is predominantly a weekly bulk buyer rather than a daily shopper, which matters for how spoilage risk is distributed between vendor and household. Asked why they chose a particular seller, 36.7 per cent cited purity, 20.0 per cent familiarity with the shop, 16.7 per cent price and 16.7 per cent proximity. Price is therefore the stated main reason for only a sixth of purchasers, and quality and relationship together account for well over half. That is a market in which switching costs are social as much as economic, and it helps explain why the inter-market price gaps of Section 4.10 persist: consumers are not, in the main, shopping on price.</w:t>
      </w:r>
    </w:p>
    <w:p>
      <w:pPr>
        <w:spacing w:line="317" w:lineRule="auto" w:before="0" w:after="200"/>
        <w:jc w:val="left"/>
      </w:pPr>
      <w:r>
        <w:rPr>
          <w:rFonts w:ascii="Times New Roman" w:hAnsi="Times New Roman"/>
          <w:b w:val="0"/>
          <w:i w:val="0"/>
          <w:sz w:val="24"/>
        </w:rPr>
        <w:t>Taken together, the two halves of Objective 3 point in the same direction. Variation across markets is real but modest, systematic along a landing-to-periphery axis and detectable for five of six tested species. Variation across species is large in level and in marketing performance, and it is the species dimension rather than the market dimension that determines how much of the consumer's taka reaches the fisher. Interventions aimed at improving the producer's position should therefore be targeted by species and by the chain shape each species travels through, rather than by market.</w:t>
      </w:r>
    </w:p>
    <w:p>
      <w:pPr>
        <w:pStyle w:val="Heading2"/>
      </w:pPr>
      <w:r>
        <w:t>4.12 Internal validation of the results</w:t>
      </w:r>
    </w:p>
    <w:p>
      <w:pPr>
        <w:spacing w:line="317" w:lineRule="auto" w:before="0" w:after="200"/>
        <w:jc w:val="left"/>
      </w:pPr>
      <w:r>
        <w:rPr>
          <w:rFonts w:ascii="Times New Roman" w:hAnsi="Times New Roman"/>
          <w:b w:val="0"/>
          <w:i w:val="0"/>
          <w:sz w:val="24"/>
        </w:rPr>
        <w:t>Four internal validity checks were run, all pre-specified. First, the three segment margins telescope to the total spread, BDT 29.94 plus BDT 104.87 plus BDT 116.53 equals BDT 251.34. Second, the producer's share and the spread percentage sum to 100.0. Third, the pooled producer's share in the price-chain table equals that in the margin-summary table at 72.4. All three are checked automatically at the end of every analysis run so that the identities cannot silently drift as the data change. Fourth, the outlier-excluded sensitivity re-estimation moved the pooled producer's share by less than two percentage points, inside the robustness band declared in Section 3.12.</w:t>
      </w:r>
    </w:p>
    <w:p>
      <w:pPr>
        <w:spacing w:line="317" w:lineRule="auto" w:before="0" w:after="200"/>
        <w:jc w:val="left"/>
      </w:pPr>
      <w:r>
        <w:rPr>
          <w:rFonts w:ascii="Times New Roman" w:hAnsi="Times New Roman"/>
          <w:b w:val="0"/>
          <w:i w:val="0"/>
          <w:sz w:val="24"/>
        </w:rPr>
        <w:t>The Wilcoxon signed-rank validation of matched buy-versus-sell self-reports was completed and passed. Fifteen pair identifiers were recorded, of which 13 are usable matched pairs; 10 show a non-zero difference. The median difference is exactly zero BDT per kg and the mean difference is minus 0.32 BDT per kg, giving W = 26.0, p = 0.922. Seller-reported selling prices and buyer-reported purchase prices for the same lots therefore do not differ systematically, which corroborates the internal consistency of the self-reported chain prices. The test is read as a diagnostic rather than as a powered hypothesis test, since 13 pairs is a modest basis for inference, but a median difference of exactly zero is a strong indication that the two sides of the chain are being reported consistently.</w:t>
      </w:r>
    </w:p>
    <w:p>
      <w:pPr>
        <w:spacing w:line="317" w:lineRule="auto" w:before="0" w:after="200"/>
        <w:jc w:val="left"/>
      </w:pPr>
      <w:r>
        <w:rPr>
          <w:rFonts w:ascii="Times New Roman" w:hAnsi="Times New Roman"/>
          <w:b w:val="0"/>
          <w:i w:val="0"/>
          <w:sz w:val="24"/>
        </w:rPr>
        <w:t>One limitation of the validation should be stated. The 13 usable matched pairs are concentrated on Lakkha, Churi, Ilish, Rupchanda, Surma and Koral, and the pairs link aratdar sellers to khuchra buyers rather than spanning the full chain. The check therefore validates consistency at the arat-to-retail interface, which is where the largest single segment margin lies, but it does not independently validate the producer-side first-sale quotations that anchor the producer's share. That remains a proxy, as Section 3.11 states, and no amount of internal consistency checking can convert it into a measured fisher price.</w:t>
      </w:r>
    </w:p>
    <w:p>
      <w:r>
        <w:br w:type="page"/>
      </w:r>
    </w:p>
    <w:p>
      <w:pPr>
        <w:spacing w:line="276" w:lineRule="auto" w:before="0" w:after="120"/>
        <w:jc w:val="center"/>
      </w:pPr>
      <w:r>
        <w:rPr>
          <w:rFonts w:ascii="Times New Roman" w:hAnsi="Times New Roman"/>
          <w:b/>
          <w:i w:val="0"/>
          <w:sz w:val="32"/>
        </w:rPr>
        <w:t>CHAPTER 5</w:t>
      </w:r>
    </w:p>
    <w:p>
      <w:pPr>
        <w:spacing w:line="276" w:lineRule="auto" w:before="0" w:after="120"/>
        <w:jc w:val="center"/>
      </w:pPr>
      <w:r>
        <w:rPr>
          <w:rFonts w:ascii="Times New Roman" w:hAnsi="Times New Roman"/>
          <w:b/>
          <w:i w:val="0"/>
          <w:sz w:val="32"/>
        </w:rPr>
        <w:t>SUMMARY, CONCLUSIONS AND RECOMMENDATIONS</w:t>
      </w:r>
    </w:p>
    <w:p>
      <w:pPr>
        <w:spacing w:line="317" w:lineRule="auto" w:before="0" w:after="200"/>
        <w:jc w:val="left"/>
      </w:pPr>
    </w:p>
    <w:p>
      <w:pPr>
        <w:pStyle w:val="Heading2"/>
      </w:pPr>
      <w:r>
        <w:t>5.1 Summary of findings</w:t>
      </w:r>
    </w:p>
    <w:p>
      <w:pPr>
        <w:spacing w:line="317" w:lineRule="auto" w:before="0" w:after="200"/>
        <w:jc w:val="left"/>
      </w:pPr>
      <w:r>
        <w:rPr>
          <w:rFonts w:ascii="Times New Roman" w:hAnsi="Times New Roman"/>
          <w:b w:val="0"/>
          <w:i w:val="0"/>
          <w:sz w:val="24"/>
        </w:rPr>
        <w:t>This study analysed the marketing system of marine fish in Chattogram, Bangladesh, using a six-market, four-stratum survey covering ten commercially important marine fish species and 120 respondents. The findings are summarised against the three objectives.</w:t>
      </w:r>
    </w:p>
    <w:p>
      <w:pPr>
        <w:pStyle w:val="Heading3"/>
      </w:pPr>
      <w:r>
        <w:t>5.1.1 Objective 1: actor characteristics, business scale, practices, payments, problems and infrastructure</w:t>
      </w:r>
    </w:p>
    <w:p>
      <w:pPr>
        <w:spacing w:line="317" w:lineRule="auto" w:before="0" w:after="200"/>
        <w:jc w:val="left"/>
      </w:pPr>
      <w:r>
        <w:rPr>
          <w:rFonts w:ascii="Times New Roman" w:hAnsi="Times New Roman"/>
          <w:b w:val="0"/>
          <w:i w:val="0"/>
          <w:sz w:val="24"/>
        </w:rPr>
        <w:t>Experience is strongly stratified by tier, with aratdars averaging 20.6 years in the trade and 47.1 years of age against 11.4 years and 38.6 years for retailers, and the gradient is close to monotonic across the three trading positions. Educational attainment is modest throughout, with 13.3 per cent of traders illiterate and only 7.8 per cent educated beyond secondary level, and mean household size is 5.34 persons. Business scale fragments sharply as the chain approaches the consumer, from a mean 801.1 kg per day for aratdars to 205.3 kg for beparis and farias and 95.9 kg for retailers, a ratio of roughly 8 to 2 to 1.</w:t>
      </w:r>
    </w:p>
    <w:p>
      <w:pPr>
        <w:spacing w:line="317" w:lineRule="auto" w:before="0" w:after="200"/>
        <w:jc w:val="left"/>
      </w:pPr>
      <w:r>
        <w:rPr>
          <w:rFonts w:ascii="Times New Roman" w:hAnsi="Times New Roman"/>
          <w:b w:val="0"/>
          <w:i w:val="0"/>
          <w:sz w:val="24"/>
        </w:rPr>
        <w:t>Cash remains dominant at 55 to 70 per cent of transactions and its share falls monotonically towards the consumer, while credit is uniform at 16 to 19 per cent across all three strata. Consumers are considerably more digital than the traders they buy from, with 43.3 per cent of their purchases settled by mobile financial service against a 27.4 per cent transaction share at retail. Adoption does not, however, differ significantly by actor type, chi-square(4) = 2.49, p = 0.647. Day-to-day price volatility is the most reported problem at 32.2 per cent overall and the only one whose incidence rises monotonically towards the consumer, reaching 40.0 per cent among retailers. Ice and cold-chain items occupy three of the six top ranks.</w:t>
      </w:r>
    </w:p>
    <w:p>
      <w:pPr>
        <w:spacing w:line="317" w:lineRule="auto" w:before="0" w:after="200"/>
        <w:jc w:val="left"/>
      </w:pPr>
      <w:r>
        <w:rPr>
          <w:rFonts w:ascii="Times New Roman" w:hAnsi="Times New Roman"/>
          <w:b w:val="0"/>
          <w:i w:val="0"/>
          <w:sz w:val="24"/>
        </w:rPr>
        <w:t>Infrastructure is weakest exactly where it matters most. Karnaphuli Complex is the only market graded Good on drainage, sanitation, water and platform simultaneously, while the two landing-linked markets, Fishery Ghat and Patenga, carry the worst grades, with irregular electricity and water, poor sanitation and partial roofing at Fishery Ghat and Poor grades on four items at Patenga. Ice is available at all six markets but cold storage is absent from all six.</w:t>
      </w:r>
    </w:p>
    <w:p>
      <w:pPr>
        <w:pStyle w:val="Heading3"/>
      </w:pPr>
      <w:r>
        <w:t>5.1.2 Objective 2: channels, flows, costs, margins, spread, producer's share and efficiency</w:t>
      </w:r>
    </w:p>
    <w:p>
      <w:pPr>
        <w:spacing w:line="317" w:lineRule="auto" w:before="0" w:after="200"/>
        <w:jc w:val="left"/>
      </w:pPr>
      <w:r>
        <w:rPr>
          <w:rFonts w:ascii="Times New Roman" w:hAnsi="Times New Roman"/>
          <w:b w:val="0"/>
          <w:i w:val="0"/>
          <w:sz w:val="24"/>
        </w:rPr>
        <w:t>The chain follows the classic Bengali-model arat pattern, with the aratdar acting as a commission-earning facilitator rather than as owner of the fish, and with an effective sequence of fisher to bepari or faria to retailer to consumer. The producer's share is 72.4 per cent of the consumer's taka against a price spread of BDT 251.34 per kg, or 27.6 per cent. Segment margins are BDT 29.94, BDT 104.87 and BDT 116.53 per kg for the aratdar, bepari or faria and retailer segments, telescoping to the spread by construction, with 88.1 per cent of the spread created downstream of the landing.</w:t>
      </w:r>
    </w:p>
    <w:p>
      <w:pPr>
        <w:spacing w:line="317" w:lineRule="auto" w:before="0" w:after="200"/>
        <w:jc w:val="left"/>
      </w:pPr>
      <w:r>
        <w:rPr>
          <w:rFonts w:ascii="Times New Roman" w:hAnsi="Times New Roman"/>
          <w:b w:val="0"/>
          <w:i w:val="0"/>
          <w:sz w:val="24"/>
        </w:rPr>
        <w:t>Marketing cost per kilogram is BDT 7.12 for aratdars, BDT 78.12 for beparis and farias and BDT 50.95 for retailers. The gross marketing margin of 27.6 per cent falls to a net marketing margin of 12.7 per cent once the BDT 136.19 per kg of chain marketing cost is deducted, so 54 per cent of the apparent intermediary margin is absorbed by the cost of moving, icing, financing and retailing a highly perishable commodity. Marketing efficiency is 2.346 on the consumer-referenced Shepherd form and 1.697 on the producer-referenced form, both above unity. Species-level net margins span minus 2.2 per cent on Churi to 18.9 per cent on Ilish, and the association between retailer marketing cost and net profit is weak, negative and non-significant, rho = minus 0.162, p = 0.393.</w:t>
      </w:r>
    </w:p>
    <w:p>
      <w:pPr>
        <w:pStyle w:val="Heading3"/>
      </w:pPr>
      <w:r>
        <w:t>5.1.3 Objective 3: spatial and species-wise variation</w:t>
      </w:r>
    </w:p>
    <w:p>
      <w:pPr>
        <w:spacing w:line="317" w:lineRule="auto" w:before="0" w:after="200"/>
        <w:jc w:val="left"/>
      </w:pPr>
      <w:r>
        <w:rPr>
          <w:rFonts w:ascii="Times New Roman" w:hAnsi="Times New Roman"/>
          <w:b w:val="0"/>
          <w:i w:val="0"/>
          <w:sz w:val="24"/>
        </w:rPr>
        <w:t>Prices of the same species differ significantly across the six markets for five of the six species that qualified for testing: Ilish, p = 0.004; Rupchanda, p = 0.020; Koral, p = 0.020; Surma, p = 0.005; and Churi, p = 0.013. Lakkha does not, p = 0.508. Four of 44 Dunn pairwise contrasts survive Holm adjustment, and every one of them involves either Fishery Ghat or Patenga, the two landing-linked markets, or Bahaddarhat, the most distant residential market, so the spatial structure is a landing-to-periphery gradient. Species-wise variation is larger still: consumer-paid prices span BDT 446.67 to BDT 1,568.33 per kg, a factor of 3.5, against a largest within-species market gap of 13.6 per cent, and the producer's share varies from 70.6 to 74.3 per cent across species while the net margin spans minus 2.2 to 18.9 per cent.</w:t>
      </w:r>
    </w:p>
    <w:p>
      <w:pPr>
        <w:pStyle w:val="Heading2"/>
      </w:pPr>
      <w:r>
        <w:t>5.2 Conclusions</w:t>
      </w:r>
    </w:p>
    <w:p>
      <w:pPr>
        <w:spacing w:line="317" w:lineRule="auto" w:before="0" w:after="200"/>
        <w:jc w:val="left"/>
      </w:pPr>
      <w:r>
        <w:rPr>
          <w:rFonts w:ascii="Times New Roman" w:hAnsi="Times New Roman"/>
          <w:b w:val="0"/>
          <w:i w:val="0"/>
          <w:sz w:val="24"/>
        </w:rPr>
        <w:t>Five conclusions follow from the findings.</w:t>
      </w:r>
    </w:p>
    <w:p>
      <w:pPr>
        <w:spacing w:line="317" w:lineRule="auto" w:before="0" w:after="200"/>
        <w:jc w:val="left"/>
      </w:pPr>
      <w:r>
        <w:rPr>
          <w:rFonts w:ascii="Times New Roman" w:hAnsi="Times New Roman"/>
          <w:b w:val="0"/>
          <w:i w:val="0"/>
          <w:sz w:val="24"/>
        </w:rPr>
        <w:t>First, the producer's share of 72.4 per cent is high by national standards and sits at the top of the reported range, above the 61.46 to 73.83 per cent band Dipty et al. (2026) report for coastal Noakhali and comparable to the 74 per cent Rafi et al. (2024) report for the Bagerhat primary market. Within the limits stated in Section 5.5, Chattogram's short, landing-linked channel returns a larger share of the consumer's taka to the point of first sale than long national chains do, and the comparison is appropriately made against landing-city benchmarks rather than against inland terminal markets.</w:t>
      </w:r>
    </w:p>
    <w:p>
      <w:pPr>
        <w:spacing w:line="317" w:lineRule="auto" w:before="0" w:after="200"/>
        <w:jc w:val="left"/>
      </w:pPr>
      <w:r>
        <w:rPr>
          <w:rFonts w:ascii="Times New Roman" w:hAnsi="Times New Roman"/>
          <w:b w:val="0"/>
          <w:i w:val="0"/>
          <w:sz w:val="24"/>
        </w:rPr>
        <w:t>Second, the margin is not primarily extracted at the landing. It is created downstream, by the transport, icing, financing, fragmentation and retail service functions that stand between the landing and the consumer's bag. This is a materially different picture from the standard critique of fish marketing, which locates the problem at the landing and in the person of the commission agent, and it is consistent with Jahan et al.'s (2024) finding that secondary and consumer-market margins have risen over two decades while primary-market margins have fallen. The aratdar segment carries the smallest margin in the chain, and the evidence does not support the view that it is the principal site of extraction.</w:t>
      </w:r>
    </w:p>
    <w:p>
      <w:pPr>
        <w:spacing w:line="317" w:lineRule="auto" w:before="0" w:after="200"/>
        <w:jc w:val="left"/>
      </w:pPr>
      <w:r>
        <w:rPr>
          <w:rFonts w:ascii="Times New Roman" w:hAnsi="Times New Roman"/>
          <w:b w:val="0"/>
          <w:i w:val="0"/>
          <w:sz w:val="24"/>
        </w:rPr>
        <w:t>Third, the greater part of the apparent intermediary margin is a payment for services rendered. Deducting BDT 136.19 per kg of chain marketing cost reduces the gross margin of 27.6 per cent to a net margin of 12.7 per cent, and both efficiency indices exceed unity. A policy framed on the gross margin would target approximately twice the surplus that actually accrues to intermediaries.</w:t>
      </w:r>
    </w:p>
    <w:p>
      <w:pPr>
        <w:spacing w:line="317" w:lineRule="auto" w:before="0" w:after="200"/>
        <w:jc w:val="left"/>
      </w:pPr>
      <w:r>
        <w:rPr>
          <w:rFonts w:ascii="Times New Roman" w:hAnsi="Times New Roman"/>
          <w:b w:val="0"/>
          <w:i w:val="0"/>
          <w:sz w:val="24"/>
        </w:rPr>
        <w:t>Fourth, the variation that matters for the producer's position is by species rather than by market. Market-level price variation is real but follows a single landing-to-periphery axis, whereas the producer's share and the net marketing margin both vary substantially across species, and on Churi the chain marketing cost exceeds the entire price spread, implying that low-value species are marketed at a net loss and cross-subsidised by high-value ones. Interventions should therefore be targeted by species and by the chain shape each species travels through.</w:t>
      </w:r>
    </w:p>
    <w:p>
      <w:pPr>
        <w:spacing w:line="317" w:lineRule="auto" w:before="0" w:after="200"/>
        <w:jc w:val="left"/>
      </w:pPr>
      <w:r>
        <w:rPr>
          <w:rFonts w:ascii="Times New Roman" w:hAnsi="Times New Roman"/>
          <w:b w:val="0"/>
          <w:i w:val="0"/>
          <w:sz w:val="24"/>
        </w:rPr>
        <w:t>Fifth, Chattogram's consumers are not principally price-driven. Only 16.7 per cent cite price as their main reason for choosing a seller, against 36.7 per cent citing purity and 20.0 per cent familiarity with the shop. Switching costs in this market are social as much as economic, which is a large part of why the inter-market price gaps documented in Section 4.10 persist rather than being arbitraged away.</w:t>
      </w:r>
    </w:p>
    <w:p>
      <w:pPr>
        <w:pStyle w:val="Heading2"/>
      </w:pPr>
      <w:r>
        <w:t>5.3 Recommendations</w:t>
      </w:r>
    </w:p>
    <w:p>
      <w:pPr>
        <w:spacing w:line="317" w:lineRule="auto" w:before="0" w:after="200"/>
        <w:jc w:val="left"/>
      </w:pPr>
      <w:r>
        <w:rPr>
          <w:rFonts w:ascii="Times New Roman" w:hAnsi="Times New Roman"/>
          <w:b w:val="0"/>
          <w:i w:val="0"/>
          <w:sz w:val="24"/>
        </w:rPr>
        <w:t>Five recommendations follow, each tied to the finding that supports it.</w:t>
      </w:r>
    </w:p>
    <w:p>
      <w:pPr>
        <w:spacing w:line="317" w:lineRule="auto" w:before="0" w:after="200"/>
        <w:jc w:val="left"/>
      </w:pPr>
      <w:r>
        <w:rPr>
          <w:rFonts w:ascii="Times New Roman" w:hAnsi="Times New Roman"/>
          <w:b w:val="0"/>
          <w:i w:val="0"/>
          <w:sz w:val="24"/>
        </w:rPr>
        <w:t>First, invest in cold-chain, drainage and power infrastructure at the landing-linked markets, not only at retail. Fishery Ghat and Patenga carry the worst infrastructure grades in the sample and are precisely where first sale occurs, where the fish is most perishable and where loss avoided is worth the most per kilogram. Ice is already available at all six markets, so the binding gap is cold storage, absent everywhere, and reliable electricity and water at the landing points. Because 54 per cent of the gross margin is absorbed by marketing cost, reducing that cost is the most direct way to narrow the spread without reducing anyone's income. This matches the recommendation of Nadia et al. (2022) for modern markets equipped with cold storage and ice factories.</w:t>
      </w:r>
    </w:p>
    <w:p>
      <w:pPr>
        <w:spacing w:line="317" w:lineRule="auto" w:before="0" w:after="200"/>
        <w:jc w:val="left"/>
      </w:pPr>
      <w:r>
        <w:rPr>
          <w:rFonts w:ascii="Times New Roman" w:hAnsi="Times New Roman"/>
          <w:b w:val="0"/>
          <w:i w:val="0"/>
          <w:sz w:val="24"/>
        </w:rPr>
        <w:t>Second, target species rather than markets. The producer's share varies from 70.6 to 74.3 per cent across species while market-level variation follows a single predictable axis, so efforts to shorten chains or improve the producer's position should focus on the species whose chains are longest and whose net margins are thinnest or negative.</w:t>
      </w:r>
    </w:p>
    <w:p>
      <w:pPr>
        <w:spacing w:line="317" w:lineRule="auto" w:before="0" w:after="200"/>
        <w:jc w:val="left"/>
      </w:pPr>
      <w:r>
        <w:rPr>
          <w:rFonts w:ascii="Times New Roman" w:hAnsi="Times New Roman"/>
          <w:b w:val="0"/>
          <w:i w:val="0"/>
          <w:sz w:val="24"/>
        </w:rPr>
        <w:t>Third, publish landing and retail prices rather than regulate margins. The dominant margins are downstream and largely a payment for services, and consumers are not principally shopping on price, so the appropriate instrument is transparency. Public posting of landing and retail prices would address the landing-to-periphery gaps that the tests resolve and that matter to household budgets, without distorting a cost structure that the evidence shows to be largely earned.</w:t>
      </w:r>
    </w:p>
    <w:p>
      <w:pPr>
        <w:spacing w:line="317" w:lineRule="auto" w:before="0" w:after="200"/>
        <w:jc w:val="left"/>
      </w:pPr>
      <w:r>
        <w:rPr>
          <w:rFonts w:ascii="Times New Roman" w:hAnsi="Times New Roman"/>
          <w:b w:val="0"/>
          <w:i w:val="0"/>
          <w:sz w:val="24"/>
        </w:rPr>
        <w:t>Fourth, extend digital payment infrastructure deliberately rather than expecting it to propagate. Adoption does not differ significantly across strata, yet consumers are markedly more digital than the traders they buy from, so demand is running ahead of supply at the point of sale. Interventions should target the wholesale tiers where cash and relationship-based credit remain entrenched, and should be paired with a pathway out of credit dependence, which is uniform at 16 to 19 per cent across all three strata and is the principal mechanism by which supply is bound.</w:t>
      </w:r>
    </w:p>
    <w:p>
      <w:pPr>
        <w:spacing w:line="317" w:lineRule="auto" w:before="0" w:after="200"/>
        <w:jc w:val="left"/>
      </w:pPr>
      <w:r>
        <w:rPr>
          <w:rFonts w:ascii="Times New Roman" w:hAnsi="Times New Roman"/>
          <w:b w:val="0"/>
          <w:i w:val="0"/>
          <w:sz w:val="24"/>
        </w:rPr>
        <w:t>Fifth, formalise the arat's commission function. Because the aratdar is a commission-earning facilitator rather than an owner of the fish, his return is not visible in the price spread and is therefore invisible to margin-based regulation. Transparent, standardised commission schedules, of the kind already observable at Fishery Ghat at 2.5 to 5 per cent per lot, would make that return observable and contestable, and would also clarify the distinction between the aratdar's private rent and the market committee's toll.</w:t>
      </w:r>
    </w:p>
    <w:p>
      <w:pPr>
        <w:pStyle w:val="Heading2"/>
      </w:pPr>
      <w:r>
        <w:t>5.4 Directions for further research</w:t>
      </w:r>
    </w:p>
    <w:p>
      <w:pPr>
        <w:spacing w:line="317" w:lineRule="auto" w:before="0" w:after="200"/>
        <w:jc w:val="left"/>
      </w:pPr>
      <w:r>
        <w:rPr>
          <w:rFonts w:ascii="Times New Roman" w:hAnsi="Times New Roman"/>
          <w:b w:val="0"/>
          <w:i w:val="0"/>
          <w:sz w:val="24"/>
        </w:rPr>
        <w:t>Three directions follow. First, measure the producer price at boat level with fisher interviews rather than proxying it by first-sale quotations at landing-linked markets, which would convert the producer's share from a share reaching the first-sale point into a verified fisher income share. This is the single largest improvement available to the design, since no internal consistency check can compensate for a proxy at the anchor of the chain. Second, repeat the design across seasons with a larger per-cell allocation, which would make the inter-market tests confirmatory rather than exploratory and would allow the seasonality documented in the literature to be measured directly rather than assumed. Third, estimate marketing cost species by species rather than at stratum level, since the present convention forces the same BDT 136.19 per kg onto Churi and Rupchanda alike, which is certainly wrong in detail even though it is the only defensible basis for the pooled estimate.</w:t>
      </w:r>
    </w:p>
    <w:p>
      <w:pPr>
        <w:pStyle w:val="Heading2"/>
      </w:pPr>
      <w:r>
        <w:t>5.5 Limitations of the study</w:t>
      </w:r>
    </w:p>
    <w:p>
      <w:pPr>
        <w:spacing w:line="317" w:lineRule="auto" w:before="0" w:after="200"/>
        <w:jc w:val="left"/>
      </w:pPr>
      <w:r>
        <w:rPr>
          <w:rFonts w:ascii="Times New Roman" w:hAnsi="Times New Roman"/>
          <w:b w:val="0"/>
          <w:i w:val="0"/>
          <w:sz w:val="24"/>
        </w:rPr>
        <w:t>The limitations of Section 3.11 bind every conclusion above and are restated here so that they travel with the findings. The design is cross-sectional and captures one seasonal episode, so no temporal extrapolation is warranted. Markets were purposively nominated and respondents selected by quota and convenience within strata, so results generalise analytically rather than statistically. Producer prices are proxied from first-sale quotations rather than measured at boat level, so the 72.4 per cent is a share reaching the first-sale point and not a verified fisher income share. Cost and loss variables rest partly on recall. The sample size of 120 was fixed on resource and stratum-balance grounds rather than derived from a power calculation matched to the continuous-variable tests. All inter-market inference is exploratory, since the conventional five-observation-per-cell rule is unreachable by design. Per-kilogram marketing costs are normalised by throughputs that differ by an order of magnitude across strata and are therefore not directly interchangeable between them. The survey window opens at the start of the annual hilsa conservation ban, which is not a measured variable here.</w:t>
      </w:r>
    </w:p>
    <w:p>
      <w:pPr>
        <w:spacing w:line="317" w:lineRule="auto" w:before="0" w:after="200"/>
        <w:jc w:val="left"/>
      </w:pPr>
      <w:r>
        <w:rPr>
          <w:rFonts w:ascii="Times New Roman" w:hAnsi="Times New Roman"/>
          <w:b w:val="0"/>
          <w:i w:val="0"/>
          <w:sz w:val="24"/>
        </w:rPr>
        <w:t>Three limitations specific to the reported results should be added to those. Only six of the ten focal species satisfy the chain-completeness rule, so the pooled estimates rest on six species and the remaining four are descriptive only. The chain marketing cost is applied uniformly across species at the stratum level, so the species-level net margins are indicative of ordering rather than precise. And the Wilcoxon matched-pair validation covers the arat-to-retail interface only, leaving the producer-side anchor unvalidated.</w:t>
      </w:r>
    </w:p>
    <w:p>
      <w:pPr>
        <w:spacing w:line="317" w:lineRule="auto" w:before="0" w:after="200"/>
        <w:jc w:val="left"/>
      </w:pPr>
      <w:r>
        <w:rPr>
          <w:rFonts w:ascii="Times New Roman" w:hAnsi="Times New Roman"/>
          <w:b w:val="0"/>
          <w:i w:val="0"/>
          <w:sz w:val="24"/>
        </w:rPr>
        <w:t>One consideration overrides all of these. As set out in Section 3.13, the workbook analysed in this paper is a synthetic realisation of the study design rather than collected field data. Every element of Chapters 1 to 3 describes the frame the analysed data occupy; what is synthetic is the provenance of the individual price, cost and attribute values within that frame. The numbers in Chapter 4 are therefore properties of the generator, not of Chattogram's markets, and no figure derived from them may be cited as an empirical finding. The design, the instruments, the quality gate, the chain conventions, the statistical plan and the reporting templates are all real and are exercised end to end, so that replacing the synthetic workbook with real field data regenerates every table without any change to method.</w:t>
      </w:r>
    </w:p>
    <w:p>
      <w:r>
        <w:br w:type="page"/>
      </w:r>
    </w:p>
    <w:p>
      <w:pPr>
        <w:spacing w:line="276" w:lineRule="auto" w:before="0" w:after="120"/>
        <w:jc w:val="center"/>
      </w:pPr>
      <w:r>
        <w:rPr>
          <w:rFonts w:ascii="Times New Roman" w:hAnsi="Times New Roman"/>
          <w:b/>
          <w:i w:val="0"/>
          <w:sz w:val="32"/>
        </w:rPr>
        <w:t>REFERENCES</w:t>
      </w:r>
    </w:p>
    <w:p>
      <w:pPr>
        <w:spacing w:line="317" w:lineRule="auto" w:before="0" w:after="200"/>
        <w:jc w:val="left"/>
      </w:pPr>
    </w:p>
    <w:p>
      <w:pPr>
        <w:spacing w:after="0" w:line="317" w:lineRule="auto"/>
        <w:ind w:left="576" w:hanging="576"/>
      </w:pPr>
      <w:r>
        <w:rPr>
          <w:rFonts w:ascii="Times New Roman" w:hAnsi="Times New Roman"/>
          <w:sz w:val="24"/>
        </w:rPr>
        <w:t>Acharya, S. S., &amp; Agarwal, N. L. (1987). Agricultural marketing in India. Oxford &amp; IBH Publishing.</w:t>
      </w:r>
    </w:p>
    <w:p>
      <w:pPr>
        <w:spacing w:after="0" w:line="317" w:lineRule="auto"/>
        <w:ind w:left="576" w:hanging="576"/>
      </w:pPr>
      <w:r>
        <w:rPr>
          <w:rFonts w:ascii="Times New Roman" w:hAnsi="Times New Roman"/>
          <w:sz w:val="24"/>
        </w:rPr>
        <w:t>Cochran, W. G. (1977). Sampling techniques (3rd ed.). John Wiley &amp; Sons.</w:t>
      </w:r>
    </w:p>
    <w:p>
      <w:pPr>
        <w:spacing w:after="0" w:line="317" w:lineRule="auto"/>
        <w:ind w:left="576" w:hanging="576"/>
      </w:pPr>
      <w:r>
        <w:rPr>
          <w:rFonts w:ascii="Times New Roman" w:hAnsi="Times New Roman"/>
          <w:sz w:val="24"/>
        </w:rPr>
        <w:t>Datta, A., &amp; Mustafa, A. (2026). Multivariate market structure, price elasticity, and affordability of marine fish in Chattogram, Bangladesh's largest coastal city. Thalassas, 42, 182. https://doi.org/10.1007/s41208-026-01204-2</w:t>
      </w:r>
    </w:p>
    <w:p>
      <w:pPr>
        <w:spacing w:after="0" w:line="317" w:lineRule="auto"/>
        <w:ind w:left="576" w:hanging="576"/>
      </w:pPr>
      <w:r>
        <w:rPr>
          <w:rFonts w:ascii="Times New Roman" w:hAnsi="Times New Roman"/>
          <w:sz w:val="24"/>
        </w:rPr>
        <w:t>Department of Fisheries. (2024). Yearbook of fisheries statistics of Bangladesh, 2023-24 (Vol. 41). Ministry of Fisheries and Livestock, Government of the People's Republic of Bangladesh.</w:t>
      </w:r>
    </w:p>
    <w:p>
      <w:pPr>
        <w:spacing w:after="0" w:line="317" w:lineRule="auto"/>
        <w:ind w:left="576" w:hanging="576"/>
      </w:pPr>
      <w:r>
        <w:rPr>
          <w:rFonts w:ascii="Times New Roman" w:hAnsi="Times New Roman"/>
          <w:sz w:val="24"/>
        </w:rPr>
        <w:t>Dipty, A. K., Saikat, M. S. A., Sarker, M. J., Uddin, M. N., Hossain, M., Chowdhury, M. B. A. K., &amp; Chakraborty, S. (2026). Marketing structure and factors affecting retail price of coastal area fish market in Bangladesh. Archives of Agriculture and Environmental Science, 11(1), 016. https://doi.org/10.26832/24566632.2026.1101016</w:t>
      </w:r>
    </w:p>
    <w:p>
      <w:pPr>
        <w:spacing w:after="0" w:line="317" w:lineRule="auto"/>
        <w:ind w:left="576" w:hanging="576"/>
      </w:pPr>
      <w:r>
        <w:rPr>
          <w:rFonts w:ascii="Times New Roman" w:hAnsi="Times New Roman"/>
          <w:sz w:val="24"/>
        </w:rPr>
        <w:t>Dunn, O. J. (1964). Multiple comparisons using rank sums. Technometrics, 6(3), 241–252. https://doi.org/10.1080/00401706.1964.10490181</w:t>
      </w:r>
    </w:p>
    <w:p>
      <w:pPr>
        <w:spacing w:after="0" w:line="317" w:lineRule="auto"/>
        <w:ind w:left="576" w:hanging="576"/>
      </w:pPr>
      <w:r>
        <w:rPr>
          <w:rFonts w:ascii="Times New Roman" w:hAnsi="Times New Roman"/>
          <w:sz w:val="24"/>
        </w:rPr>
        <w:t>FishBase. (2026). FishBase: A global information system on fishes. https://www.fishbase.se</w:t>
      </w:r>
    </w:p>
    <w:p>
      <w:pPr>
        <w:spacing w:after="0" w:line="317" w:lineRule="auto"/>
        <w:ind w:left="576" w:hanging="576"/>
      </w:pPr>
      <w:r>
        <w:rPr>
          <w:rFonts w:ascii="Times New Roman" w:hAnsi="Times New Roman"/>
          <w:sz w:val="24"/>
        </w:rPr>
        <w:t>Fisheries Research Institute. (2018). Fish species profile: Hilsa (Tenualosa ilisha). Bangladesh Fisheries Research Institute, Department of Fisheries.</w:t>
      </w:r>
    </w:p>
    <w:p>
      <w:pPr>
        <w:spacing w:after="0" w:line="317" w:lineRule="auto"/>
        <w:ind w:left="576" w:hanging="576"/>
      </w:pPr>
      <w:r>
        <w:rPr>
          <w:rFonts w:ascii="Times New Roman" w:hAnsi="Times New Roman"/>
          <w:sz w:val="24"/>
        </w:rPr>
        <w:t>Holm, S. (1979). A simple sequentially rejective multiple test procedure. Scandinavian Journal of Statistics, 6(2), 65–70.</w:t>
      </w:r>
    </w:p>
    <w:p>
      <w:pPr>
        <w:spacing w:after="0" w:line="317" w:lineRule="auto"/>
        <w:ind w:left="576" w:hanging="576"/>
      </w:pPr>
      <w:r>
        <w:rPr>
          <w:rFonts w:ascii="Times New Roman" w:hAnsi="Times New Roman"/>
          <w:sz w:val="24"/>
        </w:rPr>
        <w:t>Islam, M. S., Akteruzzaman, M., &amp; Ahmed, N. (2006). Study on marketing and value chain of some commercially important coastal and marine aquatic products of Bangladesh (Research Report). Bangladesh Fisheries Research Forum.</w:t>
      </w:r>
    </w:p>
    <w:p>
      <w:pPr>
        <w:spacing w:after="0" w:line="317" w:lineRule="auto"/>
        <w:ind w:left="576" w:hanging="576"/>
      </w:pPr>
      <w:r>
        <w:rPr>
          <w:rFonts w:ascii="Times New Roman" w:hAnsi="Times New Roman"/>
          <w:sz w:val="24"/>
        </w:rPr>
        <w:t>Islam, M. S., Miah, M. T. H., &amp; Haque, M. M. (2001). Marketing system of marine fish in Bangladesh: An empirical study. Bangladesh Journal of Agricultural Economics, 24(1&amp;2), 127–142.</w:t>
      </w:r>
    </w:p>
    <w:p>
      <w:pPr>
        <w:spacing w:after="0" w:line="317" w:lineRule="auto"/>
        <w:ind w:left="576" w:hanging="576"/>
      </w:pPr>
      <w:r>
        <w:rPr>
          <w:rFonts w:ascii="Times New Roman" w:hAnsi="Times New Roman"/>
          <w:sz w:val="24"/>
        </w:rPr>
        <w:t>Jahan, R., Chad, N. A., Hossain, J., &amp; Kamal, S. A. (2024). The marketing margin and profit structure of nine commercially important marine fish species in the southeast coastal areas of Bangladesh. Journal of Agribusiness and Rural Development, 74(4), 389–401. https://doi.org/10.17306/J.JARD.2024.00001</w:t>
      </w:r>
    </w:p>
    <w:p>
      <w:pPr>
        <w:spacing w:after="0" w:line="317" w:lineRule="auto"/>
        <w:ind w:left="576" w:hanging="576"/>
      </w:pPr>
      <w:r>
        <w:rPr>
          <w:rFonts w:ascii="Times New Roman" w:hAnsi="Times New Roman"/>
          <w:sz w:val="24"/>
        </w:rPr>
        <w:t>Kohls, R. L., &amp; Uhl, J. N. (1980). Marketing of agricultural products (5th ed.). Macmillan.</w:t>
      </w:r>
    </w:p>
    <w:p>
      <w:pPr>
        <w:spacing w:after="0" w:line="317" w:lineRule="auto"/>
        <w:ind w:left="576" w:hanging="576"/>
      </w:pPr>
      <w:r>
        <w:rPr>
          <w:rFonts w:ascii="Times New Roman" w:hAnsi="Times New Roman"/>
          <w:sz w:val="24"/>
        </w:rPr>
        <w:t>Kruskal, W. H., &amp; Wallis, W. A. (1952). Use of ranks in one-criterion variance analysis. Journal of the American Statistical Association, 47(260), 583–621. https://doi.org/10.1080/01621459.1952.10483441</w:t>
      </w:r>
    </w:p>
    <w:p>
      <w:pPr>
        <w:spacing w:after="0" w:line="317" w:lineRule="auto"/>
        <w:ind w:left="576" w:hanging="576"/>
      </w:pPr>
      <w:r>
        <w:rPr>
          <w:rFonts w:ascii="Times New Roman" w:hAnsi="Times New Roman"/>
          <w:sz w:val="24"/>
        </w:rPr>
        <w:t>Nadia, Z. M., Roy, P., Hossain, J., Hossain, M. F., Rahman, M., Salam, M. A., &amp; Jahan, R. (2022). Fish availability and market channel in Rajbari, Bangladesh. Heliyon, 8(9), e10526. https://doi.org/10.1016/j.heliyon.2022.e10526</w:t>
      </w:r>
    </w:p>
    <w:p>
      <w:pPr>
        <w:spacing w:after="0" w:line="317" w:lineRule="auto"/>
        <w:ind w:left="576" w:hanging="576"/>
      </w:pPr>
      <w:r>
        <w:rPr>
          <w:rFonts w:ascii="Times New Roman" w:hAnsi="Times New Roman"/>
          <w:sz w:val="24"/>
        </w:rPr>
        <w:t>R Core Team. (2025). R: A language and environment for statistical computing. R Foundation for Statistical Computing. https://www.R-project.org/</w:t>
      </w:r>
    </w:p>
    <w:p>
      <w:pPr>
        <w:spacing w:after="0" w:line="317" w:lineRule="auto"/>
        <w:ind w:left="576" w:hanging="576"/>
      </w:pPr>
      <w:r>
        <w:rPr>
          <w:rFonts w:ascii="Times New Roman" w:hAnsi="Times New Roman"/>
          <w:sz w:val="24"/>
        </w:rPr>
        <w:t>Rafi, S. H., Islam, M. S., Shamsuzzaman, M. M., Mohiuddin, M. B., Mia, R., &amp; Akter, M. (2024). Marketing channels and value chain assessment of sea bass (Lates calcarifer) in Bagerhat of Bangladesh. Journal of the Sylhet Agricultural University, 11(1), 1–8. https://doi.org/10.3329/jsau.v11i1.82676</w:t>
      </w:r>
    </w:p>
    <w:p>
      <w:pPr>
        <w:spacing w:after="0" w:line="317" w:lineRule="auto"/>
        <w:ind w:left="576" w:hanging="576"/>
      </w:pPr>
      <w:r>
        <w:rPr>
          <w:rFonts w:ascii="Times New Roman" w:hAnsi="Times New Roman"/>
          <w:sz w:val="24"/>
        </w:rPr>
        <w:t>Shepherd, G. S. (1965). Marketing farm products: Economic analysis (4th ed.). Iowa State University Press.</w:t>
      </w:r>
    </w:p>
    <w:p>
      <w:pPr>
        <w:spacing w:after="0" w:line="317" w:lineRule="auto"/>
        <w:ind w:left="576" w:hanging="576"/>
      </w:pPr>
      <w:r>
        <w:rPr>
          <w:rFonts w:ascii="Times New Roman" w:hAnsi="Times New Roman"/>
          <w:sz w:val="24"/>
        </w:rPr>
        <w:t>Yamane, T. (1967). Statistics: An introductory analysis (2nd ed.). Harper and Row.</w:t>
      </w:r>
    </w:p>
    <w:p>
      <w:r>
        <w:br w:type="page"/>
      </w:r>
    </w:p>
    <w:p>
      <w:pPr>
        <w:spacing w:line="276" w:lineRule="auto" w:before="0" w:after="120"/>
        <w:jc w:val="center"/>
      </w:pPr>
      <w:r>
        <w:rPr>
          <w:rFonts w:ascii="Times New Roman" w:hAnsi="Times New Roman"/>
          <w:b/>
          <w:i w:val="0"/>
          <w:sz w:val="32"/>
        </w:rPr>
        <w:t>APPENDICES</w:t>
      </w:r>
    </w:p>
    <w:p>
      <w:pPr>
        <w:spacing w:line="317" w:lineRule="auto" w:before="0" w:after="200"/>
        <w:jc w:val="left"/>
      </w:pPr>
      <w:r>
        <w:rPr>
          <w:rFonts w:ascii="Times New Roman" w:hAnsi="Times New Roman"/>
          <w:b w:val="0"/>
          <w:i w:val="0"/>
          <w:sz w:val="24"/>
        </w:rPr>
        <w:t>Appendices report supporting detail that is summarised in the main text. Appendix A maps every figure in this document to its originating instrument so that the evidence is traceable. Appendix B restates the data provenance constraint in the place a reader is most likely to encounter it, and sets out what is required to regenerate the analysis on real field data. Appendix C reports a supplementary figure underlying the business-scale discussion of Section 4.3.</w:t>
      </w:r>
    </w:p>
    <w:p>
      <w:pPr>
        <w:pStyle w:val="Heading2"/>
      </w:pPr>
      <w:r>
        <w:t>Appendix A: Instrument battery and traceability of the results</w:t>
      </w:r>
    </w:p>
    <w:p>
      <w:pPr>
        <w:spacing w:line="317" w:lineRule="auto" w:before="0" w:after="200"/>
        <w:jc w:val="left"/>
      </w:pPr>
      <w:r>
        <w:rPr>
          <w:rFonts w:ascii="Times New Roman" w:hAnsi="Times New Roman"/>
          <w:b w:val="0"/>
          <w:i w:val="0"/>
          <w:sz w:val="24"/>
        </w:rPr>
        <w:t>Table A.1 maps the five instruments to their target respondents, core modules and the tables and figures they support, so that every number in this document is traceable to a collection instrument.</w:t>
      </w:r>
    </w:p>
    <w:p>
      <w:pPr>
        <w:keepNext/>
        <w:spacing w:line="240" w:lineRule="auto" w:before="200" w:after="60"/>
        <w:jc w:val="center"/>
      </w:pPr>
      <w:r>
        <w:rPr>
          <w:rFonts w:ascii="Times New Roman" w:hAnsi="Times New Roman"/>
          <w:b/>
          <w:i w:val="0"/>
          <w:sz w:val="20"/>
        </w:rPr>
        <w:t>Table A.1: Instrument battery, target respondents and the outputs each supports</w:t>
      </w:r>
    </w:p>
    <w:tbl>
      <w:tblPr>
        <w:tblW w:type="auto" w:w="0"/>
        <w:jc w:val="center"/>
        <w:tblLayout w:type="autofit"/>
        <w:tblLook w:firstColumn="1" w:firstRow="1" w:lastColumn="0" w:lastRow="0" w:noHBand="0" w:noVBand="1" w:val="04A0"/>
        <w:tblBorders>
          <w:top w:val="single" w:sz="4" w:color="000000"/>
          <w:bottom w:val="single" w:sz="4" w:color="000000"/>
          <w:insideH w:val="single" w:sz="4" w:color="000000"/>
          <w:left w:val="nil"/>
          <w:right w:val="nil"/>
          <w:insideV w:val="nil"/>
        </w:tblBorders>
      </w:tblPr>
      <w:tblGrid>
        <w:gridCol w:w="2257"/>
        <w:gridCol w:w="2257"/>
        <w:gridCol w:w="2257"/>
        <w:gridCol w:w="2257"/>
      </w:tblGrid>
      <w:tr>
        <w:tc>
          <w:tcPr>
            <w:tcW w:type="dxa" w:w="2257"/>
          </w:tcPr>
          <w:p>
            <w:pPr>
              <w:spacing w:line="240" w:lineRule="auto" w:before="20" w:after="20"/>
              <w:jc w:val="left"/>
            </w:pPr>
            <w:r/>
            <w:r>
              <w:rPr>
                <w:rFonts w:ascii="Times New Roman" w:hAnsi="Times New Roman"/>
                <w:b/>
                <w:sz w:val="20"/>
              </w:rPr>
              <w:t>Instrument</w:t>
            </w:r>
          </w:p>
        </w:tc>
        <w:tc>
          <w:tcPr>
            <w:tcW w:type="dxa" w:w="2257"/>
          </w:tcPr>
          <w:p>
            <w:pPr>
              <w:spacing w:line="240" w:lineRule="auto" w:before="20" w:after="20"/>
              <w:jc w:val="right"/>
            </w:pPr>
            <w:r/>
            <w:r>
              <w:rPr>
                <w:rFonts w:ascii="Times New Roman" w:hAnsi="Times New Roman"/>
                <w:b/>
                <w:sz w:val="20"/>
              </w:rPr>
              <w:t>Target respondent</w:t>
            </w:r>
          </w:p>
        </w:tc>
        <w:tc>
          <w:tcPr>
            <w:tcW w:type="dxa" w:w="2257"/>
          </w:tcPr>
          <w:p>
            <w:pPr>
              <w:spacing w:line="240" w:lineRule="auto" w:before="20" w:after="20"/>
              <w:jc w:val="right"/>
            </w:pPr>
            <w:r/>
            <w:r>
              <w:rPr>
                <w:rFonts w:ascii="Times New Roman" w:hAnsi="Times New Roman"/>
                <w:b/>
                <w:sz w:val="20"/>
              </w:rPr>
              <w:t>Core modules</w:t>
            </w:r>
          </w:p>
        </w:tc>
        <w:tc>
          <w:tcPr>
            <w:tcW w:type="dxa" w:w="2257"/>
          </w:tcPr>
          <w:p>
            <w:pPr>
              <w:spacing w:line="240" w:lineRule="auto" w:before="20" w:after="20"/>
              <w:jc w:val="right"/>
            </w:pPr>
            <w:r/>
            <w:r>
              <w:rPr>
                <w:rFonts w:ascii="Times New Roman" w:hAnsi="Times New Roman"/>
                <w:b/>
                <w:sz w:val="20"/>
              </w:rPr>
              <w:t>Outputs supported</w:t>
            </w:r>
          </w:p>
        </w:tc>
      </w:tr>
      <w:tr>
        <w:tc>
          <w:tcPr>
            <w:tcW w:type="dxa" w:w="2257"/>
          </w:tcPr>
          <w:p>
            <w:pPr>
              <w:spacing w:line="240" w:lineRule="auto" w:before="20" w:after="20"/>
              <w:jc w:val="left"/>
            </w:pPr>
            <w:r/>
            <w:r>
              <w:rPr>
                <w:rFonts w:ascii="Times New Roman" w:hAnsi="Times New Roman"/>
                <w:b w:val="0"/>
                <w:sz w:val="20"/>
              </w:rPr>
              <w:t>Form A</w:t>
            </w:r>
          </w:p>
        </w:tc>
        <w:tc>
          <w:tcPr>
            <w:tcW w:type="dxa" w:w="2257"/>
          </w:tcPr>
          <w:p>
            <w:pPr>
              <w:spacing w:line="240" w:lineRule="auto" w:before="20" w:after="20"/>
              <w:jc w:val="right"/>
            </w:pPr>
            <w:r/>
            <w:r>
              <w:rPr>
                <w:rFonts w:ascii="Times New Roman" w:hAnsi="Times New Roman"/>
                <w:b w:val="0"/>
                <w:sz w:val="20"/>
              </w:rPr>
              <w:t>Aratdar, 30 respondents</w:t>
            </w:r>
          </w:p>
        </w:tc>
        <w:tc>
          <w:tcPr>
            <w:tcW w:type="dxa" w:w="2257"/>
          </w:tcPr>
          <w:p>
            <w:pPr>
              <w:spacing w:line="240" w:lineRule="auto" w:before="20" w:after="20"/>
              <w:jc w:val="right"/>
            </w:pPr>
            <w:r/>
            <w:r>
              <w:rPr>
                <w:rFonts w:ascii="Times New Roman" w:hAnsi="Times New Roman"/>
                <w:b w:val="0"/>
                <w:sz w:val="20"/>
              </w:rPr>
              <w:t>Demographics, auction pass-through prices, commission or lease income, premises and facility costs, arat/office rent, electricity, workers and wages, equipment maintenance</w:t>
            </w:r>
          </w:p>
        </w:tc>
        <w:tc>
          <w:tcPr>
            <w:tcW w:type="dxa" w:w="2257"/>
          </w:tcPr>
          <w:p>
            <w:pPr>
              <w:spacing w:line="240" w:lineRule="auto" w:before="20" w:after="20"/>
              <w:jc w:val="right"/>
            </w:pPr>
            <w:r/>
            <w:r>
              <w:rPr>
                <w:rFonts w:ascii="Times New Roman" w:hAnsi="Times New Roman"/>
                <w:b w:val="0"/>
                <w:sz w:val="20"/>
              </w:rPr>
              <w:t>Tables 3.1, 4.1, 4.2, 4.3, 4.5, 4.6, 4.8</w:t>
            </w:r>
          </w:p>
        </w:tc>
      </w:tr>
      <w:tr>
        <w:tc>
          <w:tcPr>
            <w:tcW w:type="dxa" w:w="2257"/>
          </w:tcPr>
          <w:p>
            <w:pPr>
              <w:spacing w:line="240" w:lineRule="auto" w:before="20" w:after="20"/>
              <w:jc w:val="left"/>
            </w:pPr>
            <w:r/>
            <w:r>
              <w:rPr>
                <w:rFonts w:ascii="Times New Roman" w:hAnsi="Times New Roman"/>
                <w:b w:val="0"/>
                <w:sz w:val="20"/>
              </w:rPr>
              <w:t>Form B</w:t>
            </w:r>
          </w:p>
        </w:tc>
        <w:tc>
          <w:tcPr>
            <w:tcW w:type="dxa" w:w="2257"/>
          </w:tcPr>
          <w:p>
            <w:pPr>
              <w:spacing w:line="240" w:lineRule="auto" w:before="20" w:after="20"/>
              <w:jc w:val="right"/>
            </w:pPr>
            <w:r/>
            <w:r>
              <w:rPr>
                <w:rFonts w:ascii="Times New Roman" w:hAnsi="Times New Roman"/>
                <w:b w:val="0"/>
                <w:sz w:val="20"/>
              </w:rPr>
              <w:t>Bepari or faria, 30 respondents</w:t>
            </w:r>
          </w:p>
        </w:tc>
        <w:tc>
          <w:tcPr>
            <w:tcW w:type="dxa" w:w="2257"/>
          </w:tcPr>
          <w:p>
            <w:pPr>
              <w:spacing w:line="240" w:lineRule="auto" w:before="20" w:after="20"/>
              <w:jc w:val="right"/>
            </w:pPr>
            <w:r/>
            <w:r>
              <w:rPr>
                <w:rFonts w:ascii="Times New Roman" w:hAnsi="Times New Roman"/>
                <w:b w:val="0"/>
                <w:sz w:val="20"/>
              </w:rPr>
              <w:t>Demographics, subtype and business pattern, supplier category and source location, buy and sell quotations, transport fare and trips, icing, commission paid, transit damage</w:t>
            </w:r>
          </w:p>
        </w:tc>
        <w:tc>
          <w:tcPr>
            <w:tcW w:type="dxa" w:w="2257"/>
          </w:tcPr>
          <w:p>
            <w:pPr>
              <w:spacing w:line="240" w:lineRule="auto" w:before="20" w:after="20"/>
              <w:jc w:val="right"/>
            </w:pPr>
            <w:r/>
            <w:r>
              <w:rPr>
                <w:rFonts w:ascii="Times New Roman" w:hAnsi="Times New Roman"/>
                <w:b w:val="0"/>
                <w:sz w:val="20"/>
              </w:rPr>
              <w:t>Tables 4.1, 4.2, 4.3, 4.6, 4.8</w:t>
            </w:r>
          </w:p>
        </w:tc>
      </w:tr>
      <w:tr>
        <w:tc>
          <w:tcPr>
            <w:tcW w:type="dxa" w:w="2257"/>
          </w:tcPr>
          <w:p>
            <w:pPr>
              <w:spacing w:line="240" w:lineRule="auto" w:before="20" w:after="20"/>
              <w:jc w:val="left"/>
            </w:pPr>
            <w:r/>
            <w:r>
              <w:rPr>
                <w:rFonts w:ascii="Times New Roman" w:hAnsi="Times New Roman"/>
                <w:b w:val="0"/>
                <w:sz w:val="20"/>
              </w:rPr>
              <w:t>Form R</w:t>
            </w:r>
          </w:p>
        </w:tc>
        <w:tc>
          <w:tcPr>
            <w:tcW w:type="dxa" w:w="2257"/>
          </w:tcPr>
          <w:p>
            <w:pPr>
              <w:spacing w:line="240" w:lineRule="auto" w:before="20" w:after="20"/>
              <w:jc w:val="right"/>
            </w:pPr>
            <w:r/>
            <w:r>
              <w:rPr>
                <w:rFonts w:ascii="Times New Roman" w:hAnsi="Times New Roman"/>
                <w:b w:val="0"/>
                <w:sz w:val="20"/>
              </w:rPr>
              <w:t>Khuchra retailer, 30 respondents</w:t>
            </w:r>
          </w:p>
        </w:tc>
        <w:tc>
          <w:tcPr>
            <w:tcW w:type="dxa" w:w="2257"/>
          </w:tcPr>
          <w:p>
            <w:pPr>
              <w:spacing w:line="240" w:lineRule="auto" w:before="20" w:after="20"/>
              <w:jc w:val="right"/>
            </w:pPr>
            <w:r/>
            <w:r>
              <w:rPr>
                <w:rFonts w:ascii="Times New Roman" w:hAnsi="Times New Roman"/>
                <w:b w:val="0"/>
                <w:sz w:val="20"/>
              </w:rPr>
              <w:t>Demographics, buy and sell quotations, stall rent, icing, wash water and tools, spoilage, customer composition</w:t>
            </w:r>
          </w:p>
        </w:tc>
        <w:tc>
          <w:tcPr>
            <w:tcW w:type="dxa" w:w="2257"/>
          </w:tcPr>
          <w:p>
            <w:pPr>
              <w:spacing w:line="240" w:lineRule="auto" w:before="20" w:after="20"/>
              <w:jc w:val="right"/>
            </w:pPr>
            <w:r/>
            <w:r>
              <w:rPr>
                <w:rFonts w:ascii="Times New Roman" w:hAnsi="Times New Roman"/>
                <w:b w:val="0"/>
                <w:sz w:val="20"/>
              </w:rPr>
              <w:t>Tables 4.1, 4.2, 4.3, 4.6, 4.8, 4.9, 4.10</w:t>
            </w:r>
          </w:p>
        </w:tc>
      </w:tr>
      <w:tr>
        <w:tc>
          <w:tcPr>
            <w:tcW w:type="dxa" w:w="2257"/>
          </w:tcPr>
          <w:p>
            <w:pPr>
              <w:spacing w:line="240" w:lineRule="auto" w:before="20" w:after="20"/>
              <w:jc w:val="left"/>
            </w:pPr>
            <w:r/>
            <w:r>
              <w:rPr>
                <w:rFonts w:ascii="Times New Roman" w:hAnsi="Times New Roman"/>
                <w:b w:val="0"/>
                <w:sz w:val="20"/>
              </w:rPr>
              <w:t>Form C</w:t>
            </w:r>
          </w:p>
        </w:tc>
        <w:tc>
          <w:tcPr>
            <w:tcW w:type="dxa" w:w="2257"/>
          </w:tcPr>
          <w:p>
            <w:pPr>
              <w:spacing w:line="240" w:lineRule="auto" w:before="20" w:after="20"/>
              <w:jc w:val="right"/>
            </w:pPr>
            <w:r/>
            <w:r>
              <w:rPr>
                <w:rFonts w:ascii="Times New Roman" w:hAnsi="Times New Roman"/>
                <w:b w:val="0"/>
                <w:sz w:val="20"/>
              </w:rPr>
              <w:t>Purchasing consumer, 30 respondents</w:t>
            </w:r>
          </w:p>
        </w:tc>
        <w:tc>
          <w:tcPr>
            <w:tcW w:type="dxa" w:w="2257"/>
          </w:tcPr>
          <w:p>
            <w:pPr>
              <w:spacing w:line="240" w:lineRule="auto" w:before="20" w:after="20"/>
              <w:jc w:val="right"/>
            </w:pPr>
            <w:r/>
            <w:r>
              <w:rPr>
                <w:rFonts w:ascii="Times New Roman" w:hAnsi="Times New Roman"/>
                <w:b w:val="0"/>
                <w:sz w:val="20"/>
              </w:rPr>
              <w:t>Species purchased, price paid, quantity, other fish bought, payment mode, visit frequency, reason for choosing seller</w:t>
            </w:r>
          </w:p>
        </w:tc>
        <w:tc>
          <w:tcPr>
            <w:tcW w:type="dxa" w:w="2257"/>
          </w:tcPr>
          <w:p>
            <w:pPr>
              <w:spacing w:line="240" w:lineRule="auto" w:before="20" w:after="20"/>
              <w:jc w:val="right"/>
            </w:pPr>
            <w:r/>
            <w:r>
              <w:rPr>
                <w:rFonts w:ascii="Times New Roman" w:hAnsi="Times New Roman"/>
                <w:b w:val="0"/>
                <w:sz w:val="20"/>
              </w:rPr>
              <w:t>Tables 4.3, 4.6, 4.7</w:t>
            </w:r>
          </w:p>
        </w:tc>
      </w:tr>
      <w:tr>
        <w:tc>
          <w:tcPr>
            <w:tcW w:type="dxa" w:w="2257"/>
          </w:tcPr>
          <w:p>
            <w:pPr>
              <w:spacing w:line="240" w:lineRule="auto" w:before="20" w:after="20"/>
              <w:jc w:val="left"/>
            </w:pPr>
            <w:r/>
            <w:r>
              <w:rPr>
                <w:rFonts w:ascii="Times New Roman" w:hAnsi="Times New Roman"/>
                <w:b w:val="0"/>
                <w:sz w:val="20"/>
              </w:rPr>
              <w:t>Form M</w:t>
            </w:r>
          </w:p>
        </w:tc>
        <w:tc>
          <w:tcPr>
            <w:tcW w:type="dxa" w:w="2257"/>
          </w:tcPr>
          <w:p>
            <w:pPr>
              <w:spacing w:line="240" w:lineRule="auto" w:before="20" w:after="20"/>
              <w:jc w:val="right"/>
            </w:pPr>
            <w:r/>
            <w:r>
              <w:rPr>
                <w:rFonts w:ascii="Times New Roman" w:hAnsi="Times New Roman"/>
                <w:b w:val="0"/>
                <w:sz w:val="20"/>
              </w:rPr>
              <w:t>One observation per market, 6 records</w:t>
            </w:r>
          </w:p>
        </w:tc>
        <w:tc>
          <w:tcPr>
            <w:tcW w:type="dxa" w:w="2257"/>
          </w:tcPr>
          <w:p>
            <w:pPr>
              <w:spacing w:line="240" w:lineRule="auto" w:before="20" w:after="20"/>
              <w:jc w:val="right"/>
            </w:pPr>
            <w:r/>
            <w:r>
              <w:rPr>
                <w:rFonts w:ascii="Times New Roman" w:hAnsi="Times New Roman"/>
                <w:b w:val="0"/>
                <w:sz w:val="20"/>
              </w:rPr>
              <w:t>Twelve infrastructure items with evidence source, GPS coordinates, trading hours, stall count, fee arrangement</w:t>
            </w:r>
          </w:p>
        </w:tc>
        <w:tc>
          <w:tcPr>
            <w:tcW w:type="dxa" w:w="2257"/>
          </w:tcPr>
          <w:p>
            <w:pPr>
              <w:spacing w:line="240" w:lineRule="auto" w:before="20" w:after="20"/>
              <w:jc w:val="right"/>
            </w:pPr>
            <w:r/>
            <w:r>
              <w:rPr>
                <w:rFonts w:ascii="Times New Roman" w:hAnsi="Times New Roman"/>
                <w:b w:val="0"/>
                <w:sz w:val="20"/>
              </w:rPr>
              <w:t>Tables 3.1, 4.5</w:t>
            </w:r>
          </w:p>
        </w:tc>
      </w:tr>
    </w:tbl>
    <w:p>
      <w:pPr>
        <w:spacing w:line="264" w:lineRule="auto" w:before="40" w:after="120"/>
        <w:jc w:val="left"/>
      </w:pPr>
      <w:r>
        <w:rPr>
          <w:rFonts w:ascii="Times New Roman" w:hAnsi="Times New Roman"/>
          <w:b w:val="0"/>
          <w:i/>
          <w:sz w:val="18"/>
        </w:rPr>
        <w:t>Source: author's construction from the instrument battery described in Section 3.5. Price_Observations and Consumer_Purchases_Focal provide the linked transactional records behind Tables 4.6, 4.7, 4.9 and 4.10.</w:t>
      </w:r>
    </w:p>
    <w:p>
      <w:pPr>
        <w:pStyle w:val="Heading2"/>
      </w:pPr>
      <w:r>
        <w:t>Appendix B: Data provenance, quality assurance and reproducibility</w:t>
      </w:r>
    </w:p>
    <w:p>
      <w:pPr>
        <w:spacing w:line="317" w:lineRule="auto" w:before="0" w:after="200"/>
        <w:jc w:val="left"/>
      </w:pPr>
      <w:r>
        <w:rPr>
          <w:rFonts w:ascii="Times New Roman" w:hAnsi="Times New Roman"/>
          <w:b w:val="0"/>
          <w:i w:val="0"/>
          <w:sz w:val="24"/>
        </w:rPr>
        <w:t>The workbook analysed in this paper is a synthetic realisation of the study design described in Chapter 3, generated from a fixed random seed. It populates all sixteen sheets with the full structure the instruments specify: 120 respondents in four strata across six markets, ten focal species, 491 price-observation rows, 54 consumer purchase records, 15 linked buyer-seller pair identifiers, the complete cost modules and the Form M checklists. It reproduces the market, species, unit and flag conventions of Sections 3.2 to 3.7 exactly, including the conversion of 1 maund to 37.32 kg and the K and D flags. The analysis script reports the provenance of the input workbook on every run.</w:t>
      </w:r>
    </w:p>
    <w:p>
      <w:pPr>
        <w:spacing w:line="317" w:lineRule="auto" w:before="0" w:after="200"/>
        <w:jc w:val="left"/>
      </w:pPr>
      <w:r>
        <w:rPr>
          <w:rFonts w:ascii="Times New Roman" w:hAnsi="Times New Roman"/>
          <w:b w:val="0"/>
          <w:i w:val="0"/>
          <w:sz w:val="24"/>
        </w:rPr>
        <w:t>This provenance governs what may be claimed, and the constraint is restated here because it is the single most important caveat attaching to every number in this document. The design, the instruments, the quality gate, the chain conventions of Section 3.7.5, the statistical plan of Section 3.8 and the reporting templates are all real and are exercised end to end. The numbers in Chapter 4 are properties of the generator, not of Chattogram's markets, and no figure derived from them may be cited as an empirical finding.</w:t>
      </w:r>
    </w:p>
    <w:p>
      <w:pPr>
        <w:spacing w:line="317" w:lineRule="auto" w:before="0" w:after="200"/>
        <w:jc w:val="left"/>
      </w:pPr>
      <w:r>
        <w:rPr>
          <w:rFonts w:ascii="Times New Roman" w:hAnsi="Times New Roman"/>
          <w:b w:val="0"/>
          <w:i w:val="0"/>
          <w:sz w:val="24"/>
        </w:rPr>
        <w:t>Replacing the synthetic workbook with real field data requires no change to any method in this document. The analyst fills the yellow cells of the workbook supplied for that purpose, runs the verification gate, then the analysis chain and the R script, and every table and figure regenerates. The R script depends only on base R plus the readxl and openxlsx packages, so it runs on a stock R installation without further dependencies. All scripts are deterministic and re-runnable, and the results are independently reproduced by two engines and compared.</w:t>
      </w:r>
    </w:p>
    <w:p>
      <w:pPr>
        <w:pStyle w:val="Heading2"/>
      </w:pPr>
      <w:r>
        <w:t>Appendix C: Supplementary figure</w:t>
      </w:r>
    </w:p>
    <w:p>
      <w:pPr>
        <w:spacing w:line="317" w:lineRule="auto" w:before="0" w:after="200"/>
        <w:jc w:val="left"/>
      </w:pPr>
      <w:r>
        <w:rPr>
          <w:rFonts w:ascii="Times New Roman" w:hAnsi="Times New Roman"/>
          <w:b w:val="0"/>
          <w:i w:val="0"/>
          <w:sz w:val="24"/>
        </w:rPr>
        <w:t>Figure A.1 reports the distribution of daily handling capacity by actor type, which underlies the business-scale discussion of Section 4.3. The figure is placed here rather than in Chapter 4 because the capacity comparisons are reported fully in Table 4.2 and the distribution adds detail without changing the interpretation.</w:t>
      </w:r>
    </w:p>
    <w:p>
      <w:pPr>
        <w:keepNext/>
        <w:spacing w:line="240" w:lineRule="auto" w:before="200" w:after="80"/>
        <w:jc w:val="center"/>
      </w:pPr>
      <w:r>
        <w:rPr>
          <w:rFonts w:ascii="Times New Roman" w:hAnsi="Times New Roman"/>
          <w:b/>
          <w:i w:val="0"/>
          <w:sz w:val="20"/>
        </w:rPr>
        <w:t>Figure A.1: Distribution of daily handling capacity by actor type</w:t>
      </w:r>
    </w:p>
    <w:p>
      <w:pPr>
        <w:spacing w:line="240" w:lineRule="auto" w:before="80" w:after="40"/>
        <w:jc w:val="center"/>
      </w:pPr>
      <w:r>
        <w:drawing>
          <wp:inline xmlns:a="http://schemas.openxmlformats.org/drawingml/2006/main" xmlns:pic="http://schemas.openxmlformats.org/drawingml/2006/picture">
            <wp:extent cx="5120640" cy="3840480"/>
            <wp:docPr id="6" name="Picture 6"/>
            <wp:cNvGraphicFramePr>
              <a:graphicFrameLocks noChangeAspect="1"/>
            </wp:cNvGraphicFramePr>
            <a:graphic>
              <a:graphicData uri="http://schemas.openxmlformats.org/drawingml/2006/picture">
                <pic:pic>
                  <pic:nvPicPr>
                    <pic:cNvPr id="0" name="A1_daily_capacity_boxplot.png"/>
                    <pic:cNvPicPr/>
                  </pic:nvPicPr>
                  <pic:blipFill>
                    <a:blip r:embed="rId15"/>
                    <a:stretch>
                      <a:fillRect/>
                    </a:stretch>
                  </pic:blipFill>
                  <pic:spPr>
                    <a:xfrm>
                      <a:off x="0" y="0"/>
                      <a:ext cx="5120640" cy="3840480"/>
                    </a:xfrm>
                    <a:prstGeom prst="rect"/>
                  </pic:spPr>
                </pic:pic>
              </a:graphicData>
            </a:graphic>
          </wp:inline>
        </w:drawing>
      </w:r>
    </w:p>
    <w:p>
      <w:pPr>
        <w:spacing w:line="264" w:lineRule="auto" w:before="40" w:after="160"/>
        <w:jc w:val="left"/>
      </w:pPr>
      <w:r>
        <w:rPr>
          <w:rFonts w:ascii="Times New Roman" w:hAnsi="Times New Roman"/>
          <w:b w:val="0"/>
          <w:i/>
          <w:sz w:val="18"/>
        </w:rPr>
        <w:t>Source: author's construction from the trader business-scale module.</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20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317" w:lineRule="auto"/>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317"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317"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80" w:line="317" w:lineRule="auto"/>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