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2A9D8F"/>
          <w:spacing w:val="40"/>
          <w:sz w:val="17"/>
          <w:szCs w:val="17"/>
        </w:rPr>
        <w:t xml:space="preserve">INFORME TÉCNICO · VERSIÓN VISUAL Y RESUMIDA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Análisis técnico de costos y riesgos económicos</w:t>
      </w:r>
    </w:p>
    <w:p>
      <w:pPr>
        <w:spacing w:after="100"/>
      </w:pPr>
      <w:r>
        <w:rPr>
          <w:rFonts w:ascii="Arial" w:cs="Arial" w:eastAsia="Arial" w:hAnsi="Arial"/>
          <w:color w:val="5B6573"/>
          <w:sz w:val="28"/>
          <w:szCs w:val="28"/>
        </w:rPr>
        <w:t xml:space="preserve">Proyecto rag-exfiltration-security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B6573"/>
          <w:sz w:val="18"/>
          <w:szCs w:val="18"/>
        </w:rPr>
        <w:t xml:space="preserve">Informe técnico independiente: no modifica el README ni propone cambios en él.</w:t>
      </w:r>
    </w:p>
    <w:p>
      <w:pPr>
        <w:pBdr>
          <w:bottom w:val="single" w:color="D0D7E2" w:sz="6" w:space="8"/>
        </w:pBdr>
        <w:spacing w:after="160"/>
      </w:pPr>
      <w:r>
        <w:rPr>
          <w:rFonts w:ascii="Arial" w:cs="Arial" w:eastAsia="Arial" w:hAnsi="Arial"/>
          <w:color w:val="5B6573"/>
          <w:sz w:val="17"/>
          <w:szCs w:val="17"/>
        </w:rPr>
        <w:t xml:space="preserve">Septiembre de 2026 · Metodología basada en NIST SP 800-30, OWASP Top 10 for LLM Applications y documentación oficial de cada componente.</w:t>
      </w:r>
    </w:p>
    <w:p>
      <w:pPr>
        <w:pStyle w:val="Heading1"/>
        <w:keepNext/>
        <w:pBdr>
          <w:bottom w:val="single" w:color="2A9D8F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1. Resumen ejecutivo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22B36"/>
          <w:sz w:val="20"/>
          <w:szCs w:val="20"/>
        </w:rPr>
        <w:t xml:space="preserve">Este informe estima los costos y riesgos económicos de la arquitectura del proyecto (frontend Next.js/Vercel, backend Java 21/Spring Boot 3.3.13/LangChain4j, PostgreSQL + pgvector, embeddings all-MiniLM-L6-v2 y Llama 3.2 en Ollama) a lo largo de sus tres fases. Es una </w:t>
      </w:r>
      <w:r>
        <w:rPr>
          <w:rFonts w:ascii="Arial" w:cs="Arial" w:eastAsia="Arial" w:hAnsi="Arial"/>
          <w:b/>
          <w:bCs/>
          <w:color w:val="222B36"/>
          <w:sz w:val="20"/>
          <w:szCs w:val="20"/>
        </w:rPr>
        <w:t xml:space="preserve">base de cálculo defendible académicamente, no un presupuesto</w:t>
      </w:r>
      <w:r>
        <w:rPr>
          <w:rFonts w:ascii="Arial" w:cs="Arial" w:eastAsia="Arial" w:hAnsi="Arial"/>
          <w:b w:val="false"/>
          <w:bCs w:val="false"/>
          <w:color w:val="222B36"/>
          <w:sz w:val="20"/>
          <w:szCs w:val="20"/>
        </w:rPr>
        <w:t xml:space="preserve">: donde faltan datos reales se entregan fórmulas con variables explícitas.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1F4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56"/>
                <w:szCs w:val="56"/>
              </w:rPr>
              <w:t xml:space="preserve">7</w:t>
            </w:r>
          </w:p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573"/>
                <w:sz w:val="16"/>
                <w:szCs w:val="16"/>
              </w:rPr>
              <w:t xml:space="preserve">riesgos analizados
(R-01 a R-05, R-08, R-09)</w:t>
            </w:r>
          </w:p>
        </w:tc>
        <w:tc>
          <w:tcPr>
            <w:tcW w:type="dxa" w:w="234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1F4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9694F"/>
                <w:sz w:val="56"/>
                <w:szCs w:val="56"/>
              </w:rPr>
              <w:t xml:space="preserve">0</w:t>
            </w:r>
          </w:p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573"/>
                <w:sz w:val="16"/>
                <w:szCs w:val="16"/>
              </w:rPr>
              <w:t xml:space="preserve">costos absolutos calculables hoy: faltan variables medidas</w:t>
            </w:r>
          </w:p>
        </w:tc>
        <w:tc>
          <w:tcPr>
            <w:tcW w:type="dxa" w:w="234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1F4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9A23B"/>
                <w:sz w:val="56"/>
                <w:szCs w:val="56"/>
              </w:rPr>
              <w:t xml:space="preserve">2</w:t>
            </w:r>
          </w:p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573"/>
                <w:sz w:val="16"/>
                <w:szCs w:val="16"/>
              </w:rPr>
              <w:t xml:space="preserve">riesgos de mayor alcance sin cobertura de las fases: R-05 y R-09</w:t>
            </w:r>
          </w:p>
        </w:tc>
        <w:tc>
          <w:tcPr>
            <w:tcW w:type="dxa" w:w="234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1F4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A9D8F"/>
                <w:sz w:val="56"/>
                <w:szCs w:val="56"/>
              </w:rPr>
              <w:t xml:space="preserve">≈2×</w:t>
            </w:r>
          </w:p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573"/>
                <w:sz w:val="16"/>
                <w:szCs w:val="16"/>
              </w:rPr>
              <w:t xml:space="preserve">cómputo del Avance 3 si el validador hace una 2.ª inferencia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A9D8F"/>
          <w:sz w:val="23"/>
          <w:szCs w:val="23"/>
        </w:rPr>
        <w:t xml:space="preserve">Hallazgos clave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 w:val="false"/>
          <w:bCs w:val="false"/>
          <w:color w:val="222B36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222B36"/>
          <w:sz w:val="20"/>
          <w:szCs w:val="20"/>
        </w:rPr>
        <w:t xml:space="preserve">Sin cifras absolutas todavía.</w:t>
      </w:r>
      <w:r>
        <w:rPr>
          <w:rFonts w:ascii="Arial" w:cs="Arial" w:eastAsia="Arial" w:hAnsi="Arial"/>
          <w:b w:val="false"/>
          <w:bCs w:val="false"/>
          <w:color w:val="222B36"/>
          <w:sz w:val="20"/>
          <w:szCs w:val="20"/>
        </w:rPr>
        <w:t xml:space="preserve"> Todo costo depende de variables que el proyecto aún no mide (ARO, valor de los documentos, tiempos de respuesta). Es normal en una fase de demostración.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 w:val="false"/>
          <w:bCs w:val="false"/>
          <w:color w:val="222B36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222B36"/>
          <w:sz w:val="20"/>
          <w:szCs w:val="20"/>
        </w:rPr>
        <w:t xml:space="preserve">R-05 y R-09 son los de mayor alcance</w:t>
      </w:r>
      <w:r>
        <w:rPr>
          <w:rFonts w:ascii="Arial" w:cs="Arial" w:eastAsia="Arial" w:hAnsi="Arial"/>
          <w:b w:val="false"/>
          <w:bCs w:val="false"/>
          <w:color w:val="222B36"/>
          <w:sz w:val="20"/>
          <w:szCs w:val="20"/>
        </w:rPr>
        <w:t xml:space="preserve"> (corpus completo y duplicación de lo exfiltrado en los logs) y ninguna de las tres fases los cubre.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 w:val="false"/>
          <w:bCs w:val="false"/>
          <w:color w:val="222B36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222B36"/>
          <w:sz w:val="20"/>
          <w:szCs w:val="20"/>
        </w:rPr>
        <w:t xml:space="preserve">Avance 2 es determinístico; Avance 3 no.</w:t>
      </w:r>
      <w:r>
        <w:rPr>
          <w:rFonts w:ascii="Arial" w:cs="Arial" w:eastAsia="Arial" w:hAnsi="Arial"/>
          <w:b w:val="false"/>
          <w:bCs w:val="false"/>
          <w:color w:val="222B36"/>
          <w:sz w:val="20"/>
          <w:szCs w:val="20"/>
        </w:rPr>
        <w:t xml:space="preserve"> El filtrado en recuperación cierra R-01 y R-02, pero R‑03 solo baja de 88,9 % a 52,3 % de reconstrucción en el estudio citado: el riesgo residual debe presupuestarse.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 w:val="false"/>
          <w:bCs w:val="false"/>
          <w:color w:val="222B36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222B36"/>
          <w:sz w:val="20"/>
          <w:szCs w:val="20"/>
        </w:rPr>
        <w:t xml:space="preserve">Ollama local evita el costo por token</w:t>
      </w:r>
      <w:r>
        <w:rPr>
          <w:rFonts w:ascii="Arial" w:cs="Arial" w:eastAsia="Arial" w:hAnsi="Arial"/>
          <w:b w:val="false"/>
          <w:bCs w:val="false"/>
          <w:color w:val="222B36"/>
          <w:sz w:val="20"/>
          <w:szCs w:val="20"/>
        </w:rPr>
        <w:t xml:space="preserve"> a cambio de un costo fijo de infraestructura; cuál conviene depende del volumen de consultas.</w:t>
      </w:r>
    </w:p>
    <w:p>
      <w:pPr>
        <w:pStyle w:val="Heading1"/>
        <w:keepNext/>
        <w:pageBreakBefore/>
        <w:pBdr>
          <w:bottom w:val="single" w:color="2A9D8F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2. Alcance y metodología</w:t>
      </w:r>
    </w:p>
    <w:p>
      <w:pPr>
        <w:keepNext/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22B36"/>
          <w:sz w:val="20"/>
          <w:szCs w:val="20"/>
        </w:rPr>
        <w:t xml:space="preserve">Se aplica NIST SP 800-30 Rev. 1 y NIST AI RMF 1.0 con el modelo de pérdida anualizada esperada. </w:t>
      </w:r>
      <w:r>
        <w:rPr>
          <w:rFonts w:ascii="Arial" w:cs="Arial" w:eastAsia="Arial" w:hAnsi="Arial"/>
          <w:b/>
          <w:bCs/>
          <w:color w:val="222B36"/>
          <w:sz w:val="20"/>
          <w:szCs w:val="20"/>
        </w:rPr>
        <w:t xml:space="preserve">SLE</w:t>
      </w:r>
      <w:r>
        <w:rPr>
          <w:rFonts w:ascii="Arial" w:cs="Arial" w:eastAsia="Arial" w:hAnsi="Arial"/>
          <w:b w:val="false"/>
          <w:bCs w:val="false"/>
          <w:color w:val="222B36"/>
          <w:sz w:val="20"/>
          <w:szCs w:val="20"/>
        </w:rPr>
        <w:t xml:space="preserve"> es el costo de una sola materialización del riesgo y </w:t>
      </w:r>
      <w:r>
        <w:rPr>
          <w:rFonts w:ascii="Arial" w:cs="Arial" w:eastAsia="Arial" w:hAnsi="Arial"/>
          <w:b/>
          <w:bCs/>
          <w:color w:val="222B36"/>
          <w:sz w:val="20"/>
          <w:szCs w:val="20"/>
        </w:rPr>
        <w:t xml:space="preserve">ARO</w:t>
      </w:r>
      <w:r>
        <w:rPr>
          <w:rFonts w:ascii="Arial" w:cs="Arial" w:eastAsia="Arial" w:hAnsi="Arial"/>
          <w:b w:val="false"/>
          <w:bCs w:val="false"/>
          <w:color w:val="222B36"/>
          <w:sz w:val="20"/>
          <w:szCs w:val="20"/>
        </w:rPr>
        <w:t xml:space="preserve"> cuántas veces se espera que ocurra por año: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EF3F9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9"/>
                <w:szCs w:val="19"/>
              </w:rPr>
              <w:t xml:space="preserve">ALE = SLE × ARO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9"/>
                <w:szCs w:val="19"/>
              </w:rPr>
              <w:t xml:space="preserve">SLE = C_directo + C_indirecto + C_respuesta_recuperación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9"/>
                <w:szCs w:val="19"/>
              </w:rPr>
              <w:t xml:space="preserve">      + C_interrupción + C_exposición_información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9A23B" w:sz="28"/>
              <w:bottom w:val="none" w:color="FFFFFF" w:sz="0"/>
              <w:right w:val="none" w:color="FFFFFF" w:sz="0"/>
            </w:tcBorders>
            <w:shd w:fill="F1F4F8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E9A23B"/>
                <w:sz w:val="19"/>
                <w:szCs w:val="19"/>
              </w:rPr>
              <w:t xml:space="preserve">Advertencia sobre el alcance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8"/>
                <w:szCs w:val="18"/>
              </w:rPr>
              <w:t xml:space="preserve">El archivo </w:t>
            </w:r>
            <w:r>
              <w:rPr>
                <w:rFonts w:ascii="Arial" w:cs="Arial" w:eastAsia="Arial" w:hAnsi="Arial"/>
                <w:b/>
                <w:bCs/>
                <w:color w:val="222B36"/>
                <w:sz w:val="18"/>
                <w:szCs w:val="18"/>
              </w:rPr>
              <w:t xml:space="preserve">risk-register.md</w:t>
            </w: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8"/>
                <w:szCs w:val="18"/>
              </w:rPr>
              <w:t xml:space="preserve"> no formó parte de la información de la tarea. Solo se analizan los siete riesgos que el README describe con detalle (R-01, R-02, R-03, R-04, R-05, R-08 y R-09). No se incluyen posibles R-06 o R-07 para no inventar contenido; se recomienda repetir el análisis cuando el archivo esté disponible.</w:t>
            </w:r>
          </w:p>
        </w:tc>
      </w:tr>
    </w:tbl>
    <w:p>
      <w:pPr>
        <w:pStyle w:val="Heading1"/>
        <w:keepNext/>
        <w:pBdr>
          <w:bottom w:val="single" w:color="2A9D8F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3. Los siete riesgos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A9D8F"/>
          <w:sz w:val="23"/>
          <w:szCs w:val="23"/>
        </w:rPr>
        <w:t xml:space="preserve">3.1 Vista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000"/>
        <w:gridCol w:w="2560"/>
        <w:gridCol w:w="2400"/>
      </w:tblGrid>
      <w:tr>
        <w:trPr>
          <w:cantSplit/>
          <w:tblHeader/>
        </w:trPr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Riesgo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Activo afectado</w:t>
            </w:r>
          </w:p>
        </w:tc>
        <w:tc>
          <w:tcPr>
            <w:tcW w:type="dxa" w:w="2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Impacto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Mitigación prevista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7"/>
                <w:szCs w:val="17"/>
              </w:rPr>
              <w:t xml:space="preserve">R-01</w:t>
            </w:r>
          </w:p>
        </w:tc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Consulta directa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Fragmentos clasificados en D1 (vector store)</w:t>
            </w:r>
          </w:p>
        </w:tc>
        <w:tc>
          <w:tcPr>
            <w:tcW w:type="dxa" w:w="2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Confidencialidad: fuga de un documento restringido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Filtro del Avance 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7"/>
                <w:szCs w:val="17"/>
              </w:rPr>
              <w:t xml:space="preserve">R-02</w:t>
            </w:r>
          </w:p>
        </w:tc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Reformulación evasiva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Fragmentos clasificados en D1</w:t>
            </w:r>
          </w:p>
        </w:tc>
        <w:tc>
          <w:tcPr>
            <w:tcW w:type="dxa" w:w="2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Confidencialidad: evade un filtro por palabra clave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Filtro por metadatos del Avance 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7"/>
                <w:szCs w:val="17"/>
              </w:rPr>
              <w:t xml:space="preserve">R-03</w:t>
            </w:r>
          </w:p>
        </w:tc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Inyección de instrucciones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Comportamiento del LLM y su prompt</w:t>
            </w:r>
          </w:p>
        </w:tc>
        <w:tc>
          <w:tcPr>
            <w:tcW w:type="dxa" w:w="2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Confidencialidad: bypass del modelo; puede filtrar el system prompt (OWASP LLM07)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Avance 3, solo parcial (probabilística)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7"/>
                <w:szCs w:val="17"/>
              </w:rPr>
              <w:t xml:space="preserve">R-04</w:t>
            </w:r>
          </w:p>
        </w:tc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Envenenamiento del vector store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Integridad de D1 (ingesta)</w:t>
            </w:r>
          </w:p>
        </w:tc>
        <w:tc>
          <w:tcPr>
            <w:tcW w:type="dxa" w:w="2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Integridad del corpus; compromiso silencioso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Ninguna de las 3 fases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7"/>
                <w:szCs w:val="17"/>
              </w:rPr>
              <w:t xml:space="preserve">R-05</w:t>
            </w:r>
          </w:p>
        </w:tc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Inversión de embeddings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Embeddings en D1 (acceso directo a la BD)</w:t>
            </w:r>
          </w:p>
        </w:tc>
        <w:tc>
          <w:tcPr>
            <w:tcW w:type="dxa" w:w="2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Confidencialidad del corpus completo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Ninguna de las 3 fases; requiere cifrado en reposo y control de acceso a BD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7"/>
                <w:szCs w:val="17"/>
              </w:rPr>
              <w:t xml:space="preserve">R-08</w:t>
            </w:r>
          </w:p>
        </w:tc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Credenciales o lógica expuestas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Credenciales y lógica de autorización</w:t>
            </w:r>
          </w:p>
        </w:tc>
        <w:tc>
          <w:tcPr>
            <w:tcW w:type="dxa" w:w="2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Confidencialidad e integridad del control de acceso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Por diseño: separación frontend/backend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7"/>
                <w:szCs w:val="17"/>
              </w:rPr>
              <w:t xml:space="preserve">R-09</w:t>
            </w:r>
          </w:p>
        </w:tc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Logs con información sensible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D2 (logs de consultas)</w:t>
            </w:r>
          </w:p>
        </w:tc>
        <w:tc>
          <w:tcPr>
            <w:tcW w:type="dxa" w:w="2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Confidencialidad: duplica la exposición original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Ninguna; requiere política de retención y control de acceso a D2</w:t>
            </w:r>
          </w:p>
        </w:tc>
      </w:tr>
    </w:tbl>
    <w:p>
      <w:pPr>
        <w:spacing w:after="12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5B6573"/>
          <w:sz w:val="18"/>
          <w:szCs w:val="18"/>
        </w:rPr>
        <w:t xml:space="preserve">Costo potencial de los siete riesgos: </w:t>
      </w:r>
      <w:r>
        <w:rPr>
          <w:rFonts w:ascii="Arial" w:cs="Arial" w:eastAsia="Arial" w:hAnsi="Arial"/>
          <w:b/>
          <w:bCs/>
          <w:color w:val="5B6573"/>
          <w:sz w:val="18"/>
          <w:szCs w:val="18"/>
        </w:rPr>
        <w:t xml:space="preserve">no cuantificable con los datos actuales</w:t>
      </w:r>
      <w:r>
        <w:rPr>
          <w:rFonts w:ascii="Arial" w:cs="Arial" w:eastAsia="Arial" w:hAnsi="Arial"/>
          <w:b w:val="false"/>
          <w:bCs w:val="false"/>
          <w:color w:val="5B6573"/>
          <w:sz w:val="18"/>
          <w:szCs w:val="18"/>
        </w:rPr>
        <w:t xml:space="preserve"> (falta el valor asignado a cada documento y un ARO medido).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A9D8F"/>
          <w:sz w:val="23"/>
          <w:szCs w:val="23"/>
        </w:rPr>
        <w:t xml:space="preserve">3.2 Cobertura de cada riesgo por fase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857500"/>
            <wp:effectExtent t="0" r="0" b="0" l="0"/>
            <wp:docPr id="1" name="fig1_cobertura" descr="Figura 1. Estado de cada riesgo en cada avance (izquierda) y conteo de riesgos por estado (derecha)." title="Figura 1. Estado de cada riesgo en cada avance (izquierda) y conteo de riesgos por estado (derech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B6573"/>
          <w:sz w:val="16"/>
          <w:szCs w:val="16"/>
        </w:rPr>
        <w:t xml:space="preserve">Figura 1. Estado de cada riesgo en cada avance (izquierda) y conteo de riesgos por estado (derecha).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22B36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222B36"/>
          <w:sz w:val="19"/>
          <w:szCs w:val="19"/>
        </w:rPr>
        <w:t xml:space="preserve">Lectura:</w:t>
      </w:r>
      <w:r>
        <w:rPr>
          <w:rFonts w:ascii="Arial" w:cs="Arial" w:eastAsia="Arial" w:hAnsi="Arial"/>
          <w:b w:val="false"/>
          <w:bCs w:val="false"/>
          <w:color w:val="222B36"/>
          <w:sz w:val="19"/>
          <w:szCs w:val="19"/>
        </w:rPr>
        <w:t xml:space="preserve"> incluso tras el Avance 3, R-04, R-05 y R-09 siguen sin control y R-03 queda solo parcialmente mitigado.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B6573"/>
          <w:sz w:val="16"/>
          <w:szCs w:val="16"/>
        </w:rPr>
        <w:t xml:space="preserve">Nota: R-08 se mitiga por la arquitectura (separación frontend/backend), no por las fases. El informe original lo lista como sin mitigación en la comparación de escenarios y como mitigado por diseño en la tabla consolidada; aquí se muestra como mitigación por diseño.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A9D8F"/>
          <w:sz w:val="23"/>
          <w:szCs w:val="23"/>
        </w:rPr>
        <w:t xml:space="preserve">3.3 Qué costos componen cada riesgo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695575"/>
            <wp:effectExtent t="0" r="0" b="0" l="0"/>
            <wp:docPr id="1" name="fig2_componentes" descr="Figura 2. Componentes de costo incluidos en la fórmula SLE de cada riesgo." title="Figura 2. Componentes de costo incluidos en la fórmula SLE de cada ries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B6573"/>
          <w:sz w:val="16"/>
          <w:szCs w:val="16"/>
        </w:rPr>
        <w:t xml:space="preserve">Figura 2. Componentes de costo incluidos en la fórmula SLE de cada riesgo.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22B36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222B36"/>
          <w:sz w:val="19"/>
          <w:szCs w:val="19"/>
        </w:rPr>
        <w:t xml:space="preserve">Lectura:</w:t>
      </w:r>
      <w:r>
        <w:rPr>
          <w:rFonts w:ascii="Arial" w:cs="Arial" w:eastAsia="Arial" w:hAnsi="Arial"/>
          <w:b w:val="false"/>
          <w:bCs w:val="false"/>
          <w:color w:val="222B36"/>
          <w:sz w:val="19"/>
          <w:szCs w:val="19"/>
        </w:rPr>
        <w:t xml:space="preserve"> exposición de información y respuesta/recuperación aparecen en 5 de 7 riesgos. Ninguna fórmula SLE incluye la interrupción del servicio; solo es condicional en R-04 (restaurar el corpus desde respaldo), R-05 (rotar credenciales y reingerir) y R-08 (ventana de mantenimiento).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A9D8F"/>
          <w:sz w:val="23"/>
          <w:szCs w:val="23"/>
        </w:rPr>
        <w:t xml:space="preserve">3.4 Ficha resumida por riesgo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900"/>
        <w:gridCol w:w="2460"/>
      </w:tblGrid>
      <w:tr>
        <w:trPr>
          <w:cantSplit/>
          <w:tblHeader/>
        </w:trPr>
        <w:tc>
          <w:tcPr>
            <w:tcW w:type="dxa" w:w="1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Riesgo</w:t>
            </w:r>
          </w:p>
        </w:tc>
        <w:tc>
          <w:tcPr>
            <w:tcW w:type="dxa" w:w="2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Escenario de materialización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Costos clave</w:t>
            </w:r>
          </w:p>
        </w:tc>
        <w:tc>
          <w:tcPr>
            <w:tcW w:type="dxa" w:w="2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Variables necesarias para calcular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R-01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Consulta directa</w:t>
            </w:r>
          </w:p>
        </w:tc>
        <w:tc>
          <w:tcPr>
            <w:tcW w:type="dxa" w:w="2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Un usuario de rol bajo (p. ej. RRHH) pide un documento de Finanzas o Gerencia; sin filtrado (Avance 1) el fragmento llega al LLM y a la respuesta.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Horas de analista para determinar qué se expuso y a quién: H_respuesta × C_hora_persona. Exposición = Σ (valor del documento × probabilidad de uso indebido).</w:t>
            </w:r>
          </w:p>
        </w:tc>
        <w:tc>
          <w:tcPr>
            <w:tcW w:type="dxa" w:w="2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Documentos expuestos por incidente; valor por nivel de clasificación; C_hora_persona; ARO en pruebas de Red Team.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R-02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Reformulación evasiva</w:t>
            </w:r>
          </w:p>
        </w:tc>
        <w:tc>
          <w:tcPr>
            <w:tcW w:type="dxa" w:w="2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Pide un resumen o paráfrasis para evadir un filtro por palabra clave. Solo el filtro por metadatos (Avance 2) lo neutraliza.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Igual que R-01, más rediseñar el control fallido (H_rediseño × C_hora_persona) y el riesgo de falsa sensación de seguridad (cualitativo).</w:t>
            </w:r>
          </w:p>
        </w:tc>
        <w:tc>
          <w:tcPr>
            <w:tcW w:type="dxa" w:w="2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Tasa de éxito de la reformulación por avance; horas de rediseño.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R-03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Inyección de instrucciones</w:t>
            </w:r>
          </w:p>
        </w:tc>
        <w:tc>
          <w:tcPr>
            <w:tcW w:type="dxa" w:w="2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Una instrucción dentro de la consulta ("ignora las restricciones…") hace que el modelo revele el contexto o el mensaje de sistema, incluso con el filtro activo.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Respuesta más costosa (hay que analizar el prompt completo); posible fuga del system prompt; vigilancia continua; falsos positivos del validador.</w:t>
            </w:r>
          </w:p>
        </w:tc>
        <w:tc>
          <w:tcPr>
            <w:tcW w:type="dxa" w:w="2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Tasa de éxito del ataque 3 antes y después del Avance 3; horas de prompt hardening; tasa de falsos positivos/negativos del validador.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R-04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Envenenamiento</w:t>
            </w:r>
          </w:p>
        </w:tc>
        <w:tc>
          <w:tcPr>
            <w:tcW w:type="dxa" w:w="2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Un documento malicioso entra en la ingesta (metadatos falsos o contenido diseñado para secuestrar respuestas). Actúa sobre D1 y el Avance 2 no lo mitiga.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Reingesta: N_doc × t_verificación × C_hora_persona; análisis forense; restauración desde respaldo (interrupción).</w:t>
            </w:r>
          </w:p>
        </w:tc>
        <w:tc>
          <w:tcPr>
            <w:tcW w:type="dxa" w:w="2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Frecuencia de auditoría de integridad; costo de hashing o firma de documentos; tiempo medio de detección.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R-05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Inversión de embeddings</w:t>
            </w:r>
          </w:p>
        </w:tc>
        <w:tc>
          <w:tcPr>
            <w:tcW w:type="dxa" w:w="2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Alguien con acceso directo a PostgreSQL/pgvector reconstruye texto aproximado desde los vectores de 384 dimensiones, sin pasar por el backend. Demostrado en la literatura (SoK, 2026).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Implementar cifrado en reposo y roles de mínimo privilegio (no descritos en las fases); forense con logs de BD; rotar credenciales y reingerir.</w:t>
            </w:r>
          </w:p>
        </w:tc>
        <w:tc>
          <w:tcPr>
            <w:tcW w:type="dxa" w:w="2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¿Hay control de acceso a BD independiente del backend?; costo de cifrado en Render/Railway; tiempo de reconstrucción del corpus.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R-08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Credenciales expuestas</w:t>
            </w:r>
          </w:p>
        </w:tc>
        <w:tc>
          <w:tcPr>
            <w:tcW w:type="dxa" w:w="2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Una credencial, URL interna o lógica de acceso queda por error en el bundle del frontend. Es un riesgo de error de desarrollo, no de sofisticación del atacante.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Rotación: N_credenciales × costo por rotación; auditoría retroactiva (Vercel retiene logs por tiempo limitado); ventana de mantenimiento.</w:t>
            </w:r>
          </w:p>
        </w:tc>
        <w:tc>
          <w:tcPr>
            <w:tcW w:type="dxa" w:w="2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¿Gestor de secretos o credenciales embebidas?; frecuencia de escaneo de secretos en CI.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R-09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Logs sensibles</w:t>
            </w:r>
          </w:p>
        </w:tc>
        <w:tc>
          <w:tcPr>
            <w:tcW w:type="dxa" w:w="2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D2 guarda usuario, fragmentos y respuesta en texto plano: replica lo que R-01, R-02 y R-03 lograron exfiltrar.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Almacenamiento = tamaño_log × (Q_día + Q_mal_día) × días_retención × C_GB_almac; anonimización retroactiva; forense. IBM/Ponemon (2025): 241 días de tiempo medio de identificación y contención.</w:t>
            </w:r>
          </w:p>
        </w:tc>
        <w:tc>
          <w:tcPr>
            <w:tcW w:type="dxa" w:w="2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Política de retención (no especificada en el README); texto plano u ofuscado; quién tiene lectura sobre D2.</w:t>
            </w:r>
          </w:p>
        </w:tc>
      </w:tr>
    </w:tbl>
    <w:p>
      <w:pPr>
        <w:pStyle w:val="Heading1"/>
        <w:keepNext/>
        <w:pBdr>
          <w:bottom w:val="single" w:color="2A9D8F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4. Costos de los componentes de la arquitectura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A9D8F"/>
          <w:sz w:val="23"/>
          <w:szCs w:val="23"/>
        </w:rPr>
        <w:t xml:space="preserve">4.1 Recursos y costos por componente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660"/>
        <w:gridCol w:w="1600"/>
      </w:tblGrid>
      <w:tr>
        <w:trPr>
          <w:cantSplit/>
          <w:tblHeader/>
        </w:trP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5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 clave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LLM: Llama 3.2 vía Ollama</w:t>
            </w:r>
          </w:p>
        </w:tc>
        <w:tc>
          <w:tcPr>
            <w:tcW w:type="dxa" w:w="5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Descarga: </w:t>
            </w: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1B = 1,3 GB</w:t>
            </w: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3B = 2,0 GB</w:t>
            </w: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. Ollama recomienda 8 GB de RAM para modelos de clase 7B; los de 1B/3B corren con 8 GB o menos y no exigen GPU (más latencia en CPU). Sin costo por token: costo fijo de infraestructura. Meta y Ollama no publican consumo energético por inferencia (no cuantificado).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Dato oficial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Embeddings: all-MiniLM-L6-v2</w:t>
            </w:r>
          </w:p>
        </w:tc>
        <w:tc>
          <w:tcPr>
            <w:tcW w:type="dxa" w:w="5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384 dimensiones y 22,7 M de parámetros. Rápido en CPU; rara vez es el cuello de botella frente al LLM.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Dato oficial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pgvector: tipo de dato</w:t>
            </w:r>
          </w:p>
        </w:tc>
        <w:tc>
          <w:tcPr>
            <w:tcW w:type="dxa" w:w="5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Cada componente del vector ocupa 4 bytes; los índices aproximados (ivfflat/hnsw) admiten hasta 2.000 dimensiones.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Dato oficial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pgvector: tamaño por vector</w:t>
            </w:r>
          </w:p>
        </w:tc>
        <w:tc>
          <w:tcPr>
            <w:tcW w:type="dxa" w:w="5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≈ 4 × D_emb + 8 bytes de encabezado = </w:t>
            </w: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≈ 1.544 bytes (1,51 KB)</w:t>
            </w: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 por embedding con D_emb = 384.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Estimación propia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PostgreSQL: respaldo y cifrado</w:t>
            </w:r>
          </w:p>
        </w:tc>
        <w:tc>
          <w:tcPr>
            <w:tcW w:type="dxa" w:w="5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pg_dump/pg_restore y PITR vía WAL están documentados; Render incluye PITR automático en bases de pago. Hay cifrado en tránsito (TLS); el cifrado en reposo depende del proveedor o de pgcrypto y no está confirmado en las tres fases (ver R-05).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Dato oficial + brecha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Backend: Spring Boot 3.3.13 + LangChain4j</w:t>
            </w:r>
          </w:p>
        </w:tc>
        <w:tc>
          <w:tcPr>
            <w:tcW w:type="dxa" w:w="5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Java 21: 512 MB a 1 GB de RAM como mínimo práctico de demo, sin contar Ollama si comparten host. Con 5 documentos de demo basta la búsqueda exacta, sin índice aproximado. Render factura el cómputo aparte de PostgreSQL.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Referencia técnica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Frontend: Next.js / Vercel</w:t>
            </w:r>
          </w:p>
        </w:tc>
        <w:tc>
          <w:tcPr>
            <w:tcW w:type="dxa" w:w="5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Vercel solo factura tráfico, funciones y cómputo del frontend. No incluye backend, PostgreSQL ni Ollama (van en Render o Railway). El frontend no tiene lógica de autorización ni credenciales del LLM.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Dato oficial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Logs (D2)</w:t>
            </w:r>
          </w:p>
        </w:tc>
        <w:tc>
          <w:tcPr>
            <w:tcW w:type="dxa" w:w="5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Cuatro componentes: almacenamiento, retención, monitoreo y forense. Al guardar fragmentos en texto plano, D2 necesita una protección equivalente a la de D1. Render retiene logs de aplicación 7 días en el plan Professional.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Dato oficial (retención)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A9D8F"/>
          <w:sz w:val="23"/>
          <w:szCs w:val="23"/>
        </w:rPr>
        <w:t xml:space="preserve">4.2 Precios oficiales de referencia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60"/>
        <w:gridCol w:w="2700"/>
      </w:tblGrid>
      <w:tr>
        <w:trPr>
          <w:cantSplit/>
          <w:tblHeader/>
        </w:trP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Proveedor</w:t>
            </w:r>
          </w:p>
        </w:tc>
        <w:tc>
          <w:tcPr>
            <w:tcW w:type="dxa" w:w="4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type="dxa" w:w="2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Precio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Vercel Hobby</w:t>
            </w:r>
          </w:p>
        </w:tc>
        <w:tc>
          <w:tcPr>
            <w:tcW w:type="dxa" w:w="4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Plan gratuito, 100 GB de transferencia al mes</w:t>
            </w:r>
          </w:p>
        </w:tc>
        <w:tc>
          <w:tcPr>
            <w:tcW w:type="dxa" w:w="2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0 USD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Vercel Pro</w:t>
            </w:r>
          </w:p>
        </w:tc>
        <w:tc>
          <w:tcPr>
            <w:tcW w:type="dxa" w:w="4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Por usuario, con 1 TB de transferencia incluido</w:t>
            </w:r>
          </w:p>
        </w:tc>
        <w:tc>
          <w:tcPr>
            <w:tcW w:type="dxa" w:w="2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20 USD / usuario / mes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Vercel (excedentes Pro)</w:t>
            </w:r>
          </w:p>
        </w:tc>
        <w:tc>
          <w:tcPr>
            <w:tcW w:type="dxa" w:w="4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Transferencia adicional · solicitudes Edge (sobre 10 M incluidos) · invocaciones de función (sobre 1 M incluido)</w:t>
            </w:r>
          </w:p>
        </w:tc>
        <w:tc>
          <w:tcPr>
            <w:tcW w:type="dxa" w:w="2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0,15 USD/GB · 2 USD/M · 0,60 USD/M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Render Postgres</w:t>
            </w:r>
          </w:p>
        </w:tc>
        <w:tc>
          <w:tcPr>
            <w:tcW w:type="dxa" w:w="4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Almacenamiento (independiente de la instancia) · cómputo desde Basic-256mb hasta Pro-64gb</w:t>
            </w:r>
          </w:p>
        </w:tc>
        <w:tc>
          <w:tcPr>
            <w:tcW w:type="dxa" w:w="2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0,30 USD/GB/mes · 6 a 800 USD/mes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Anthropic API (referencia)</w:t>
            </w:r>
          </w:p>
        </w:tc>
        <w:tc>
          <w:tcPr>
            <w:tcW w:type="dxa" w:w="4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Claude Haiku 3, solo como comparación con la ejecución local: entrada · salida</w:t>
            </w:r>
          </w:p>
        </w:tc>
        <w:tc>
          <w:tcPr>
            <w:tcW w:type="dxa" w:w="2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0,25 · 1,25 USD por M de tokens</w:t>
            </w:r>
          </w:p>
        </w:tc>
      </w:tr>
    </w:tbl>
    <w:p>
      <w:p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color w:val="5B6573"/>
          <w:sz w:val="16"/>
          <w:szCs w:val="16"/>
        </w:rPr>
        <w:t xml:space="preserve">Precios de septiembre de 2026; verificar su vigencia antes de usarlos en un documento final.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A9D8F"/>
          <w:sz w:val="23"/>
          <w:szCs w:val="23"/>
        </w:rPr>
        <w:t xml:space="preserve">4.3 Ollama local frente a un proveedor de API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2571750"/>
            <wp:effectExtent t="0" r="0" b="0" l="0"/>
            <wp:docPr id="1" name="fig3_local_vs_api" descr="Figura 3. Esquema conceptual del punto de equilibrio (sin valores; se resuelve con el Q_día real del proyecto)." title="Figura 3. Esquema conceptual del punto de equilibrio (sin valores; se resuelve con el Q_día real del proyect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B6573"/>
          <w:sz w:val="16"/>
          <w:szCs w:val="16"/>
        </w:rPr>
        <w:t xml:space="preserve">Figura 3. Esquema conceptual del punto de equilibrio (sin valores; se resuelve con el Q_día real del proyecto).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22B36"/>
          <w:sz w:val="19"/>
          <w:szCs w:val="19"/>
        </w:rPr>
        <w:t xml:space="preserve">Un ataque de consultas masivas no genera facturación por token en un modelo local, pero consume CPU/GPU (degrada la latencia de las consultas legítimas) y, si el backend está en Render con cómputo por uso, sí aumenta la factura: </w:t>
      </w:r>
      <w:r>
        <w:rPr>
          <w:rFonts w:ascii="Arial" w:cs="Arial" w:eastAsia="Arial" w:hAnsi="Arial"/>
          <w:b/>
          <w:bCs/>
          <w:color w:val="222B36"/>
          <w:sz w:val="19"/>
          <w:szCs w:val="19"/>
        </w:rPr>
        <w:t xml:space="preserve">C_ataque = Q_mal_día × t_CPU × (C_hora_infra / 3600)</w:t>
      </w:r>
      <w:r>
        <w:rPr>
          <w:rFonts w:ascii="Arial" w:cs="Arial" w:eastAsia="Arial" w:hAnsi="Arial"/>
          <w:b w:val="false"/>
          <w:bCs w:val="false"/>
          <w:color w:val="222B36"/>
          <w:sz w:val="19"/>
          <w:szCs w:val="19"/>
        </w:rPr>
        <w:t xml:space="preserve">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A9D8F"/>
          <w:sz w:val="23"/>
          <w:szCs w:val="23"/>
        </w:rPr>
        <w:t xml:space="preserve">4.4 Escalado ilustrativo del almacenamiento de embeddings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cantSplit/>
          <w:tblHeader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Documentos (N_doc)</w:t>
            </w:r>
          </w:p>
        </w:tc>
        <w:tc>
          <w:tcPr>
            <w:tcW w:type="dxa" w:w="31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Solo vectores (1.544 bytes c/u)</w:t>
            </w:r>
          </w:p>
        </w:tc>
        <w:tc>
          <w:tcPr>
            <w:tcW w:type="dxa" w:w="31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Costo mensual a 0,30 USD/GB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7"/>
                <w:szCs w:val="17"/>
              </w:rPr>
              <w:t xml:space="preserve">5 (demo actual)</w:t>
            </w:r>
          </w:p>
        </w:tc>
        <w:tc>
          <w:tcPr>
            <w:tcW w:type="dxa" w:w="31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≈ 7,7 KB</w:t>
            </w:r>
          </w:p>
        </w:tc>
        <w:tc>
          <w:tcPr>
            <w:tcW w:type="dxa" w:w="31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&lt; 0,01 USD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7"/>
                <w:szCs w:val="17"/>
              </w:rPr>
              <w:t xml:space="preserve">1.000</w:t>
            </w:r>
          </w:p>
        </w:tc>
        <w:tc>
          <w:tcPr>
            <w:tcW w:type="dxa" w:w="31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≈ 1,5 MB</w:t>
            </w:r>
          </w:p>
        </w:tc>
        <w:tc>
          <w:tcPr>
            <w:tcW w:type="dxa" w:w="31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&lt; 0,01 USD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7"/>
                <w:szCs w:val="17"/>
              </w:rPr>
              <w:t xml:space="preserve">100.000</w:t>
            </w:r>
          </w:p>
        </w:tc>
        <w:tc>
          <w:tcPr>
            <w:tcW w:type="dxa" w:w="31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≈ 154 MB</w:t>
            </w:r>
          </w:p>
        </w:tc>
        <w:tc>
          <w:tcPr>
            <w:tcW w:type="dxa" w:w="31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≈ 0,05 USD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7"/>
                <w:szCs w:val="17"/>
              </w:rPr>
              <w:t xml:space="preserve">1.000.000</w:t>
            </w:r>
          </w:p>
        </w:tc>
        <w:tc>
          <w:tcPr>
            <w:tcW w:type="dxa" w:w="31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≈ 1,5 GB</w:t>
            </w:r>
          </w:p>
        </w:tc>
        <w:tc>
          <w:tcPr>
            <w:tcW w:type="dxa" w:w="31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≈ 0,46 USD</w:t>
            </w:r>
          </w:p>
        </w:tc>
      </w:tr>
    </w:tbl>
    <w:p>
      <w:p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color w:val="5B6573"/>
          <w:sz w:val="16"/>
          <w:szCs w:val="16"/>
        </w:rPr>
        <w:t xml:space="preserve">Cálculo ilustrativo a partir de la estimación propia de 1.544 bytes por vector. Excluye el texto original, los metadatos, los índices y los respaldos.</w:t>
      </w:r>
    </w:p>
    <w:p>
      <w:pPr>
        <w:pStyle w:val="Heading1"/>
        <w:keepNext/>
        <w:pBdr>
          <w:bottom w:val="single" w:color="2A9D8F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5. Mitigación por fase y comparación de escenarios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143250"/>
            <wp:effectExtent t="0" r="0" b="0" l="0"/>
            <wp:docPr id="1" name="fig4_mitigacion" descr="Figura 4. Costo computacional relativo por fase (esquema) y tasa de reconstrucción residual reportada por Qi et al. (2024)." title="Figura 4. Costo computacional relativo por fase (esquema) y tasa de reconstrucción residual reportada por Qi et al. (2024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B6573"/>
          <w:sz w:val="16"/>
          <w:szCs w:val="16"/>
        </w:rPr>
        <w:t xml:space="preserve">Figura 4. Costo computacional relativo por fase (esquema) y tasa de reconstrucción residual reportada por Qi et al. (2024).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B6573"/>
          <w:sz w:val="16"/>
          <w:szCs w:val="16"/>
        </w:rPr>
        <w:t xml:space="preserve">Referencia adicional: sin defensas específicas, el mismo estudio reporta 100 % de éxito de extracción en sistemas RAG de producción (métrica distinta a la de reconstrucción). Las condiciones experimentales difieren de las del proyecto.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930"/>
        <w:gridCol w:w="2930"/>
      </w:tblGrid>
      <w:tr>
        <w:trPr>
          <w:cantSplit/>
          <w:tblHeader/>
        </w:trP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Dimensión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Escenario 1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Sin controles (Avance 1)</w:t>
            </w:r>
          </w:p>
        </w:tc>
        <w:tc>
          <w:tcPr>
            <w:tcW w:type="dxa" w:w="293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Escenario 2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Filtrado en recuperación (Avance 2)</w:t>
            </w:r>
          </w:p>
        </w:tc>
        <w:tc>
          <w:tcPr>
            <w:tcW w:type="dxa" w:w="293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Escenario 3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Filtrado + prompt + validación (Avance 3)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Mitigación directa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Ninguna</w:t>
            </w:r>
          </w:p>
        </w:tc>
        <w:tc>
          <w:tcPr>
            <w:tcW w:type="dxa" w:w="293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R-01, R-02</w:t>
            </w:r>
          </w:p>
        </w:tc>
        <w:tc>
          <w:tcPr>
            <w:tcW w:type="dxa" w:w="293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R-01, R-02; R-03 parcial (probabilística)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Riesgos abiertos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R-01 a R-05 y R-09 (R-08 solo por diseño)</w:t>
            </w:r>
          </w:p>
        </w:tc>
        <w:tc>
          <w:tcPr>
            <w:tcW w:type="dxa" w:w="293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R-03, R-04, R-05, R-09</w:t>
            </w:r>
          </w:p>
        </w:tc>
        <w:tc>
          <w:tcPr>
            <w:tcW w:type="dxa" w:w="293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R-04, R-05, R-09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Costo inicial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0 (línea base)</w:t>
            </w:r>
          </w:p>
        </w:tc>
        <w:tc>
          <w:tcPr>
            <w:tcW w:type="dxa" w:w="293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Horas de diseño del esquema de metadatos + etiquetado del corpus + lógica de filtro</w:t>
            </w:r>
          </w:p>
        </w:tc>
        <w:tc>
          <w:tcPr>
            <w:tcW w:type="dxa" w:w="293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Horas de prompt engineering + desarrollo del validador, adicional al Escenario 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Cómputo recurrente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0 (línea base)</w:t>
            </w:r>
          </w:p>
        </w:tc>
        <w:tc>
          <w:tcPr>
            <w:tcW w:type="dxa" w:w="293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Marginal (filtro por metadatos en SQL; medir con EXPLAIN ANALYZE)</w:t>
            </w:r>
          </w:p>
        </w:tc>
        <w:tc>
          <w:tcPr>
            <w:tcW w:type="dxa" w:w="293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Hasta ≈ 2× el del Escenario 2 si el validador hace una segunda inferencia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Riesgo residual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No cuantificado (todo abierto)</w:t>
            </w:r>
          </w:p>
        </w:tc>
        <w:tc>
          <w:tcPr>
            <w:tcW w:type="dxa" w:w="293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Depende de la tasa de falsos negativos del filtro (aún no medida)</w:t>
            </w:r>
          </w:p>
        </w:tc>
        <w:tc>
          <w:tcPr>
            <w:tcW w:type="dxa" w:w="293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≈ 52,3 % de reconstrucción residual (Qi et al.), en condiciones distintas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Falsos positivos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No aplica</w:t>
            </w:r>
          </w:p>
        </w:tc>
        <w:tc>
          <w:tcPr>
            <w:tcW w:type="dxa" w:w="293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Bloqueo de fragmentos legítimos por error de etiquetado</w:t>
            </w:r>
          </w:p>
        </w:tc>
        <w:tc>
          <w:tcPr>
            <w:tcW w:type="dxa" w:w="293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Además: bloqueo de respuestas legítimas por el validador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Supuesto clave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Ninguno adicional</w:t>
            </w:r>
          </w:p>
        </w:tc>
        <w:tc>
          <w:tcPr>
            <w:tcW w:type="dxa" w:w="293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Metadatos de clasificación correctos en la ingesta</w:t>
            </w:r>
          </w:p>
        </w:tc>
        <w:tc>
          <w:tcPr>
            <w:tcW w:type="dxa" w:w="293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Validador bien calibrado; sin garantía de mitigación completa de R-03</w:t>
            </w:r>
          </w:p>
        </w:tc>
      </w:tr>
    </w:tbl>
    <w:p>
      <w:pPr>
        <w:spacing w:after="12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5B6573"/>
          <w:sz w:val="16"/>
          <w:szCs w:val="16"/>
        </w:rPr>
        <w:t xml:space="preserve">Este informe no asigna puntajes ni rankings: cuánta inversión en controles es apropiada depende del presupuesto, la tolerancia al riesgo y los plazos del equipo.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A9D8F" w:sz="28"/>
              <w:bottom w:val="none" w:color="FFFFFF" w:sz="0"/>
              <w:right w:val="none" w:color="FFFFFF" w:sz="0"/>
            </w:tcBorders>
            <w:shd w:fill="F1F4F8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A9D8F"/>
                <w:sz w:val="19"/>
                <w:szCs w:val="19"/>
              </w:rPr>
              <w:t xml:space="preserve">Determinístico frente a probabilístico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8"/>
                <w:szCs w:val="18"/>
              </w:rPr>
              <w:t xml:space="preserve">El filtrado en la recuperación (Avance 2) es determinístico: bien implementado puede llevar el riesgo residual de R-01 y R-02 a un nivel muy bajo, y un error de filtrado reproduce exactamente el SLE de R-01/R-02. El Avance 3 </w:t>
            </w:r>
            <w:r>
              <w:rPr>
                <w:rFonts w:ascii="Arial" w:cs="Arial" w:eastAsia="Arial" w:hAnsi="Arial"/>
                <w:b/>
                <w:bCs/>
                <w:color w:val="222B36"/>
                <w:sz w:val="18"/>
                <w:szCs w:val="18"/>
              </w:rPr>
              <w:t xml:space="preserve">no elimina</w:t>
            </w: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8"/>
                <w:szCs w:val="18"/>
              </w:rPr>
              <w:t xml:space="preserve"> R-03, solo lo reduce; su SLE residual sigue siendo distinto de cero y debe presupuestarse.</w:t>
            </w:r>
          </w:p>
        </w:tc>
      </w:tr>
    </w:tbl>
    <w:p>
      <w:pPr>
        <w:pStyle w:val="Heading1"/>
        <w:keepNext/>
        <w:pBdr>
          <w:bottom w:val="single" w:color="2A9D8F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6. Qué falta medir y cómo convertirlo en costos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A9D8F"/>
          <w:sz w:val="23"/>
          <w:szCs w:val="23"/>
        </w:rPr>
        <w:t xml:space="preserve">6.1 Variables y métricas pendientes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3000"/>
      </w:tblGrid>
      <w:tr>
        <w:trPr>
          <w:cantSplit/>
          <w:tblHeader/>
        </w:trPr>
        <w:tc>
          <w:tcPr>
            <w:tcW w:type="dxa" w:w="1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medir</w:t>
            </w:r>
          </w:p>
        </w:tc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Q_día y Q_mal_día: volumen real de consultas legítimas y maliciosas, incluso en pruebas</w:t>
            </w:r>
          </w:p>
        </w:tc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Cómputo y almacenamiento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ARO de cada riesgo (no hay serie histórica de incidentes)</w:t>
            </w:r>
          </w:p>
        </w:tc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ALE = SLE × ARO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t_CPU por consulta en el hardware real (CPU o GPU; Llama 1B o 3B)</w:t>
            </w:r>
          </w:p>
        </w:tc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Costo de cómputo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Tamaño real del corpus (documentos y tokens) más allá de los 5 de la demo</w:t>
            </w:r>
          </w:p>
        </w:tc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Almacenamiento y reingesta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Política de retención de logs D2 (no especificada en el README)</w:t>
            </w:r>
          </w:p>
        </w:tc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R-09 y almacenamiento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C_hora_persona del equipo (decisión interna)</w:t>
            </w:r>
          </w:p>
        </w:tc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Casi todas las fórmulas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Valor de negocio por nivel de clasificación (público, interno, confidencial, secreto)</w:t>
            </w:r>
          </w:p>
        </w:tc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C_exposición_información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Métrica</w:t>
            </w:r>
          </w:p>
        </w:tc>
        <w:tc>
          <w:tcPr>
            <w:tcW w:type="dxa" w:w="5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Tasa de éxito de los ataques 1, 2 y 3 en cada fase, replicando la tasa de reconstrucción de Qi et al.</w:t>
            </w:r>
          </w:p>
        </w:tc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Comparar el riesgo residual con una referencia publicada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Métrica</w:t>
            </w:r>
          </w:p>
        </w:tc>
        <w:tc>
          <w:tcPr>
            <w:tcW w:type="dxa" w:w="5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Latencia y consumo de CPU/RAM por consulta, con y sin el validador del Avance 3</w:t>
            </w:r>
          </w:p>
        </w:tc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Calibrar el costo del Avance 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Métrica</w:t>
            </w:r>
          </w:p>
        </w:tc>
        <w:tc>
          <w:tcPr>
            <w:tcW w:type="dxa" w:w="5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Falsos positivos y negativos del filtro (Avance 2) y del validador (Avance 3), por separado</w:t>
            </w:r>
          </w:p>
        </w:tc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Costo de errores de control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Métrica</w:t>
            </w:r>
          </w:p>
        </w:tc>
        <w:tc>
          <w:tcPr>
            <w:tcW w:type="dxa" w:w="5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Tamaño real en bytes de cada entrada de log en D2</w:t>
            </w:r>
          </w:p>
        </w:tc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Calibrar el costo de almacenamiento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6"/>
                <w:szCs w:val="16"/>
              </w:rPr>
              <w:t xml:space="preserve">Métrica</w:t>
            </w:r>
          </w:p>
        </w:tc>
        <w:tc>
          <w:tcPr>
            <w:tcW w:type="dxa" w:w="5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Tiempo del Blue Team para revisar un lote de logs y detectar un intento</w:t>
            </w:r>
          </w:p>
        </w:tc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Calibrar H_monitoreo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A9D8F"/>
          <w:sz w:val="23"/>
          <w:szCs w:val="23"/>
        </w:rPr>
        <w:t xml:space="preserve">6.2 Ruta de cálculo en cuatro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2A9D8F" w:sz="24"/>
              <w:left w:val="single" w:color="FFFFFF" w:sz="24"/>
              <w:bottom w:val="single" w:color="FFFFFF" w:sz="24"/>
              <w:right w:val="single" w:color="FFFFFF" w:sz="24"/>
            </w:tcBorders>
            <w:shd w:fill="F1F4F8" w:color="auto" w:val="clear"/>
            <w:tcMar>
              <w:top w:type="dxa" w:w="100"/>
              <w:left w:type="dxa" w:w="130"/>
              <w:bottom w:type="dxa" w:w="11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1 · Calcular SLE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Sustituir en las fórmulas de la sección 3 los valores medidos.</w:t>
            </w:r>
          </w:p>
        </w:tc>
        <w:tc>
          <w:tcPr>
            <w:tcW w:type="dxa" w:w="2340"/>
            <w:tcBorders>
              <w:top w:val="single" w:color="2A9D8F" w:sz="24"/>
              <w:left w:val="single" w:color="FFFFFF" w:sz="24"/>
              <w:bottom w:val="single" w:color="FFFFFF" w:sz="24"/>
              <w:right w:val="single" w:color="FFFFFF" w:sz="24"/>
            </w:tcBorders>
            <w:shd w:fill="F1F4F8" w:color="auto" w:val="clear"/>
            <w:tcMar>
              <w:top w:type="dxa" w:w="100"/>
              <w:left w:type="dxa" w:w="130"/>
              <w:bottom w:type="dxa" w:w="11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2 · Estimar ARO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Tomar los éxitos de cada ataque en pruebas de Red Team. ARO ≈ éxitos por período, no intentos totales.</w:t>
            </w:r>
          </w:p>
        </w:tc>
        <w:tc>
          <w:tcPr>
            <w:tcW w:type="dxa" w:w="2340"/>
            <w:tcBorders>
              <w:top w:val="single" w:color="2A9D8F" w:sz="24"/>
              <w:left w:val="single" w:color="FFFFFF" w:sz="24"/>
              <w:bottom w:val="single" w:color="FFFFFF" w:sz="24"/>
              <w:right w:val="single" w:color="FFFFFF" w:sz="24"/>
            </w:tcBorders>
            <w:shd w:fill="F1F4F8" w:color="auto" w:val="clear"/>
            <w:tcMar>
              <w:top w:type="dxa" w:w="100"/>
              <w:left w:type="dxa" w:w="130"/>
              <w:bottom w:type="dxa" w:w="11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3 · Calcular ALE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ALE = SLE × ARO para cada riesgo, y compararlo con el costo de mitigación de cada fase.</w:t>
            </w:r>
          </w:p>
        </w:tc>
        <w:tc>
          <w:tcPr>
            <w:tcW w:type="dxa" w:w="2340"/>
            <w:tcBorders>
              <w:top w:val="single" w:color="2A9D8F" w:sz="24"/>
              <w:left w:val="single" w:color="FFFFFF" w:sz="24"/>
              <w:bottom w:val="single" w:color="FFFFFF" w:sz="24"/>
              <w:right w:val="single" w:color="FFFFFF" w:sz="24"/>
            </w:tcBorders>
            <w:shd w:fill="F1F4F8" w:color="auto" w:val="clear"/>
            <w:tcMar>
              <w:top w:type="dxa" w:w="100"/>
              <w:left w:type="dxa" w:w="130"/>
              <w:bottom w:type="dxa" w:w="11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4 · Repetir por fase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6"/>
                <w:szCs w:val="16"/>
              </w:rPr>
              <w:t xml:space="preserve">Recalcular tras el Avance 1, 2 y 3 para obtener la curva de riesgo residual frente a inversión en controles: el entregable central de la sección de costos.</w:t>
            </w:r>
          </w:p>
        </w:tc>
      </w:tr>
    </w:tbl>
    <w:p>
      <w:pPr>
        <w:pStyle w:val="Heading1"/>
        <w:keepNext/>
        <w:pBdr>
          <w:bottom w:val="single" w:color="2A9D8F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7. Limitaciones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 w:val="false"/>
          <w:bCs w:val="false"/>
          <w:color w:val="222B36"/>
          <w:sz w:val="20"/>
          <w:szCs w:val="20"/>
        </w:rPr>
        <w:t xml:space="preserve">Solo cubre los siete riesgos descritos en el README; risk-register.md no estuvo disponible.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 w:val="false"/>
          <w:bCs w:val="false"/>
          <w:color w:val="222B36"/>
          <w:sz w:val="20"/>
          <w:szCs w:val="20"/>
        </w:rPr>
        <w:t xml:space="preserve">No se calculó ninguna cifra monetaria absoluta: todas las fórmulas dependen de variables aún no medidas.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 w:val="false"/>
          <w:bCs w:val="false"/>
          <w:color w:val="222B36"/>
          <w:sz w:val="20"/>
          <w:szCs w:val="20"/>
        </w:rPr>
        <w:t xml:space="preserve">El tamaño exacto por vector de pgvector, el consumo energético de Llama 3.2 y el precio de instancias GPU en AWS no se confirmaron en una fuente oficial; figuran como estimación propia o no cuantificados.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 w:val="false"/>
          <w:bCs w:val="false"/>
          <w:color w:val="222B36"/>
          <w:sz w:val="20"/>
          <w:szCs w:val="20"/>
        </w:rPr>
        <w:t xml:space="preserve">Ollama "en local" probablemente significa una máquina de desarrollo; los precios de Render y AWS son puntos de comparación, no el despliegue real.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 w:val="false"/>
          <w:bCs w:val="false"/>
          <w:color w:val="222B36"/>
          <w:sz w:val="20"/>
          <w:szCs w:val="20"/>
        </w:rPr>
        <w:t xml:space="preserve">Los precios de Vercel, Render, AWS y Anthropic corresponden a septiembre de 2026 y pueden cambiar.</w:t>
      </w:r>
    </w:p>
    <w:p>
      <w:pPr>
        <w:pStyle w:val="Heading1"/>
        <w:keepNext/>
        <w:pageBreakBefore/>
        <w:pBdr>
          <w:bottom w:val="single" w:color="2A9D8F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Anexo A. Variables y fórmulas de referencia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A9D8F"/>
          <w:sz w:val="23"/>
          <w:szCs w:val="23"/>
        </w:rPr>
        <w:t xml:space="preserve">Variables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80"/>
        <w:gridCol w:w="1500"/>
        <w:gridCol w:w="3180"/>
      </w:tblGrid>
      <w:tr>
        <w:trPr>
          <w:cantSplit/>
          <w:tblHeader/>
        </w:trP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31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31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7"/>
                <w:szCs w:val="17"/>
              </w:rPr>
              <w:t xml:space="preserve">Q_día</w:t>
            </w:r>
          </w:p>
        </w:tc>
        <w:tc>
          <w:tcPr>
            <w:tcW w:type="dxa" w:w="31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Consultas legítimas por día</w:t>
            </w:r>
          </w:p>
        </w:tc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t_CPU</w:t>
            </w:r>
          </w:p>
        </w:tc>
        <w:tc>
          <w:tcPr>
            <w:tcW w:type="dxa" w:w="31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Tiempo de CPU/GPU por consulta (s)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7"/>
                <w:szCs w:val="17"/>
              </w:rPr>
              <w:t xml:space="preserve">Q_mal_día</w:t>
            </w:r>
          </w:p>
        </w:tc>
        <w:tc>
          <w:tcPr>
            <w:tcW w:type="dxa" w:w="31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Consultas maliciosas o de prueba por día</w:t>
            </w:r>
          </w:p>
        </w:tc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C_hora_infra</w:t>
            </w:r>
          </w:p>
        </w:tc>
        <w:tc>
          <w:tcPr>
            <w:tcW w:type="dxa" w:w="31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Costo por hora de infraestructura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7"/>
                <w:szCs w:val="17"/>
              </w:rPr>
              <w:t xml:space="preserve">N_doc</w:t>
            </w:r>
          </w:p>
        </w:tc>
        <w:tc>
          <w:tcPr>
            <w:tcW w:type="dxa" w:w="31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Documentos en el corpus</w:t>
            </w:r>
          </w:p>
        </w:tc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C_GB_almac</w:t>
            </w:r>
          </w:p>
        </w:tc>
        <w:tc>
          <w:tcPr>
            <w:tcW w:type="dxa" w:w="31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Costo por GB de almacenamiento al mes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7"/>
                <w:szCs w:val="17"/>
              </w:rPr>
              <w:t xml:space="preserve">T_doc</w:t>
            </w:r>
          </w:p>
        </w:tc>
        <w:tc>
          <w:tcPr>
            <w:tcW w:type="dxa" w:w="31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Tamaño promedio de un documento o fragmento</w:t>
            </w:r>
          </w:p>
        </w:tc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C_GB_backup</w:t>
            </w:r>
          </w:p>
        </w:tc>
        <w:tc>
          <w:tcPr>
            <w:tcW w:type="dxa" w:w="31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Costo por GB de respaldo al mes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7"/>
                <w:szCs w:val="17"/>
              </w:rPr>
              <w:t xml:space="preserve">D_emb</w:t>
            </w:r>
          </w:p>
        </w:tc>
        <w:tc>
          <w:tcPr>
            <w:tcW w:type="dxa" w:w="31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Dimensión del embedding (384 en all-MiniLM-L6-v2)</w:t>
            </w:r>
          </w:p>
        </w:tc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H_monitoreo</w:t>
            </w:r>
          </w:p>
        </w:tc>
        <w:tc>
          <w:tcPr>
            <w:tcW w:type="dxa" w:w="31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Horas-persona de monitoreo por semana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7"/>
                <w:szCs w:val="17"/>
              </w:rPr>
              <w:t xml:space="preserve">H_respuesta</w:t>
            </w:r>
          </w:p>
        </w:tc>
        <w:tc>
          <w:tcPr>
            <w:tcW w:type="dxa" w:w="31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Horas-persona por incidente confirmado</w:t>
            </w:r>
          </w:p>
        </w:tc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C_hora_persona</w:t>
            </w:r>
          </w:p>
        </w:tc>
        <w:tc>
          <w:tcPr>
            <w:tcW w:type="dxa" w:w="31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B36"/>
                <w:sz w:val="17"/>
                <w:szCs w:val="17"/>
              </w:rPr>
              <w:t xml:space="preserve">Costo cargado por hora-persona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A9D8F"/>
          <w:sz w:val="23"/>
          <w:szCs w:val="23"/>
        </w:rPr>
        <w:t xml:space="preserve">Fórmulas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  <w:tblHeader/>
        </w:trP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type="dxa" w:w="68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Fórmula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5"/>
                <w:szCs w:val="15"/>
              </w:rPr>
              <w:t xml:space="preserve">Costo local mensual</w:t>
            </w:r>
          </w:p>
        </w:tc>
        <w:tc>
          <w:tcPr>
            <w:tcW w:type="dxa" w:w="68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B36"/>
                <w:sz w:val="15"/>
                <w:szCs w:val="15"/>
              </w:rPr>
              <w:t xml:space="preserve">(C_hora_infra_servidor × horas_activas_mes) + costo_amortizado_hardware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5"/>
                <w:szCs w:val="15"/>
              </w:rPr>
              <w:t xml:space="preserve">Costo API mensual</w:t>
            </w:r>
          </w:p>
        </w:tc>
        <w:tc>
          <w:tcPr>
            <w:tcW w:type="dxa" w:w="68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B36"/>
                <w:sz w:val="15"/>
                <w:szCs w:val="15"/>
              </w:rPr>
              <w:t xml:space="preserve">(tokens_entrada_mes / 1.000.000 × precio_entrada) + (tokens_salida_mes / 1.000.000 × precio_salida)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5"/>
                <w:szCs w:val="15"/>
              </w:rPr>
              <w:t xml:space="preserve">Punto de equilibrio (consultas/mes)</w:t>
            </w:r>
          </w:p>
        </w:tc>
        <w:tc>
          <w:tcPr>
            <w:tcW w:type="dxa" w:w="68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B36"/>
                <w:sz w:val="15"/>
                <w:szCs w:val="15"/>
              </w:rPr>
              <w:t xml:space="preserve">Costo_local_mensual / [(tokens_promedio_consulta / 1.000.000) × (precio_entrada + precio_salida)]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5"/>
                <w:szCs w:val="15"/>
              </w:rPr>
              <w:t xml:space="preserve">Costo de un ataque (cómputo)</w:t>
            </w:r>
          </w:p>
        </w:tc>
        <w:tc>
          <w:tcPr>
            <w:tcW w:type="dxa" w:w="68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B36"/>
                <w:sz w:val="15"/>
                <w:szCs w:val="15"/>
              </w:rPr>
              <w:t xml:space="preserve">C_ataque = Q_mal_día × t_CPU_por_consulta × (C_hora_infra / 3600)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5"/>
                <w:szCs w:val="15"/>
              </w:rPr>
              <w:t xml:space="preserve">Tamaño por vector</w:t>
            </w:r>
          </w:p>
        </w:tc>
        <w:tc>
          <w:tcPr>
            <w:tcW w:type="dxa" w:w="68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B36"/>
                <w:sz w:val="15"/>
                <w:szCs w:val="15"/>
              </w:rPr>
              <w:t xml:space="preserve">≈ 4 × D_emb + 8 bytes (≈ 1.544 bytes para D_emb = 384)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5"/>
                <w:szCs w:val="15"/>
              </w:rPr>
              <w:t xml:space="preserve">Almacenamiento total</w:t>
            </w:r>
          </w:p>
        </w:tc>
        <w:tc>
          <w:tcPr>
            <w:tcW w:type="dxa" w:w="68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B36"/>
                <w:sz w:val="15"/>
                <w:szCs w:val="15"/>
              </w:rPr>
              <w:t xml:space="preserve">N_doc × (Tamaño_por_vector + tamaño_texto_original + tamaño_metadatos_clasificación)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5"/>
                <w:szCs w:val="15"/>
              </w:rPr>
              <w:t xml:space="preserve">Almacenamiento mensual</w:t>
            </w:r>
          </w:p>
        </w:tc>
        <w:tc>
          <w:tcPr>
            <w:tcW w:type="dxa" w:w="68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B36"/>
                <w:sz w:val="15"/>
                <w:szCs w:val="15"/>
              </w:rPr>
              <w:t xml:space="preserve">Almacenamiento_total (GB) × C_GB_almac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5"/>
                <w:szCs w:val="15"/>
              </w:rPr>
              <w:t xml:space="preserve">Backend mensual</w:t>
            </w:r>
          </w:p>
        </w:tc>
        <w:tc>
          <w:tcPr>
            <w:tcW w:type="dxa" w:w="68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B36"/>
                <w:sz w:val="15"/>
                <w:szCs w:val="15"/>
              </w:rPr>
              <w:t xml:space="preserve">costo_instancia_cómputo_mes + (Q_día × 30 × t_CPU_por_consulta × C_hora_infra / 3600)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5"/>
                <w:szCs w:val="15"/>
              </w:rPr>
              <w:t xml:space="preserve">Frontend Vercel Pro</w:t>
            </w:r>
          </w:p>
        </w:tc>
        <w:tc>
          <w:tcPr>
            <w:tcW w:type="dxa" w:w="68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B36"/>
                <w:sz w:val="15"/>
                <w:szCs w:val="15"/>
              </w:rPr>
              <w:t xml:space="preserve">20 USD/usuario + max(0, GB_transferencia − 1000) × 0,15 + max(0, solicitudes_edge − 10.000.000) / 1.000.000 × 2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5"/>
                <w:szCs w:val="15"/>
              </w:rPr>
              <w:t xml:space="preserve">Logs (D2)</w:t>
            </w:r>
          </w:p>
        </w:tc>
        <w:tc>
          <w:tcPr>
            <w:tcW w:type="dxa" w:w="68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B36"/>
                <w:sz w:val="15"/>
                <w:szCs w:val="15"/>
              </w:rPr>
              <w:t xml:space="preserve">C_logs_total = C_almacenamiento + C_retención + C_monitoreo + C_forense_incidente</w:t>
            </w:r>
          </w:p>
          <w:p>
            <w:pPr>
              <w:spacing w:after="30" w:line="2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B36"/>
                <w:sz w:val="15"/>
                <w:szCs w:val="15"/>
              </w:rPr>
              <w:t xml:space="preserve">C_almacenamiento = tamaño_promedio_entrada × (Q_día + Q_mal_día) × días_retención × C_GB_almac / 30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5"/>
                <w:szCs w:val="15"/>
              </w:rPr>
              <w:t xml:space="preserve">Exposición (R-01)</w:t>
            </w:r>
          </w:p>
        </w:tc>
        <w:tc>
          <w:tcPr>
            <w:tcW w:type="dxa" w:w="68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B36"/>
                <w:sz w:val="15"/>
                <w:szCs w:val="15"/>
              </w:rPr>
              <w:t xml:space="preserve">C_exposición = Σ (valor_documento_i × probabilidad_de_uso_indebido)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5"/>
                <w:szCs w:val="15"/>
              </w:rPr>
              <w:t xml:space="preserve">Reingesta (R-04)</w:t>
            </w:r>
          </w:p>
        </w:tc>
        <w:tc>
          <w:tcPr>
            <w:tcW w:type="dxa" w:w="68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B36"/>
                <w:sz w:val="15"/>
                <w:szCs w:val="15"/>
              </w:rPr>
              <w:t xml:space="preserve">C_reingesta = N_doc × t_verificación_por_doc × C_hora_persona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5"/>
                <w:szCs w:val="15"/>
              </w:rPr>
              <w:t xml:space="preserve">Rotación (R-08)</w:t>
            </w:r>
          </w:p>
        </w:tc>
        <w:tc>
          <w:tcPr>
            <w:tcW w:type="dxa" w:w="68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B36"/>
                <w:sz w:val="15"/>
                <w:szCs w:val="15"/>
              </w:rPr>
              <w:t xml:space="preserve">C_directo = N_credenciales_expuestas × costo_rotación_por_credencial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5"/>
                <w:szCs w:val="15"/>
              </w:rPr>
              <w:t xml:space="preserve">Costo inicial Avance 2</w:t>
            </w:r>
          </w:p>
        </w:tc>
        <w:tc>
          <w:tcPr>
            <w:tcW w:type="dxa" w:w="68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B36"/>
                <w:sz w:val="15"/>
                <w:szCs w:val="15"/>
              </w:rPr>
              <w:t xml:space="preserve">H_diseño_esquema × C_hora_persona + H_implementación_filtro × C_hora_persona + N_doc × t_etiquetado_por_doc × C_hora_persona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5"/>
                <w:szCs w:val="15"/>
              </w:rPr>
              <w:t xml:space="preserve">Costo inicial Avance 3</w:t>
            </w:r>
          </w:p>
        </w:tc>
        <w:tc>
          <w:tcPr>
            <w:tcW w:type="dxa" w:w="68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B36"/>
                <w:sz w:val="15"/>
                <w:szCs w:val="15"/>
              </w:rPr>
              <w:t xml:space="preserve">H_prompt_engineering × C_hora_persona + H_desarrollo_validador × C_hora_persona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5"/>
                <w:szCs w:val="15"/>
              </w:rPr>
              <w:t xml:space="preserve">Cómputo Avance 3</w:t>
            </w:r>
          </w:p>
        </w:tc>
        <w:tc>
          <w:tcPr>
            <w:tcW w:type="dxa" w:w="68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1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B36"/>
                <w:sz w:val="15"/>
                <w:szCs w:val="15"/>
              </w:rPr>
              <w:t xml:space="preserve">≈ 2 × Costo_computacional_Avance2 (si el validador usa una segunda inferencia del mismo LLM)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22B36"/>
                <w:sz w:val="15"/>
                <w:szCs w:val="15"/>
              </w:rPr>
              <w:t xml:space="preserve">Riesgo no mitigado (Avance 1)</w:t>
            </w:r>
          </w:p>
        </w:tc>
        <w:tc>
          <w:tcPr>
            <w:tcW w:type="dxa" w:w="68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B36"/>
                <w:sz w:val="15"/>
                <w:szCs w:val="15"/>
              </w:rPr>
              <w:t xml:space="preserve">Σ SLE_Ri × ARO_i, con i ∈ {R-01, R-02, R-03, R-04, R-05, R-08, R-09}</w:t>
            </w:r>
          </w:p>
        </w:tc>
      </w:tr>
    </w:tbl>
    <w:p>
      <w:pPr>
        <w:pStyle w:val="Heading1"/>
        <w:keepNext/>
        <w:pBdr>
          <w:bottom w:val="single" w:color="2A9D8F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Anexo B. Referencias oficiales y fuentes primarias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A5F"/>
          <w:sz w:val="18"/>
          <w:szCs w:val="18"/>
        </w:rPr>
        <w:t xml:space="preserve">Marcos de riesgo y seguridad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Arial" w:cs="Arial" w:eastAsia="Arial" w:hAnsi="Arial"/>
          <w:color w:val="222B36"/>
          <w:sz w:val="17"/>
          <w:szCs w:val="17"/>
        </w:rPr>
        <w:t xml:space="preserve">NIST (2012). </w:t>
      </w:r>
      <w:hyperlink w:history="1" r:id="rIdn0ki55mejxsbmlddeovrd">
        <w:r>
          <w:rPr>
            <w:rFonts w:ascii="Arial" w:cs="Arial" w:eastAsia="Arial" w:hAnsi="Arial"/>
            <w:color w:val="1F5FA8"/>
            <w:sz w:val="17"/>
            <w:szCs w:val="17"/>
            <w:u w:val="single"/>
          </w:rPr>
          <w:t xml:space="preserve">Special Publication 800-30 Rev. 1: Guide for Conducting Risk Assessments.</w:t>
        </w:r>
      </w:hyperlink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Arial" w:cs="Arial" w:eastAsia="Arial" w:hAnsi="Arial"/>
          <w:color w:val="222B36"/>
          <w:sz w:val="17"/>
          <w:szCs w:val="17"/>
        </w:rPr>
        <w:t xml:space="preserve">NIST (2023). </w:t>
      </w:r>
      <w:hyperlink w:history="1" r:id="rIddaq7kxyzrowlkpyxmjzf5">
        <w:r>
          <w:rPr>
            <w:rFonts w:ascii="Arial" w:cs="Arial" w:eastAsia="Arial" w:hAnsi="Arial"/>
            <w:color w:val="1F5FA8"/>
            <w:sz w:val="17"/>
            <w:szCs w:val="17"/>
            <w:u w:val="single"/>
          </w:rPr>
          <w:t xml:space="preserve">AI Risk Management Framework (AI RMF 1.0).</w:t>
        </w:r>
      </w:hyperlink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Arial" w:cs="Arial" w:eastAsia="Arial" w:hAnsi="Arial"/>
          <w:color w:val="222B36"/>
          <w:sz w:val="17"/>
          <w:szCs w:val="17"/>
        </w:rPr>
        <w:t xml:space="preserve">OWASP Foundation (2025). </w:t>
      </w:r>
      <w:hyperlink w:history="1" r:id="rId7ijje3g_pulio2xx6zjma">
        <w:r>
          <w:rPr>
            <w:rFonts w:ascii="Arial" w:cs="Arial" w:eastAsia="Arial" w:hAnsi="Arial"/>
            <w:color w:val="1F5FA8"/>
            <w:sz w:val="17"/>
            <w:szCs w:val="17"/>
            <w:u w:val="single"/>
          </w:rPr>
          <w:t xml:space="preserve">OWASP Top 10 for LLM Applications 2025.</w:t>
        </w:r>
      </w:hyperlink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Arial" w:cs="Arial" w:eastAsia="Arial" w:hAnsi="Arial"/>
          <w:color w:val="222B36"/>
          <w:sz w:val="17"/>
          <w:szCs w:val="17"/>
        </w:rPr>
        <w:t xml:space="preserve">CISA. </w:t>
      </w:r>
      <w:hyperlink w:history="1" r:id="rIdvqcxmd91geh0jtqymm8bd">
        <w:r>
          <w:rPr>
            <w:rFonts w:ascii="Arial" w:cs="Arial" w:eastAsia="Arial" w:hAnsi="Arial"/>
            <w:color w:val="1F5FA8"/>
            <w:sz w:val="17"/>
            <w:szCs w:val="17"/>
            <w:u w:val="single"/>
          </w:rPr>
          <w:t xml:space="preserve">Cybersecurity Best Practices: respuesta a incidentes y reporte de ciberincidentes.</w:t>
        </w:r>
      </w:hyperlink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A5F"/>
          <w:sz w:val="18"/>
          <w:szCs w:val="18"/>
        </w:rPr>
        <w:t xml:space="preserve">Documentación oficial de componentes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Arial" w:cs="Arial" w:eastAsia="Arial" w:hAnsi="Arial"/>
          <w:color w:val="222B36"/>
          <w:sz w:val="17"/>
          <w:szCs w:val="17"/>
        </w:rPr>
        <w:t xml:space="preserve">pgvector. </w:t>
      </w:r>
      <w:hyperlink w:history="1" r:id="rIdopik6v47ubjkc-8jz6lu0">
        <w:r>
          <w:rPr>
            <w:rFonts w:ascii="Arial" w:cs="Arial" w:eastAsia="Arial" w:hAnsi="Arial"/>
            <w:color w:val="1F5FA8"/>
            <w:sz w:val="17"/>
            <w:szCs w:val="17"/>
            <w:u w:val="single"/>
          </w:rPr>
          <w:t xml:space="preserve">Open-source vector similarity search for Postgres.</w:t>
        </w:r>
      </w:hyperlink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Arial" w:cs="Arial" w:eastAsia="Arial" w:hAnsi="Arial"/>
          <w:color w:val="222B36"/>
          <w:sz w:val="17"/>
          <w:szCs w:val="17"/>
        </w:rPr>
        <w:t xml:space="preserve">PostgreSQL Global Development Group. </w:t>
      </w:r>
      <w:hyperlink w:history="1" r:id="rIdk4ktrwh2cd3mrfkrgkq7x">
        <w:r>
          <w:rPr>
            <w:rFonts w:ascii="Arial" w:cs="Arial" w:eastAsia="Arial" w:hAnsi="Arial"/>
            <w:color w:val="1F5FA8"/>
            <w:sz w:val="17"/>
            <w:szCs w:val="17"/>
            <w:u w:val="single"/>
          </w:rPr>
          <w:t xml:space="preserve">Backup and Restore / Write-Ahead Logging.</w:t>
        </w:r>
      </w:hyperlink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Arial" w:cs="Arial" w:eastAsia="Arial" w:hAnsi="Arial"/>
          <w:color w:val="222B36"/>
          <w:sz w:val="17"/>
          <w:szCs w:val="17"/>
        </w:rPr>
        <w:t xml:space="preserve">LangChain4j. </w:t>
      </w:r>
      <w:hyperlink w:history="1" r:id="rIde0_nvkber33ucchhyextx">
        <w:r>
          <w:rPr>
            <w:rFonts w:ascii="Arial" w:cs="Arial" w:eastAsia="Arial" w:hAnsi="Arial"/>
            <w:color w:val="1F5FA8"/>
            <w:sz w:val="17"/>
            <w:szCs w:val="17"/>
            <w:u w:val="single"/>
          </w:rPr>
          <w:t xml:space="preserve">Documentación oficial.</w:t>
        </w:r>
      </w:hyperlink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Arial" w:cs="Arial" w:eastAsia="Arial" w:hAnsi="Arial"/>
          <w:color w:val="222B36"/>
          <w:sz w:val="17"/>
          <w:szCs w:val="17"/>
        </w:rPr>
        <w:t xml:space="preserve">VMware Tanzu / Broadcom. </w:t>
      </w:r>
      <w:hyperlink w:history="1" r:id="rIdo6dsuxncobucbadq3qzrx">
        <w:r>
          <w:rPr>
            <w:rFonts w:ascii="Arial" w:cs="Arial" w:eastAsia="Arial" w:hAnsi="Arial"/>
            <w:color w:val="1F5FA8"/>
            <w:sz w:val="17"/>
            <w:szCs w:val="17"/>
            <w:u w:val="single"/>
          </w:rPr>
          <w:t xml:space="preserve">Spring Boot Reference Documentation.</w:t>
        </w:r>
      </w:hyperlink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Arial" w:cs="Arial" w:eastAsia="Arial" w:hAnsi="Arial"/>
          <w:color w:val="222B36"/>
          <w:sz w:val="17"/>
          <w:szCs w:val="17"/>
        </w:rPr>
        <w:t xml:space="preserve">Ollama. </w:t>
      </w:r>
      <w:hyperlink w:history="1" r:id="rId1rk7we2asa6ukkccvtham">
        <w:r>
          <w:rPr>
            <w:rFonts w:ascii="Arial" w:cs="Arial" w:eastAsia="Arial" w:hAnsi="Arial"/>
            <w:color w:val="1F5FA8"/>
            <w:sz w:val="17"/>
            <w:szCs w:val="17"/>
            <w:u w:val="single"/>
          </w:rPr>
          <w:t xml:space="preserve">Repositorio y documentación oficial (tamaños de modelo y requisitos de RAM).</w:t>
        </w:r>
      </w:hyperlink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Arial" w:cs="Arial" w:eastAsia="Arial" w:hAnsi="Arial"/>
          <w:color w:val="222B36"/>
          <w:sz w:val="17"/>
          <w:szCs w:val="17"/>
        </w:rPr>
        <w:t xml:space="preserve">Meta AI. </w:t>
      </w:r>
      <w:hyperlink w:history="1" r:id="rId1v75dpsyl4ejxrin0v-7n">
        <w:r>
          <w:rPr>
            <w:rFonts w:ascii="Arial" w:cs="Arial" w:eastAsia="Arial" w:hAnsi="Arial"/>
            <w:color w:val="1F5FA8"/>
            <w:sz w:val="17"/>
            <w:szCs w:val="17"/>
            <w:u w:val="single"/>
          </w:rPr>
          <w:t xml:space="preserve">Llama 3.2: model cards and prompt formats.</w:t>
        </w:r>
      </w:hyperlink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Arial" w:cs="Arial" w:eastAsia="Arial" w:hAnsi="Arial"/>
          <w:color w:val="222B36"/>
          <w:sz w:val="17"/>
          <w:szCs w:val="17"/>
        </w:rPr>
        <w:t xml:space="preserve">Sentence-Transformers. </w:t>
      </w:r>
      <w:hyperlink w:history="1" r:id="rId0k9_7wt7o2bseauorcx0j">
        <w:r>
          <w:rPr>
            <w:rFonts w:ascii="Arial" w:cs="Arial" w:eastAsia="Arial" w:hAnsi="Arial"/>
            <w:color w:val="1F5FA8"/>
            <w:sz w:val="17"/>
            <w:szCs w:val="17"/>
            <w:u w:val="single"/>
          </w:rPr>
          <w:t xml:space="preserve">all-MiniLM-L6-v2, model card (384 dimensiones, 22,7 M de parámetros).</w:t>
        </w:r>
      </w:hyperlink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A5F"/>
          <w:sz w:val="18"/>
          <w:szCs w:val="18"/>
        </w:rPr>
        <w:t xml:space="preserve">Precios de proveedores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Arial" w:cs="Arial" w:eastAsia="Arial" w:hAnsi="Arial"/>
          <w:color w:val="222B36"/>
          <w:sz w:val="17"/>
          <w:szCs w:val="17"/>
        </w:rPr>
        <w:t xml:space="preserve">Vercel. </w:t>
      </w:r>
      <w:hyperlink w:history="1" r:id="rIdvxfsr_3y0ernm0jxr8u9x">
        <w:r>
          <w:rPr>
            <w:rFonts w:ascii="Arial" w:cs="Arial" w:eastAsia="Arial" w:hAnsi="Arial"/>
            <w:color w:val="1F5FA8"/>
            <w:sz w:val="17"/>
            <w:szCs w:val="17"/>
            <w:u w:val="single"/>
          </w:rPr>
          <w:t xml:space="preserve">Pricing: planes Hobby, Pro y Enterprise.</w:t>
        </w:r>
      </w:hyperlink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Arial" w:cs="Arial" w:eastAsia="Arial" w:hAnsi="Arial"/>
          <w:color w:val="222B36"/>
          <w:sz w:val="17"/>
          <w:szCs w:val="17"/>
        </w:rPr>
        <w:t xml:space="preserve">Render. </w:t>
      </w:r>
      <w:hyperlink w:history="1" r:id="rIdctkgeu_jwsju93qmwpezt">
        <w:r>
          <w:rPr>
            <w:rFonts w:ascii="Arial" w:cs="Arial" w:eastAsia="Arial" w:hAnsi="Arial"/>
            <w:color w:val="1F5FA8"/>
            <w:sz w:val="17"/>
            <w:szCs w:val="17"/>
            <w:u w:val="single"/>
          </w:rPr>
          <w:t xml:space="preserve">Pricing: cómputo y almacenamiento de Render Postgres.</w:t>
        </w:r>
      </w:hyperlink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Arial" w:cs="Arial" w:eastAsia="Arial" w:hAnsi="Arial"/>
          <w:color w:val="222B36"/>
          <w:sz w:val="17"/>
          <w:szCs w:val="17"/>
        </w:rPr>
        <w:t xml:space="preserve">Amazon Web Services. </w:t>
      </w:r>
      <w:hyperlink w:history="1" r:id="rIdbgty4apikqp94wmdttjt3">
        <w:r>
          <w:rPr>
            <w:rFonts w:ascii="Arial" w:cs="Arial" w:eastAsia="Arial" w:hAnsi="Arial"/>
            <w:color w:val="1F5FA8"/>
            <w:sz w:val="17"/>
            <w:szCs w:val="17"/>
            <w:u w:val="single"/>
          </w:rPr>
          <w:t xml:space="preserve">Amazon EC2 On-Demand Pricing (referencia metodológica).</w:t>
        </w:r>
      </w:hyperlink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Arial" w:cs="Arial" w:eastAsia="Arial" w:hAnsi="Arial"/>
          <w:color w:val="222B36"/>
          <w:sz w:val="17"/>
          <w:szCs w:val="17"/>
        </w:rPr>
        <w:t xml:space="preserve">Anthropic. </w:t>
      </w:r>
      <w:hyperlink w:history="1" r:id="rIdksjqbsheggtxlyzicofmg">
        <w:r>
          <w:rPr>
            <w:rFonts w:ascii="Arial" w:cs="Arial" w:eastAsia="Arial" w:hAnsi="Arial"/>
            <w:color w:val="1F5FA8"/>
            <w:sz w:val="17"/>
            <w:szCs w:val="17"/>
            <w:u w:val="single"/>
          </w:rPr>
          <w:t xml:space="preserve">API Pricing (referencia de comparación con ejecución local).</w:t>
        </w:r>
      </w:hyperlink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A5F"/>
          <w:sz w:val="18"/>
          <w:szCs w:val="18"/>
        </w:rPr>
        <w:t xml:space="preserve">Estudios académicos y costo de incidentes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Arial" w:cs="Arial" w:eastAsia="Arial" w:hAnsi="Arial"/>
          <w:color w:val="222B36"/>
          <w:sz w:val="17"/>
          <w:szCs w:val="17"/>
        </w:rPr>
        <w:t xml:space="preserve">Qi, Z., Zhang, H., Xing, E., Kakade, S. y Lakkaraju, H. (2024). </w:t>
      </w:r>
      <w:hyperlink w:history="1" r:id="rId_w4uy12diu5ghiudlxzuw">
        <w:r>
          <w:rPr>
            <w:rFonts w:ascii="Arial" w:cs="Arial" w:eastAsia="Arial" w:hAnsi="Arial"/>
            <w:color w:val="1F5FA8"/>
            <w:sz w:val="17"/>
            <w:szCs w:val="17"/>
            <w:u w:val="single"/>
          </w:rPr>
          <w:t xml:space="preserve">Follow My Instruction and Spill the Beans. arXiv:2402.17840.</w:t>
        </w:r>
      </w:hyperlink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Arial" w:cs="Arial" w:eastAsia="Arial" w:hAnsi="Arial"/>
          <w:color w:val="222B36"/>
          <w:sz w:val="17"/>
          <w:szCs w:val="17"/>
        </w:rPr>
        <w:t xml:space="preserve">SoK (2026). </w:t>
      </w:r>
      <w:hyperlink w:history="1" r:id="rIdw0xkysygw5koucbgrsgsm">
        <w:r>
          <w:rPr>
            <w:rFonts w:ascii="Arial" w:cs="Arial" w:eastAsia="Arial" w:hAnsi="Arial"/>
            <w:color w:val="1F5FA8"/>
            <w:sz w:val="17"/>
            <w:szCs w:val="17"/>
            <w:u w:val="single"/>
          </w:rPr>
          <w:t xml:space="preserve">Privacy Risks and Mitigations in Retrieval-Augmented Generation Systems. arXiv:2601.03979.</w:t>
        </w:r>
      </w:hyperlink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Arial" w:cs="Arial" w:eastAsia="Arial" w:hAnsi="Arial"/>
          <w:color w:val="222B36"/>
          <w:sz w:val="17"/>
          <w:szCs w:val="17"/>
        </w:rPr>
        <w:t xml:space="preserve">IBM Security y Ponemon Institute (2025). </w:t>
      </w:r>
      <w:hyperlink w:history="1" r:id="rIdtx_-uouqqudwln3xm0h_p">
        <w:r>
          <w:rPr>
            <w:rFonts w:ascii="Arial" w:cs="Arial" w:eastAsia="Arial" w:hAnsi="Arial"/>
            <w:color w:val="1F5FA8"/>
            <w:sz w:val="17"/>
            <w:szCs w:val="17"/>
            <w:u w:val="single"/>
          </w:rPr>
          <w:t xml:space="preserve">Cost of a Data Breach Report 2025.</w:t>
        </w:r>
      </w:hyperlink>
    </w:p>
    <w:p>
      <w:pPr>
        <w:spacing w:after="120" w:before="20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B6573"/>
          <w:sz w:val="17"/>
          <w:szCs w:val="17"/>
        </w:rPr>
        <w:t xml:space="preserve">Este informe es un insumo de análisis, no una sección terminada para incorporar al README o a risk-register.md. Las fórmulas y tablas permiten sustituir variables por mediciones reales a medida que el proyecto avance del Avance 1 al Avance 3.</w:t>
      </w:r>
    </w:p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573"/>
        <w:sz w:val="15"/>
        <w:szCs w:val="15"/>
      </w:rPr>
      <w:t xml:space="preserve">rag-exfiltration-security · Análisis de costos y riesgos ·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A9D8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B3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A9D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n0ki55mejxsbmlddeovrd" Type="http://schemas.openxmlformats.org/officeDocument/2006/relationships/hyperlink" Target="https://nvlpubs.nist.gov/nistpubs/legacy/sp/nistspecialpublication800-30r1.pdf" TargetMode="External"/><Relationship Id="rIddaq7kxyzrowlkpyxmjzf5" Type="http://schemas.openxmlformats.org/officeDocument/2006/relationships/hyperlink" Target="https://www.nist.gov/itl/ai-risk-management-framework" TargetMode="External"/><Relationship Id="rId7ijje3g_pulio2xx6zjma" Type="http://schemas.openxmlformats.org/officeDocument/2006/relationships/hyperlink" Target="https://owasp.org/www-project-top-10-for-large-language-model-applications/" TargetMode="External"/><Relationship Id="rIdvqcxmd91geh0jtqymm8bd" Type="http://schemas.openxmlformats.org/officeDocument/2006/relationships/hyperlink" Target="https://www.cisa.gov/topics/cyber-threats-and-advisories" TargetMode="External"/><Relationship Id="rIdopik6v47ubjkc-8jz6lu0" Type="http://schemas.openxmlformats.org/officeDocument/2006/relationships/hyperlink" Target="https://github.com/pgvector/pgvector" TargetMode="External"/><Relationship Id="rIdk4ktrwh2cd3mrfkrgkq7x" Type="http://schemas.openxmlformats.org/officeDocument/2006/relationships/hyperlink" Target="https://www.postgresql.org/docs/current/backup.html" TargetMode="External"/><Relationship Id="rIde0_nvkber33ucchhyextx" Type="http://schemas.openxmlformats.org/officeDocument/2006/relationships/hyperlink" Target="https://docs.langchain4j.dev/" TargetMode="External"/><Relationship Id="rIdo6dsuxncobucbadq3qzrx" Type="http://schemas.openxmlformats.org/officeDocument/2006/relationships/hyperlink" Target="https://docs.spring.io/spring-boot/index.html" TargetMode="External"/><Relationship Id="rId1rk7we2asa6ukkccvtham" Type="http://schemas.openxmlformats.org/officeDocument/2006/relationships/hyperlink" Target="https://github.com/ollama/ollama" TargetMode="External"/><Relationship Id="rId1v75dpsyl4ejxrin0v-7n" Type="http://schemas.openxmlformats.org/officeDocument/2006/relationships/hyperlink" Target="https://www.llama.com/docs/model-cards-and-prompt-formats/llama3_2/" TargetMode="External"/><Relationship Id="rId0k9_7wt7o2bseauorcx0j" Type="http://schemas.openxmlformats.org/officeDocument/2006/relationships/hyperlink" Target="https://huggingface.co/sentence-transformers/all-MiniLM-L6-v2" TargetMode="External"/><Relationship Id="rIdvxfsr_3y0ernm0jxr8u9x" Type="http://schemas.openxmlformats.org/officeDocument/2006/relationships/hyperlink" Target="https://vercel.com/pricing" TargetMode="External"/><Relationship Id="rIdctkgeu_jwsju93qmwpezt" Type="http://schemas.openxmlformats.org/officeDocument/2006/relationships/hyperlink" Target="https://render.com/pricing" TargetMode="External"/><Relationship Id="rIdbgty4apikqp94wmdttjt3" Type="http://schemas.openxmlformats.org/officeDocument/2006/relationships/hyperlink" Target="https://aws.amazon.com/ec2/pricing/on-demand/" TargetMode="External"/><Relationship Id="rIdksjqbsheggtxlyzicofmg" Type="http://schemas.openxmlformats.org/officeDocument/2006/relationships/hyperlink" Target="https://docs.anthropic.com/en/docs/about-claude/pricing" TargetMode="External"/><Relationship Id="rId_w4uy12diu5ghiudlxzuw" Type="http://schemas.openxmlformats.org/officeDocument/2006/relationships/hyperlink" Target="https://arxiv.org/abs/2402.17840" TargetMode="External"/><Relationship Id="rIdw0xkysygw5koucbgrsgsm" Type="http://schemas.openxmlformats.org/officeDocument/2006/relationships/hyperlink" Target="https://arxiv.org/pdf/2601.03979" TargetMode="External"/><Relationship Id="rIdtx_-uouqqudwln3xm0h_p" Type="http://schemas.openxmlformats.org/officeDocument/2006/relationships/hyperlink" Target="https://www.ibm.com/reports/data-breach" TargetMode="External"/><Relationship Id="rId8" Type="http://schemas.openxmlformats.org/officeDocument/2006/relationships/image" Target="media/ca1234a77fb977add11553193757dc469f7787d2.png"/><Relationship Id="rId9" Type="http://schemas.openxmlformats.org/officeDocument/2006/relationships/image" Target="media/a74c71098f274647c214c711697d0ba2a9d0eeff.png"/><Relationship Id="rId10" Type="http://schemas.openxmlformats.org/officeDocument/2006/relationships/image" Target="media/f7b1d2c5b751b0c6aa77e8775ad222165119d3c6.png"/><Relationship Id="rId11" Type="http://schemas.openxmlformats.org/officeDocument/2006/relationships/image" Target="media/04d38dbebccf4d442f8a9d61dd98e1bd4b1ee6ca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técnico de costos y riesgos económicos: rag-exfiltration-security</dc:title>
  <dc:creator>Claude</dc:creator>
  <cp:lastModifiedBy>Un-named</cp:lastModifiedBy>
  <cp:revision>1</cp:revision>
  <dcterms:created xsi:type="dcterms:W3CDTF">2026-09-21T19:52:40.910Z</dcterms:created>
  <dcterms:modified xsi:type="dcterms:W3CDTF">2026-09-21T19:52:40.910Z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