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Zava — Employee Handbook (Excerpt)</w:t>
      </w:r>
    </w:p>
    <w:p>
      <w:pPr>
        <w:ind w:left="240"/>
      </w:pPr>
      <w:r>
        <w:rPr>
          <w:b/>
          <w:i/>
          <w:color w:val="616161"/>
        </w:rPr>
        <w:t>SAMPLE / FICTIONAL CONTENT.</w:t>
      </w:r>
      <w:r>
        <w:rPr>
          <w:i/>
          <w:color w:val="616161"/>
        </w:rPr>
        <w:t xml:space="preserve"> Zava is a fictional company. All names, policies, and figures below are invented for training with Copilot Cowork. Do not treat as real HR guidance.</w:t>
      </w:r>
    </w:p>
    <w:p>
      <w:pPr>
        <w:pStyle w:val="Heading2"/>
      </w:pPr>
      <w:r>
        <w:t>1. Paid Time Off (PTO)</w:t>
      </w:r>
    </w:p>
    <w:p>
      <w:pPr>
        <w:pStyle w:val="ListBullet"/>
      </w:pPr>
      <w:r>
        <w:rPr>
          <w:b/>
        </w:rPr>
        <w:t>Annual allowance:</w:t>
      </w:r>
      <w:r>
        <w:t xml:space="preserve"> 20 days of PTO per calendar year for full-time employees, accrued monthly (1.67 days/month).</w:t>
      </w:r>
    </w:p>
    <w:p>
      <w:pPr>
        <w:pStyle w:val="ListBullet"/>
      </w:pPr>
      <w:r>
        <w:rPr>
          <w:b/>
        </w:rPr>
        <w:t>Carryover:</w:t>
      </w:r>
      <w:r>
        <w:t xml:space="preserve"> Up to 5 unused days may carry into the next year. They must be used by March 31 or they are forfeited.</w:t>
      </w:r>
    </w:p>
    <w:p>
      <w:pPr>
        <w:pStyle w:val="ListBullet"/>
      </w:pPr>
      <w:r>
        <w:rPr>
          <w:b/>
        </w:rPr>
        <w:t>Requesting PTO:</w:t>
      </w:r>
      <w:r>
        <w:t xml:space="preserve"> Submit requests in the HR portal at least </w:t>
      </w:r>
      <w:r>
        <w:rPr>
          <w:b/>
        </w:rPr>
        <w:t>10 business days</w:t>
      </w:r>
      <w:r>
        <w:t xml:space="preserve"> in advance for absences longer than 3 days. Manager approval is required.</w:t>
      </w:r>
    </w:p>
    <w:p>
      <w:pPr>
        <w:pStyle w:val="ListBullet"/>
      </w:pPr>
      <w:r>
        <w:rPr>
          <w:b/>
        </w:rPr>
        <w:t>Sick leave:</w:t>
      </w:r>
      <w:r>
        <w:t xml:space="preserve"> Separate from PTO. 10 paid sick days per year. A doctor's note is required for absences of 3 or more consecutive days.</w:t>
      </w:r>
    </w:p>
    <w:p>
      <w:pPr>
        <w:pStyle w:val="Heading2"/>
      </w:pPr>
      <w:r>
        <w:t>2. Remote &amp; Hybrid Work</w:t>
      </w:r>
    </w:p>
    <w:p>
      <w:pPr>
        <w:pStyle w:val="ListBullet"/>
      </w:pPr>
      <w:r>
        <w:rPr>
          <w:b/>
        </w:rPr>
        <w:t>Standard hybrid:</w:t>
      </w:r>
      <w:r>
        <w:t xml:space="preserve"> Employees work in the office </w:t>
      </w:r>
      <w:r>
        <w:rPr>
          <w:b/>
        </w:rPr>
        <w:t>at least 2 days per week</w:t>
      </w:r>
      <w:r>
        <w:t xml:space="preserve"> (Tuesday and Thursday are anchor days for most teams).</w:t>
      </w:r>
    </w:p>
    <w:p>
      <w:pPr>
        <w:pStyle w:val="ListBullet"/>
      </w:pPr>
      <w:r>
        <w:rPr>
          <w:b/>
        </w:rPr>
        <w:t>Fully remote:</w:t>
      </w:r>
      <w:r>
        <w:t xml:space="preserve"> Requires VP approval and a signed remote-work agreement.</w:t>
      </w:r>
    </w:p>
    <w:p>
      <w:pPr>
        <w:pStyle w:val="ListBullet"/>
      </w:pPr>
      <w:r>
        <w:rPr>
          <w:b/>
        </w:rPr>
        <w:t>Equipment:</w:t>
      </w:r>
      <w:r>
        <w:t xml:space="preserve"> Zava provides a laptop and a one-time </w:t>
      </w:r>
      <w:r>
        <w:rPr>
          <w:b/>
        </w:rPr>
        <w:t>$300 home-office stipend</w:t>
      </w:r>
      <w:r>
        <w:t>.</w:t>
      </w:r>
    </w:p>
    <w:p>
      <w:pPr>
        <w:pStyle w:val="ListBullet"/>
      </w:pPr>
      <w:r>
        <w:rPr>
          <w:b/>
        </w:rPr>
        <w:t>Core hours:</w:t>
      </w:r>
      <w:r>
        <w:t xml:space="preserve"> 10:00–15:00 local time; employees should be reachable during these hours.</w:t>
      </w:r>
    </w:p>
    <w:p>
      <w:pPr>
        <w:pStyle w:val="Heading2"/>
      </w:pPr>
      <w:r>
        <w:t>3. Code of Conduct (Summary)</w:t>
      </w:r>
    </w:p>
    <w:p>
      <w:pPr>
        <w:pStyle w:val="ListBullet"/>
      </w:pPr>
      <w:r>
        <w:t>Treat colleagues, customers, and partners with respect and professionalism.</w:t>
      </w:r>
    </w:p>
    <w:p>
      <w:pPr>
        <w:pStyle w:val="ListBullet"/>
      </w:pPr>
      <w:r>
        <w:t>No harassment, discrimination, or retaliation of any kind. Report concerns to HR or via the anonymous ethics line.</w:t>
      </w:r>
    </w:p>
    <w:p>
      <w:pPr>
        <w:pStyle w:val="ListBullet"/>
      </w:pPr>
      <w:r>
        <w:t>Protect confidential and customer information. Do not share data outside approved systems.</w:t>
      </w:r>
    </w:p>
    <w:p>
      <w:pPr>
        <w:pStyle w:val="ListBullet"/>
      </w:pPr>
      <w:r>
        <w:t>Avoid conflicts of interest; disclose any outside employment or financial interest that could conflict with your role.</w:t>
      </w:r>
    </w:p>
    <w:p>
      <w:pPr>
        <w:pStyle w:val="Heading2"/>
      </w:pPr>
      <w:r>
        <w:t>4. Working Hours &amp; Overtime</w:t>
      </w:r>
    </w:p>
    <w:p>
      <w:pPr>
        <w:pStyle w:val="ListBullet"/>
      </w:pPr>
      <w:r>
        <w:rPr>
          <w:b/>
        </w:rPr>
        <w:t>Standard week:</w:t>
      </w:r>
      <w:r>
        <w:t xml:space="preserve"> 40 hours, Monday–Friday.</w:t>
      </w:r>
    </w:p>
    <w:p>
      <w:pPr>
        <w:pStyle w:val="ListBullet"/>
      </w:pPr>
      <w:r>
        <w:rPr>
          <w:b/>
        </w:rPr>
        <w:t>Overtime (non-exempt employees):</w:t>
      </w:r>
      <w:r>
        <w:t xml:space="preserve"> Paid at 1.5x for hours over 40 per week, pre-approved by a manager.</w:t>
      </w:r>
    </w:p>
    <w:p>
      <w:pPr>
        <w:pStyle w:val="ListBullet"/>
      </w:pPr>
      <w:r>
        <w:rPr>
          <w:b/>
        </w:rPr>
        <w:t>Flexible schedules:</w:t>
      </w:r>
      <w:r>
        <w:t xml:space="preserve"> Available with manager approval as long as core hours are covered.</w:t>
      </w:r>
    </w:p>
    <w:p>
      <w:pPr>
        <w:pStyle w:val="Heading2"/>
      </w:pPr>
      <w:r>
        <w:t>5. Performance &amp; Reviews</w:t>
      </w:r>
    </w:p>
    <w:p>
      <w:pPr>
        <w:pStyle w:val="ListBullet"/>
      </w:pPr>
      <w:r>
        <w:rPr>
          <w:b/>
        </w:rPr>
        <w:t>Cadence:</w:t>
      </w:r>
      <w:r>
        <w:t xml:space="preserve"> Formal reviews twice per year (mid-year check-in in June, annual review in December).</w:t>
      </w:r>
    </w:p>
    <w:p>
      <w:pPr>
        <w:pStyle w:val="ListBullet"/>
      </w:pPr>
      <w:r>
        <w:rPr>
          <w:b/>
        </w:rPr>
        <w:t>Ratings:</w:t>
      </w:r>
      <w:r>
        <w:t xml:space="preserve"> Exceeds / Meets / Developing.</w:t>
      </w:r>
    </w:p>
    <w:p>
      <w:pPr>
        <w:pStyle w:val="ListBullet"/>
      </w:pPr>
      <w:r>
        <w:rPr>
          <w:b/>
        </w:rPr>
        <w:t>Growth:</w:t>
      </w:r>
      <w:r>
        <w:t xml:space="preserve"> Every employee sets 3–5 goals per cycle aligned to team objectives.</w:t>
      </w:r>
    </w:p>
    <w:p>
      <w:pPr>
        <w:pStyle w:val="Heading2"/>
      </w:pPr>
      <w:r>
        <w:t>6. Learning &amp; Development</w:t>
      </w:r>
    </w:p>
    <w:p>
      <w:pPr>
        <w:pStyle w:val="ListBullet"/>
      </w:pPr>
      <w:r>
        <w:rPr>
          <w:b/>
        </w:rPr>
        <w:t>Training budget:</w:t>
      </w:r>
      <w:r>
        <w:t xml:space="preserve"> $1,000 per employee per year for approved courses, conferences, or certifications.</w:t>
      </w:r>
    </w:p>
    <w:p>
      <w:pPr>
        <w:pStyle w:val="ListBullet"/>
      </w:pPr>
      <w:r>
        <w:rPr>
          <w:b/>
        </w:rPr>
        <w:t>Internal mobility:</w:t>
      </w:r>
      <w:r>
        <w:t xml:space="preserve"> Employees may apply to open internal roles after 12 months in their current position.</w:t>
      </w:r>
    </w:p>
    <w:p>
      <w:pPr>
        <w:pStyle w:val="Heading2"/>
      </w:pPr>
      <w:r>
        <w:t>7. Who to Contact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3E5FD"/>
          </w:tcPr>
          <w:p>
            <w:r>
              <w:rPr>
                <w:b/>
              </w:rPr>
            </w:r>
            <w:r>
              <w:rPr>
                <w:b/>
              </w:rPr>
              <w:t>Topic</w:t>
            </w:r>
          </w:p>
        </w:tc>
        <w:tc>
          <w:tcPr>
            <w:tcW w:type="dxa" w:w="4320"/>
            <w:shd w:val="clear" w:color="auto" w:fill="F3E5FD"/>
          </w:tcPr>
          <w:p>
            <w:r>
              <w:rPr>
                <w:b/>
              </w:rPr>
            </w:r>
            <w:r>
              <w:rPr>
                <w:b/>
              </w:rPr>
              <w:t>Contact</w:t>
            </w:r>
          </w:p>
        </w:tc>
      </w:tr>
      <w:tr>
        <w:tc>
          <w:tcPr>
            <w:tcW w:type="dxa" w:w="4320"/>
          </w:tcPr>
          <w:p>
            <w:r/>
            <w:r>
              <w:t>PTO, leave, benefits</w:t>
            </w:r>
          </w:p>
        </w:tc>
        <w:tc>
          <w:tcPr>
            <w:tcW w:type="dxa" w:w="4320"/>
          </w:tcPr>
          <w:p>
            <w:r/>
            <w:r>
              <w:t>HR Service Desk — hr-help@zava.example</w:t>
            </w:r>
          </w:p>
        </w:tc>
      </w:tr>
      <w:tr>
        <w:tc>
          <w:tcPr>
            <w:tcW w:type="dxa" w:w="4320"/>
          </w:tcPr>
          <w:p>
            <w:r/>
            <w:r>
              <w:t>Payroll</w:t>
            </w:r>
          </w:p>
        </w:tc>
        <w:tc>
          <w:tcPr>
            <w:tcW w:type="dxa" w:w="4320"/>
          </w:tcPr>
          <w:p>
            <w:r/>
            <w:r>
              <w:t>payroll@zava.example</w:t>
            </w:r>
          </w:p>
        </w:tc>
      </w:tr>
      <w:tr>
        <w:tc>
          <w:tcPr>
            <w:tcW w:type="dxa" w:w="4320"/>
          </w:tcPr>
          <w:p>
            <w:r/>
            <w:r>
              <w:t>IT / equipment</w:t>
            </w:r>
          </w:p>
        </w:tc>
        <w:tc>
          <w:tcPr>
            <w:tcW w:type="dxa" w:w="4320"/>
          </w:tcPr>
          <w:p>
            <w:r/>
            <w:r>
              <w:t>ithelp@zava.example</w:t>
            </w:r>
          </w:p>
        </w:tc>
      </w:tr>
      <w:tr>
        <w:tc>
          <w:tcPr>
            <w:tcW w:type="dxa" w:w="4320"/>
          </w:tcPr>
          <w:p>
            <w:r/>
            <w:r>
              <w:t>Ethics / concerns</w:t>
            </w:r>
          </w:p>
        </w:tc>
        <w:tc>
          <w:tcPr>
            <w:tcW w:type="dxa" w:w="4320"/>
          </w:tcPr>
          <w:p>
            <w:r/>
            <w:r>
              <w:t>Anonymous ethics line (see HR portal)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2424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 Semibold" w:hAnsi="Segoe UI Semibold"/>
      <w:b w:val="0"/>
      <w:bCs/>
      <w:color w:val="3B104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 Semibold" w:hAnsi="Segoe UI Semibold"/>
      <w:b w:val="0"/>
      <w:bCs/>
      <w:color w:val="3B104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 Semibold" w:hAnsi="Segoe UI Semibold"/>
      <w:b w:val="0"/>
      <w:bCs/>
      <w:color w:val="3B104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Zava — Employee Handbook (Excerpt)</dc:title>
  <dc:subject/>
  <dc:creator>Zava HR (fictional sample)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