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Caracterización de bacterias ácido-lácticas con propiedades antimicrobianas e inmunomoduladoras y su investigación aplicada en sanidad animal</w:t>
      </w:r>
    </w:p>
    <w:p>
      <w:pPr>
        <w:pStyle w:val="Heading2"/>
      </w:pPr>
      <w:r>
        <w:t>Autor: María Bravo Santillana</w:t>
      </w:r>
    </w:p>
    <w:p>
      <w:r>
        <w:t>Página 1:</w:t>
        <w:br/>
        <w:t xml:space="preserve">                     TESIS DOCTORAL</w:t>
        <w:br/>
        <w:br/>
        <w:br/>
        <w:br/>
        <w:t xml:space="preserve">  CARACTERIZACIÓN DE BACTERIAS ÁCIDO-LÁCTICAS CON</w:t>
        <w:br/>
        <w:t>PROPIEDADES ANTIMICROBIANAS E INMUNOMODULADORAS</w:t>
        <w:br/>
        <w:t xml:space="preserve">   Y SU INVESTIGACIÓN APLICADA EN SANIDAD ANIMAL</w:t>
        <w:br/>
        <w:br/>
        <w:br/>
        <w:br/>
        <w:t xml:space="preserve">            MARÍA BRAVO SANTILLANA</w:t>
        <w:br/>
        <w:br/>
        <w:br/>
        <w:t xml:space="preserve"> PROGRAMA DE DOCTORADO EN SALUD PÚBLICA Y ANIMAL</w:t>
        <w:br/>
        <w:br/>
        <w:t xml:space="preserve">                       2021</w:t>
        <w:br/>
      </w:r>
    </w:p>
    <w:p>
      <w:r>
        <w:t>Página 3:</w:t>
        <w:br/>
        <w:t xml:space="preserve">                     TESIS DOCTORAL</w:t>
        <w:br/>
        <w:br/>
        <w:br/>
        <w:br/>
        <w:t xml:space="preserve">  CARACTERIZACIÓN DE BACTERIAS ÁCIDO-LÁCTICAS CON</w:t>
        <w:br/>
        <w:t>PROPIEDADES ANTIMICROBIANAS E INMUNOMODULADORAS</w:t>
        <w:br/>
        <w:t xml:space="preserve">   Y SU INVESTIGACIÓN APLICADA EN SANIDAD ANIMAL</w:t>
        <w:br/>
        <w:br/>
        <w:br/>
        <w:br/>
        <w:t xml:space="preserve">            MARÍA BRAVO SANTILLANA</w:t>
        <w:br/>
        <w:br/>
        <w:br/>
        <w:t xml:space="preserve"> PROGRAMA DE DOCTORADO EN SALUD PÚBLICA Y ANIMAL</w:t>
        <w:br/>
        <w:br/>
        <w:t xml:space="preserve">                       2021</w:t>
        <w:br/>
        <w:br/>
        <w:br/>
        <w:br/>
        <w:t xml:space="preserve">        CONFORMIDAD DE LOS CODIRECTORES</w:t>
        <w:br/>
        <w:br/>
        <w:br/>
        <w:br/>
        <w:t>«La conformidad de los directores aparece firmada en la versión original en papel de</w:t>
        <w:br/>
        <w:t xml:space="preserve">                               esta Tesis Doctoral»</w:t>
        <w:br/>
      </w:r>
    </w:p>
    <w:p>
      <w:r>
        <w:t>Página 5:</w:t>
        <w:br/>
        <w:t>Dr. Joaquín Rey Pérez, Profesor Titular del Departamento de Sanidad Animal de la</w:t>
        <w:br/>
        <w:br/>
        <w:t>Facultad de Veterinaria de la Universidad de Extremadura, como tutor de la estudiante</w:t>
        <w:br/>
        <w:t>de doctorado y codirector de la tesis doctoral; Dr. David Risco Pérez, investigador en</w:t>
        <w:br/>
        <w:br/>
        <w:t>Sanidad Animal en INGULADOS y NEOBEITAR, y Dra. Rosario Cerrato  Horrillo</w:t>
        <w:br/>
        <w:t>investigadora y responsable del Departamento I+D+i en INGULADOS, codirectores de la</w:t>
        <w:br/>
        <w:br/>
        <w:t>tesis doctoral.</w:t>
        <w:br/>
        <w:br/>
        <w:t>CERTIFICAN</w:t>
        <w:br/>
        <w:br/>
        <w:t>Que  la  tesis  doctoral  titulada  «Caracterización de  bacterias  ácido-lácticas con</w:t>
        <w:br/>
        <w:t>propiedades antimicrobianas e inmunomoduladoras y su investigación aplicada en</w:t>
        <w:br/>
        <w:br/>
        <w:t>sanidad animal» ha sido desarrollada con financiación del Programa de Doctorados</w:t>
        <w:br/>
        <w:t>Industriales (Agencia Estatal de Investigación del Ministerio de Ciencia, Innovación y</w:t>
        <w:br/>
        <w:br/>
        <w:t>Universidades, DI-17-09603) para su desempeño en INGULADOS SL bajo la tutela de la</w:t>
        <w:br/>
        <w:t>Universidad de Extremadura.</w:t>
        <w:br/>
        <w:br/>
        <w:br/>
        <w:t>Que la mencionada tesis doctoral debe estar sometida a un proceso de protección</w:t>
        <w:br/>
        <w:br/>
        <w:t>debido a la transferencia de tecnología y conocimiento que conlleva la solicitud de dos</w:t>
        <w:br/>
        <w:br/>
        <w:t>patentes de invención y debe quedar eximida temporalmente de la obligación de ser</w:t>
        <w:br/>
        <w:t>publicada de manera completa en el repositorio digital abierto durante un periodo de 5</w:t>
        <w:br/>
        <w:br/>
        <w:t>años.</w:t>
        <w:br/>
        <w:br/>
        <w:br/>
        <w:br/>
        <w:t>Que la tesis doctoral codirigida por nosotros y realizada por María Bravo Santillana</w:t>
        <w:br/>
        <w:br/>
        <w:t>reúne los requisitos para optar al título de Doctora Internacional así como para la</w:t>
        <w:br/>
        <w:t>Mención Industrial al título.</w:t>
        <w:br/>
        <w:br/>
        <w:br/>
        <w:br/>
        <w:t xml:space="preserve">    «El informe favorable de los directores aparece firmado en la versión original en</w:t>
        <w:br/>
        <w:t xml:space="preserve">     papel de esta Tesis Doctoral y los documentos que certifican las menciones se</w:t>
        <w:br/>
        <w:t xml:space="preserve">        entregarán una vez autorizado el procedimiento de confidencialidad»</w:t>
        <w:br/>
      </w:r>
    </w:p>
    <w:p>
      <w:r>
        <w:t>Página 7:</w:t>
        <w:br/>
        <w:t>Esta tesis doctoral ha sido posible gracias a:</w:t>
        <w:br/>
        <w:br/>
        <w:br/>
        <w:t>Subvenciones para contratos para la formación de doctores en empresas</w:t>
        <w:br/>
        <w:t>(DI-17-09603) del Programa de Doctorados Industriales de la Agencia</w:t>
        <w:br/>
        <w:t>Estatal  de  Investigación  del  Ministerio  de  Ciencia,  Innovación  y</w:t>
        <w:br/>
        <w:t>Universidades, 2017.</w:t>
        <w:br/>
        <w:br/>
        <w:br/>
        <w:br/>
        <w:br/>
        <w:br/>
        <w:t>Becas QUERCUS+ para la financiación de formaciones prácticas mediante</w:t>
        <w:br/>
        <w:t>estancias en el extranjero, 2016-2017.</w:t>
        <w:br/>
        <w:br/>
        <w:br/>
        <w:br/>
        <w:br/>
        <w:br/>
        <w:t>Y ha sido consecuencia de la participación en los siguientes proyectos de</w:t>
        <w:br/>
        <w:t>I+D+i:</w:t>
        <w:br/>
        <w:br/>
        <w:br/>
        <w:t>«Alternativa a antibióticos para el control de enfermedades en especies</w:t>
        <w:br/>
        <w:t>cinegéticas (INMUNOBALANCE)» del Centro para el Desarrollo Tecnológico</w:t>
        <w:br/>
        <w:t>Industrial  (IDI-20201262)  y  el  Ministerio de  Ciencia,  Innovación  y</w:t>
        <w:br/>
        <w:t>Universidades</w:t>
        <w:br/>
      </w:r>
    </w:p>
    <w:p>
      <w:r>
        <w:t>Página 8:</w:t>
        <w:br/>
        <w:t>«Nuevos compuestos postbióticos procedentes de ungulados para  la</w:t>
        <w:br/>
        <w:t>mejora  del sistema inmune de  los corderos (POSBIOLAMB)» de  la</w:t>
        <w:br/>
        <w:t>Consejería de Economía,  Ciencia  y Agenda  Digital de  la  Junta de</w:t>
        <w:br/>
        <w:t>Extremadura (IDA2-19-002-3)</w:t>
        <w:br/>
        <w:br/>
        <w:br/>
        <w:br/>
        <w:br/>
        <w:br/>
        <w:t>«Interacción sinérgica de antibióticos con nuevos compuestos bioactivos</w:t>
        <w:br/>
        <w:t>secretados por bacterias» y «Efectos de la administración de elementos</w:t>
        <w:br/>
        <w:t>inmunomoduladores en rumiantes»  del ICEX (España  Exportación e</w:t>
        <w:br/>
        <w:t>Inversiones) y el Ministerio de Industrial, Comercio y Turismo.</w:t>
        <w:br/>
        <w:br/>
        <w:br/>
        <w:br/>
        <w:br/>
        <w:br/>
        <w:t>«Caracterización de productos inmunomoduladores para el control de la</w:t>
        <w:br/>
        <w:t>tuberculosis bovina en fauna salvaje» de la Consejería de Economía e</w:t>
        <w:br/>
        <w:t>Infraestructuras de la Junta de Extremadura (AA/17-0001-1).</w:t>
        <w:br/>
      </w:r>
    </w:p>
    <w:p>
      <w:r>
        <w:t>Página 12:</w:t>
        <w:br/>
        <w:t xml:space="preserve">                              AGR | Agradecimientos</w:t>
        <w:br/>
        <w:br/>
        <w:t>Llevo días, incluso meses, pensando en cómo trasladar mi gratitud a todas las personas</w:t>
        <w:br/>
        <w:br/>
        <w:t>que me han acompañado en este camino. Espero saber transmitir con palabras los</w:t>
        <w:br/>
        <w:br/>
        <w:t>agradecimientos de corazón que tengo en mi cabeza desde hace mucho tiempo.</w:t>
        <w:br/>
        <w:br/>
        <w:br/>
        <w:t>En primer lugar, quiero dar las gracias a mis directores. Gracias a Joaquín Rey, que fue</w:t>
        <w:br/>
        <w:t>la primera persona que vio en mí esa chispa que yo aún no sabía que tenía. Muchas</w:t>
        <w:br/>
        <w:br/>
        <w:t>gracias por estar conmigo desde el primer día, a ti puedo considerarte mi padre en el</w:t>
        <w:br/>
        <w:t>mundo de la investigación y te estaré eternamente agradecida por darme la primera</w:t>
        <w:br/>
        <w:br/>
        <w:t>oportunidad de mi vida, por querer siempre lo mejor para mí y por facilitarme la toma</w:t>
        <w:br/>
        <w:t>de decisiones en todo momento. Gracias a Rosario Cerrato, que me propuso el cambio</w:t>
        <w:br/>
        <w:br/>
        <w:t>de rumbo que, sin duda, habrá marcado para siempre mis comienzos en este mundo.</w:t>
        <w:br/>
        <w:t>Nada de esto habría sido posible sin tus ideas, sin tu apoyo constante y sin tu optimismo,</w:t>
        <w:br/>
        <w:br/>
        <w:t>sin todo el trabajo en la sombra que haces por mí y por todos los que trabajamos en</w:t>
        <w:br/>
        <w:br/>
        <w:t>INGULADOS. Tú eres mi madre y la madre de todos en esta familia que se ha formado</w:t>
        <w:br/>
        <w:t>gracias a ti y gracias a Pedro. Gracias a David Risco, por hacer que hasta lo más difícil</w:t>
        <w:br/>
        <w:br/>
        <w:t>pareciese sencillo, por darme la confianza que he necesitado en algunos momentos y</w:t>
        <w:br/>
        <w:t>porque, cuando las cosas se pusieron del revés, te cruzaste en mi camino para ponerlas</w:t>
        <w:br/>
        <w:br/>
        <w:t>de frente. Te has convertido en mi referente, eres ese hermano mayor al que todos</w:t>
        <w:br/>
        <w:t>quieren parecerse. «Si he llegado a ver más lejos, ha sido encaramándome a hombros</w:t>
        <w:br/>
        <w:br/>
        <w:t>de gigantes» – Isaac Newton</w:t>
        <w:br/>
        <w:br/>
        <w:br/>
        <w:t>Gracias a Pedro Fernández, por dejarme crear y ayudarme a crecer, por darle valor a mis</w:t>
        <w:br/>
        <w:br/>
        <w:t>ideas y ayudarme a materializarlas. Gracias por apostar por mí, por darme el impulso</w:t>
        <w:br/>
        <w:t>que he necesitado siempre en el momento preciso, y por implicarte siempre en aportar</w:t>
        <w:br/>
        <w:br/>
        <w:t>lo que me faltaba en ocasiones para que pudiese seguir avanzando. Muchas gracias por</w:t>
        <w:br/>
        <w:t>preocuparte por mi bienestar, eres el ejemplo perfecto del jefe perfecto. «Locura es</w:t>
        <w:br/>
        <w:br/>
        <w:t>hacer lo mismo una y otra vez esperando obtener resultados diferentes» – Albert</w:t>
        <w:br/>
        <w:t>Einstein.</w:t>
        <w:br/>
        <w:br/>
        <w:br/>
        <w:t>Muchísimas gracias a todo el equipo de INGULADOS, espero que todos sintáis cada</w:t>
        <w:br/>
        <w:br/>
        <w:t>página de este trabajo como vuestra, porque sin vosotros nada de esto habría sido</w:t>
        <w:br/>
        <w:br/>
        <w:t>posible. Gracias a Waldo, por todo lo que has aportado al desarrollo de esta tesis, por</w:t>
        <w:br/>
        <w:br/>
        <w:br/>
        <w:t xml:space="preserve">                                            MARÍA BRAVO SANTILLANA  12</w:t>
        <w:br/>
      </w:r>
    </w:p>
    <w:p>
      <w:r>
        <w:t>Página 13:</w:t>
        <w:br/>
        <w:t>AGR | Agradecimientos</w:t>
        <w:br/>
        <w:br/>
        <w:t>sacarme al campo a respirar el aire que me ha dado la vida y por dejarme aprender de</w:t>
        <w:br/>
        <w:br/>
        <w:t>ti. Hemos estado en los momentos difíciles estos últimos años y espero que podamos</w:t>
        <w:br/>
        <w:br/>
        <w:t>seguir acompañándonos, sobre todo, en los momentos felices. Gracias a Pilar, más que</w:t>
        <w:br/>
        <w:t>una compañera, mi amiga, por tener siempre buenas palabras, me has transmitido tu</w:t>
        <w:br/>
        <w:br/>
        <w:t>cariño, tu apoyo y, sobre todo, tu confianza en mí. Gracias por haber sabido elegir los</w:t>
        <w:br/>
        <w:t>momentos para darme buenos consejos que me  llevo para siempre y por tu</w:t>
        <w:br/>
        <w:br/>
        <w:t>predisposición a ayudarme y enseñarme siempre. Gracias a Verónica, porque tu</w:t>
        <w:br/>
        <w:t>colaboración ha sido fundamental para que muchos estudios saliesen adelante, igual</w:t>
        <w:br/>
        <w:br/>
        <w:t>que el trabajo diario que haces en laboratorio con una labor indispensable para este</w:t>
        <w:br/>
        <w:t>equipo. Gracias por tu entrega y por tu apoyo, que ha sido esencial tanto laboral como</w:t>
        <w:br/>
        <w:br/>
        <w:t>personalmente. Gracias a Maru, la pieza fundamental que hace que todo el trabajo que</w:t>
        <w:br/>
        <w:t>los demás hacemos encaje, por tu paciencia con nosotros y por intentar entendernos</w:t>
        <w:br/>
        <w:br/>
        <w:t>para ayudarnos siempre. Da mucha confianza tener a una persona como tú, siempre un</w:t>
        <w:br/>
        <w:br/>
        <w:t>paso por delante, detrás de todo. Gracias a María José, porque desde el primer día que</w:t>
        <w:br/>
        <w:t>iniciábamos la carrera como novatas hasta el día de hoy, el destino ha querido que nos</w:t>
        <w:br/>
        <w:br/>
        <w:t>uniésemos cada día más, tu apoyo ha sido fundamental en esta fase final. Gracias a</w:t>
        <w:br/>
        <w:t>Carlos, a Javier y a todos los que han pasado por nuestros laboratorios en determinados</w:t>
        <w:br/>
        <w:br/>
        <w:t>momentos, porque han empleado sus horas de trabajo en darme a mí un tiempo</w:t>
        <w:br/>
        <w:t>valiosísimo que necesitaba para sacar esto adelante. Gracias a Julián Navarro, que nos</w:t>
        <w:br/>
        <w:br/>
        <w:t>permite tener  lo que hoy  disfrutamos, que nos ha aportado  el impulso que</w:t>
        <w:br/>
        <w:t>necesitábamos para crecer y ha confiado en este y todos nuestros proyectos. Gracias</w:t>
        <w:br/>
        <w:br/>
        <w:t>por darme un futuro en este camino que he elegido. «Solo la ciencia nos puede otorgar</w:t>
        <w:br/>
        <w:br/>
        <w:t>los elementos para salvar a la naturaleza y, con ello, a la humanidad» – Félix Rodríguez</w:t>
        <w:br/>
        <w:t>de la Fuente.</w:t>
        <w:br/>
        <w:br/>
        <w:br/>
        <w:t>Me gustaría expresar mi gratitud hacia todas las personas e instituciones que han hecho</w:t>
        <w:br/>
        <w:br/>
        <w:t>posible el desarrollo de esta tesis doctoral. Gracias a todas las empresas colaboradoras,</w:t>
        <w:br/>
        <w:t>a todos los trabajadores y propietarios de las fincas y las cooperativas que han</w:t>
        <w:br/>
        <w:br/>
        <w:t>participado en los estudios de este trabajo. Agradezco enormemente a Jesús Núñez por</w:t>
        <w:br/>
        <w:t>hacer de esta tesis doctoral tan personal un documento con el que me siento</w:t>
        <w:br/>
        <w:br/>
        <w:t>identificada, gracias por ocuparte de la maquetación como un grandísimo profesional.</w:t>
        <w:br/>
        <w:br/>
        <w:t>Gracias también a Paco Pulido, que realizó la fotografía que fue elegida como portada</w:t>
        <w:br/>
        <w:br/>
        <w:br/>
        <w:t xml:space="preserve"> 13  MARÍA BRAVO SANTILLANA</w:t>
        <w:br/>
      </w:r>
    </w:p>
    <w:p>
      <w:r>
        <w:t>Página 14:</w:t>
        <w:br/>
        <w:t xml:space="preserve">                              AGR | Agradecimientos</w:t>
        <w:br/>
        <w:br/>
        <w:t>de esta tesis y por cederla de forma desinteresada. «Mucha gente pequeña, en lugares</w:t>
        <w:br/>
        <w:br/>
        <w:t>pequeños, haciendo cosas pequeñas, puede cambiar el mundo» – Eduardo Galeano.</w:t>
        <w:br/>
        <w:br/>
        <w:br/>
        <w:t>Quiero agradecer especialmente a Jorge Gutiérrez, por descubrirme el maravilloso</w:t>
        <w:br/>
        <w:br/>
        <w:t>mundo de las bacterias ácido-lácticas, sin duda tus contribuciones han dotado de calidad</w:t>
        <w:br/>
        <w:t>científica esta tesis doctoral y marcaron el inicio del camino que me dio el salto que</w:t>
        <w:br/>
        <w:br/>
        <w:t>necesitaba para crecer profesional y personalmente. Gracias por todos tus consejos</w:t>
        <w:br/>
        <w:t>siempre en buen momento. Gracias a la University of Surrey, a Fernando Martínez,</w:t>
        <w:br/>
        <w:br/>
        <w:t>Arnoud van Vliet y Theo por vuestras aportaciones y a Katie y Athanasios por vuestro</w:t>
        <w:br/>
        <w:t>apoyo y vuestra ayuda. Gracias todos los que hicieron que las estancias en Inglaterra</w:t>
        <w:br/>
        <w:br/>
        <w:t>fuesen de las mejores experiencias de mi vida, en especial a Iliana, a Marco, a Manuel,</w:t>
        <w:br/>
        <w:t>a Pablo, a Corrado y a todos los brindaron de recuerdos mi estancia allí. «The microbe is</w:t>
        <w:br/>
        <w:br/>
        <w:t>nothing, it’s the environment» – Louis Pasteur.</w:t>
        <w:br/>
        <w:br/>
        <w:br/>
        <w:t>Muchas gracias al grupo de investigación en Configuración de Sistemas Moleculares y</w:t>
        <w:br/>
        <w:br/>
        <w:t>Celulares (COSMYC) por abrirme las puertas, por despertar mi curiosidad y acercarme al</w:t>
        <w:br/>
        <w:t>mundo de la biología molecular. Gracias a Paco Centeno, a Chema Carvajal y a Ángel</w:t>
        <w:br/>
        <w:br/>
        <w:t>Román por poner vuestros conocimientos y laboratorios a nuestra disposición, por</w:t>
        <w:br/>
        <w:t>entender y respetar mis tiempos y mis ideas, por permitirme aprender de vosotros y con</w:t>
        <w:br/>
        <w:br/>
        <w:t>vosotros. Mil gracias a todos vuestros pupilos que tanta ayuda desinteresada me han</w:t>
        <w:br/>
        <w:t>brindado, en especial a Sergio y Selene, por acogerme en Badajoz como una más, por</w:t>
        <w:br/>
        <w:br/>
        <w:t>mandarme vuestra fuerza y confianza en la fase final. Todas las estancias allí han</w:t>
        <w:br/>
        <w:br/>
        <w:t>aportado mucho y los proyectos nos auguran un camino juntos que será seguro muy</w:t>
        <w:br/>
        <w:t>enriquecedor. «Defiende tu derecho a pensar, porque incluso pensar erróneamente es</w:t>
        <w:br/>
        <w:br/>
        <w:t>mejor que no pensar nada» – Hipatia de Alejandría.</w:t>
        <w:br/>
        <w:br/>
        <w:br/>
        <w:t>Mi agradecimiento hacia a los miembros de la Unidad de Infecciosas del HCV-UEx.</w:t>
        <w:br/>
        <w:t>Gracias a Juanma, a Javier y a Miguel, por vuestras enseñanzas, a Remi, que me enseñó</w:t>
        <w:br/>
        <w:br/>
        <w:t>a coger una pipeta y creyó en mí desde la primera vez que pisé un laboratorio, a María</w:t>
        <w:br/>
        <w:t>Gil, que compartió muchos momentos conmigo en ese periodo de mi formación, a</w:t>
        <w:br/>
        <w:br/>
        <w:t>Almudena y al resto de personas que me ayudasteis cuando estaba allí. Gracias a mis</w:t>
        <w:br/>
        <w:br/>
        <w:t>compañeros de promoción, en especial a Ángela, a Marga, a Jaime Galeano y a María</w:t>
        <w:br/>
        <w:br/>
        <w:br/>
        <w:t xml:space="preserve">                                            MARÍA BRAVO SANTILLANA  14</w:t>
        <w:br/>
      </w:r>
    </w:p>
    <w:p>
      <w:r>
        <w:t>Página 15:</w:t>
        <w:br/>
        <w:t>AGR | Agradecimientos</w:t>
        <w:br/>
        <w:br/>
        <w:t>Matilla, pero también a todos los que fuisteis importantes en esa etapa, que me</w:t>
        <w:br/>
        <w:br/>
        <w:t>aportasteis tanto en los pasos previos a esto y con los que compartí muchos instantes</w:t>
        <w:br/>
        <w:br/>
        <w:t>en un momento especial de mi vida, sin el cual no estaría ahora aquí. Gracias a todos los</w:t>
        <w:br/>
        <w:t>profesores y profesionales que me enseñaron durante el Grado en Veterinaria las bases</w:t>
        <w:br/>
        <w:br/>
        <w:t>de lo que hoy se refleja en este trabajo, en especial a Joaquín Sánchez, a Rafael Barrera</w:t>
        <w:br/>
        <w:t>y a Patricia Ruiz, os guardo un cariño especial. «Nada en este mundo debe ser temido,</w:t>
        <w:br/>
        <w:br/>
        <w:t>sino entendido» – Marie Curie.</w:t>
        <w:br/>
        <w:br/>
        <w:br/>
        <w:t>Durante toda mi trayectoria académica he tenido la suerte de contar con muchas</w:t>
        <w:br/>
        <w:t>personas que me han impulsado a llegar hasta aquí. Gracias al colegio San Antonio de</w:t>
        <w:br/>
        <w:br/>
        <w:t>Padua, su actual Directora Titular Sonia Martín, por contar conmigo y permitirme</w:t>
        <w:br/>
        <w:t>transmitir mi pasión por la investigación a los alumnos cada año y a todos los demás</w:t>
        <w:br/>
        <w:br/>
        <w:t>profesores y resto de profesionales que participaron en mi educación y a día de hoy</w:t>
        <w:br/>
        <w:br/>
        <w:t>siguen mis pasos y me apoyan en mi camino. Ojalá pudiese nombraros a todos los que</w:t>
        <w:br/>
        <w:t>me aportasteis tanto, «porque dando, se recibe» – San Francisco de Asís. El colegio me</w:t>
        <w:br/>
        <w:br/>
        <w:t>inició en el deporte que ha marcado mi vida y mi trayectoria personal. Gracias a todos</w:t>
        <w:br/>
        <w:t>mis entrenadores, compañeras de equipo y a todas las personas que me ha regalado el</w:t>
        <w:br/>
        <w:br/>
        <w:t>baloncesto, que me aportaron muchísimo dentro de las pistas y que me ha servido de</w:t>
        <w:br/>
        <w:t>vía de escape durante toda mi etapa académica y también laboral. Gracias a todas las</w:t>
        <w:br/>
        <w:br/>
        <w:t>personas que me han permitido transmitir a las niñas mi pasión por este deporte.</w:t>
        <w:br/>
        <w:t>Gracias a Martina, que ha sido un gran apoyo en los momentos difíciles en el ámbito</w:t>
        <w:br/>
        <w:br/>
        <w:t>personal y que me ha acompañado también durante esta tesis doctoral. Gracias a Pedro</w:t>
        <w:br/>
        <w:br/>
        <w:t>Juan, a Sergio Martínez, a David González, por todo vuestro apoyo y a todo el equipo de</w:t>
        <w:br/>
        <w:t>Salubriá y, en especial, a Mario Díaz, por cuidar de mi rodilla y de mi cabeza en muchas</w:t>
        <w:br/>
        <w:br/>
        <w:t>ocasiones. «No es que queramos ganar, es que queremos ser mejores» – Laia Palau.</w:t>
        <w:br/>
        <w:br/>
        <w:br/>
        <w:t>Mi agradecimiento especial para mis míticos, mis amigos de siempre y para siempre. A</w:t>
        <w:br/>
        <w:t>Marina, mi «superstar», gracias por hacer que la distancia entre Irlanda y España parezca</w:t>
        <w:br/>
        <w:br/>
        <w:t>cercana, por hacerme sentir cada vez que nos reencontramos que el tiempo no pasa por</w:t>
        <w:br/>
        <w:t>nuestra amistad y que vamos a ser Best Friends Forever. A Jorge, por no fallar nunca, por</w:t>
        <w:br/>
        <w:br/>
        <w:t>estar siempre ahí con tu alegría y tu forma especial de ver las cosas, por tus intentos de</w:t>
        <w:br/>
        <w:br/>
        <w:t>entender cada palabra complicada que sale de mi boca y que hace que sienta que tengo</w:t>
        <w:br/>
        <w:br/>
        <w:br/>
        <w:t xml:space="preserve"> 15  MARÍA BRAVO SANTILLANA</w:t>
        <w:br/>
      </w:r>
    </w:p>
    <w:p>
      <w:r>
        <w:t>Página 16:</w:t>
        <w:br/>
        <w:t xml:space="preserve">                              AGR | Agradecimientos</w:t>
        <w:br/>
        <w:br/>
        <w:t>un amigo apoyándome al lado. A Carolina, por confiar en mí con los ojos cerrados, por</w:t>
        <w:br/>
        <w:br/>
        <w:t>esa risa contagiosa y todas las palabras bonitas que te salen de lo más profundo y me</w:t>
        <w:br/>
        <w:br/>
        <w:t>han dado la energía cuando más lo necesitaba, sin saberlo. A Pedro, por volver siempre</w:t>
        <w:br/>
        <w:t>a recordarnos que somos los de siempre, por esas tonterías que te sacan las sonrisas. A</w:t>
        <w:br/>
        <w:br/>
        <w:t>Inés, a Judith, a Maru, a los Albertos, por hacer de cada vez que nos juntamos todos,</w:t>
        <w:br/>
        <w:t>momentos memorables. Mención especial a mi Chef Pound, gracias a Carmen, María,</w:t>
        <w:br/>
        <w:br/>
        <w:t>Jorge, Sergio y Marta me he sentido acompañada, ellos me han facilitado el camino.</w:t>
        <w:br/>
        <w:t>Gracias por enseñarme el licor de crema catalana el día de mi 30 cumpleaños, sin el cual</w:t>
        <w:br/>
        <w:br/>
        <w:t>la recta final habría sido un infierno. Gracias por los viernes y domingos de baloncesto,</w:t>
        <w:br/>
        <w:t>por conformar este grupo burbuja que nos ha ayudado a superar una pandemia. «Lo</w:t>
        <w:br/>
        <w:br/>
        <w:t>más importante es intentar inspirar a las personas, para que ellos puedan ser grandes</w:t>
        <w:br/>
        <w:t>en cualquier cosa que quieran hacer» – Kobe Bryant.</w:t>
        <w:br/>
        <w:br/>
        <w:br/>
        <w:t>Mi eterno agradecimiento a María por darme alas y no ponerme techo, porque no solo</w:t>
        <w:br/>
        <w:t>me has dejado volar, sino que te has elevado conmigo y no has permitido que me caiga.</w:t>
        <w:br/>
        <w:br/>
        <w:t>«Pies, ¿para qué los quiero si tengo alas para volar?» – Frida Kahlo.</w:t>
        <w:br/>
        <w:br/>
        <w:br/>
        <w:t>Gracias a toda mi familia, la que está cerca y la que está lejos, porque sé que seguís cada</w:t>
        <w:br/>
        <w:t>paso que doy y no me dejáis nunca de acompañar, aunque sea en la distancia. Gracias a</w:t>
        <w:br/>
        <w:br/>
        <w:t>Los Gilitos, porque compartís a millones tanto el orgullo de mis logros en el mundo</w:t>
        <w:br/>
        <w:t>académico como todos esos vídeos y risas en el grupo de WhatsApp que nos salva de no</w:t>
        <w:br/>
        <w:br/>
        <w:t>poder habernos visto más. Por muchos más mensajes reenviados en ese grupo que nos</w:t>
        <w:br/>
        <w:br/>
        <w:t>mantiene unidos. Gracias a los Bravo, que llevan la palabra «valiente» por naturaleza en</w:t>
        <w:br/>
        <w:t>el apellido y me servís como inspiración, sois mis referentes. Gracias a mi familia</w:t>
        <w:br/>
        <w:br/>
        <w:t>madrileña y vitoriana, por acogernos siempre con cariño y hospitalidad y brindarnos</w:t>
        <w:br/>
        <w:t>vuestro amor desde la distancia, sé que no me dejáis nunca de acompañar. A mi familia</w:t>
        <w:br/>
        <w:br/>
        <w:t>de Cáceres, gracias por estar tan cerca, dándome todo el apoyo que siento con fuerza.</w:t>
        <w:br/>
        <w:t>Todo es mucho más fácil cuando recibes el sustento de tantas y tantas personas.</w:t>
        <w:br/>
        <w:br/>
        <w:t>«Cuando cae la nieve y sopla el viento blanco, el lobo solitario muere, pero la manada</w:t>
        <w:br/>
        <w:t>sobrevive» – Juego de tronos.</w:t>
        <w:br/>
        <w:br/>
        <w:br/>
        <w:br/>
        <w:br/>
        <w:br/>
        <w:t xml:space="preserve">                                            MARÍA BRAVO SANTILLANA  16</w:t>
        <w:br/>
      </w:r>
    </w:p>
    <w:p>
      <w:r>
        <w:t>Página 17:</w:t>
        <w:br/>
        <w:t>AGR | Agradecimientos</w:t>
        <w:br/>
        <w:br/>
        <w:t>Mi más sincero reconocimiento en especial a Gema por ser mi confidente, por estar</w:t>
        <w:br/>
        <w:br/>
        <w:t>conmigo cuando más lo necesito. Gracias toda tu familia y en especial a Marta,</w:t>
        <w:br/>
        <w:br/>
        <w:t>«miniyo», tu personalidad te hará convertirte en una mujer fuerte y sin barreras. «No</w:t>
        <w:br/>
        <w:t>importa lo grande que sea la casa, sino lo feliz que sea el hogar» – Anónimo.</w:t>
        <w:br/>
        <w:br/>
        <w:br/>
        <w:t>Gracias a mis padrinos Choni y Luis, por todo el amor que me transmiten como si fuese</w:t>
        <w:br/>
        <w:br/>
        <w:t>una hija más y gracias a Luisito, un amigo muy especial que me enseñó desde pequeña</w:t>
        <w:br/>
        <w:t>que los sentimientos no pueden comprarse. Muchas gracias por contagiarme tu</w:t>
        <w:br/>
        <w:br/>
        <w:t>sentimiento de alegría y a ti y a mis padrinos por estar siempre a mi lado y compartir</w:t>
        <w:br/>
        <w:t>mis momentos más felices. «Las palabras amables pueden ser cortas y fáciles de decir,</w:t>
        <w:br/>
        <w:br/>
        <w:t>pero sus ecos son infinitos» – Madre Teresa de Calcuta.</w:t>
        <w:br/>
        <w:br/>
        <w:br/>
        <w:t>Gracias a los Moreno Lobato, la familia con la que no compartimos sangre, pero</w:t>
        <w:br/>
        <w:br/>
        <w:t>decidimos compartir nuestra vida. Gracias a Ana y a Bea por entenderme, por</w:t>
        <w:br/>
        <w:t>acompañarnos en los momentos difíciles y hacernos partícipes de los momentos felices,</w:t>
        <w:br/>
        <w:br/>
        <w:t>por darle un sentido especial a la palabra «vecinas», que ahora significa «mucho más</w:t>
        <w:br/>
        <w:t>que amigas», porque denota cercanía. «Te llevo en mi corazón y cerca me tendrás» -</w:t>
        <w:br/>
        <w:br/>
        <w:t>Coco.</w:t>
        <w:br/>
        <w:br/>
        <w:br/>
        <w:t>Gracias a mis perritas, por darme su amor sin pedir nada a cambio. A Hydra, que dio a</w:t>
        <w:br/>
        <w:t>amor a mis padres cuando nosotras todavía no habíamos llegado y nos protegió como</w:t>
        <w:br/>
        <w:br/>
        <w:t>si fuésemos sus cachorras. A Cora, que llegó a nuestra vida para cambiarnos los</w:t>
        <w:br/>
        <w:br/>
        <w:t>esquemas y tiene su forma especial de querernos desde entonces. A Trufa, que ha</w:t>
        <w:br/>
        <w:t>puesto mi vida patitas arriba y me ha despertado los fines de semana temprano para</w:t>
        <w:br/>
        <w:br/>
        <w:t>ponerme pronto a escribir. «Si hay una cosa que nadie ha podido comprar con dinero,</w:t>
        <w:br/>
        <w:t>esa es el movimiento de la cola de un perro» – La dama y el vagabundo.</w:t>
        <w:br/>
        <w:br/>
        <w:br/>
        <w:t>Gracias a mis padres Pedro y Montaña, cuyo legado nos ha dado la mayor lección de</w:t>
        <w:br/>
        <w:br/>
        <w:t>vida. Durante muchos años luchasteis por el sueño de convertiros en padres y 30 años</w:t>
        <w:br/>
        <w:t>después estoy aquí gracias a vosotros, porque nunca os rendisteis. Gracias a vosotros</w:t>
        <w:br/>
        <w:br/>
        <w:t>ahora sé que puedo conseguir todo lo que me proponga y no pienso rendirme nunca</w:t>
        <w:br/>
        <w:br/>
        <w:t>hasta conseguirlo. Gracias, mamá, por tu ejemplo de fortaleza ante las adversidades,</w:t>
        <w:br/>
        <w:br/>
        <w:br/>
        <w:t xml:space="preserve"> 17  MARÍA BRAVO SANTILLANA</w:t>
        <w:br/>
      </w:r>
    </w:p>
    <w:p>
      <w:r>
        <w:t>Página 18:</w:t>
        <w:br/>
        <w:t xml:space="preserve">                              AGR | Agradecimientos</w:t>
        <w:br/>
        <w:br/>
        <w:t>por contagiarnos tus ganas, tu risa y tus lágrimas de felicidad. Gracias, papá, por</w:t>
        <w:br/>
        <w:br/>
        <w:t>ayudarme cuando se puede y apoyarme cuando no, por protegerme y por demostrarnos</w:t>
        <w:br/>
        <w:br/>
        <w:t>a todos que juntos siempre seremos más fuertes. Os quiero con todo mi corazón.</w:t>
        <w:br/>
        <w:t>«Vuestro mérito no es haberme dado la vida, sino haberme enseñado a vivir» – Elvira</w:t>
        <w:br/>
        <w:br/>
        <w:t>Sastre.</w:t>
        <w:br/>
        <w:br/>
        <w:br/>
        <w:t>Gracias a mi hermana Carmen, que es la persona más importante de mi vida, mi gran</w:t>
        <w:br/>
        <w:t>ejemplo a seguir, aunque sea biológicamente la pequeña. Hicieron falta 18 meses de mi</w:t>
        <w:br/>
        <w:br/>
        <w:t>vida para entender que solo hay una persona en el mundo a la que se puede querer más</w:t>
        <w:br/>
        <w:t>que a uno mismo. Gracias por confiar incondicionalmente en mí desde el primer día</w:t>
        <w:br/>
        <w:br/>
        <w:t>hasta el último, por alentarme en los fracasos y alegrarte por mis logros como si fuesen</w:t>
        <w:br/>
        <w:t>tuyos, y es que en parte lo son. Por eso te dedico a ti de forma especial esta tesis</w:t>
        <w:br/>
        <w:br/>
        <w:t>doctoral, porque nada de esto habría sido posible sin el ejemplo de fortaleza y resiliencia</w:t>
        <w:br/>
        <w:br/>
        <w:t>que transmites día a día, eres mi heroína: una superviviente. «Aunque nos quedan</w:t>
        <w:br/>
        <w:t>muchas batallas por librar, tenemos algo que Voldemort no tiene: algo por lo que merece</w:t>
        <w:br/>
        <w:br/>
        <w:t>la pena luchar» – Harry Potter.</w:t>
        <w:br/>
        <w:br/>
        <w:br/>
        <w:br/>
        <w:t xml:space="preserve">                                                       María Bravo Santillana</w:t>
        <w:br/>
        <w:br/>
        <w:t xml:space="preserve">                                                       Cáceres, 2 de agosto de 2021</w:t>
        <w:br/>
        <w:br/>
        <w:br/>
        <w:br/>
        <w:br/>
        <w:br/>
        <w:t xml:space="preserve">                                            MARÍA BRAVO SANTILLANA  18</w:t>
        <w:br/>
      </w:r>
    </w:p>
    <w:p>
      <w:r>
        <w:t>Página 24:</w:t>
        <w:br/>
        <w:t>A todas las niñas que sueñan con ser científicas</w:t>
        <w:br/>
        <w:br/>
        <w:br/>
        <w:t xml:space="preserve"> A todas las mujeres que luchan por llegar lejos</w:t>
        <w:br/>
        <w:br/>
        <w:br/>
        <w:t xml:space="preserve">   A mi hermana, Carmen, para que nunca te</w:t>
        <w:br/>
        <w:t xml:space="preserve">      falte un motivo por el que seguir adelante</w:t>
        <w:br/>
      </w:r>
    </w:p>
    <w:p>
      <w:r>
        <w:t>Página 26:</w:t>
        <w:br/>
        <w:t xml:space="preserve">         ÍND| General</w:t>
        <w:br/>
        <w:br/>
        <w:br/>
        <w:br/>
        <w:br/>
        <w:br/>
        <w:t>MARÍA BRAVO SANTILLANA  26</w:t>
        <w:br/>
      </w:r>
    </w:p>
    <w:p>
      <w:r>
        <w:t>Página 27:</w:t>
        <w:br/>
        <w:t>IND| General</w:t>
        <w:br/>
        <w:br/>
        <w:br/>
        <w:br/>
        <w:br/>
        <w:br/>
        <w:t xml:space="preserve"> 27  MARÍA BRAVO SANTILLANA</w:t>
        <w:br/>
      </w:r>
    </w:p>
    <w:p>
      <w:r>
        <w:t>Página 29:</w:t>
        <w:br/>
        <w:t>IND| General</w:t>
        <w:br/>
        <w:br/>
        <w:br/>
        <w:br/>
        <w:br/>
        <w:br/>
        <w:t xml:space="preserve"> 29  MARÍA BRAVO SANTILLANA</w:t>
        <w:br/>
      </w:r>
    </w:p>
    <w:p>
      <w:r>
        <w:t>Página 30:</w:t>
        <w:br/>
        <w:t xml:space="preserve">                                            ÍND| General</w:t>
        <w:br/>
        <w:br/>
        <w:t>ÍNDICE GENERAL</w:t>
        <w:br/>
        <w:br/>
        <w:br/>
        <w:br/>
        <w:br/>
        <w:br/>
        <w:t>RESUMEN / Abstract                                                                 44</w:t>
        <w:br/>
        <w:br/>
        <w:t xml:space="preserve">    RESUMEN                                                                     46</w:t>
        <w:br/>
        <w:t xml:space="preserve">     ABSTRACT                                                                    50</w:t>
        <w:br/>
        <w:br/>
        <w:t>REVISIÓN DE ANTECEDENTES Y MARCO TEÓRICO                                          54</w:t>
        <w:br/>
        <w:br/>
        <w:t xml:space="preserve">     Importancia de la microbiota en los hospedadores                                     58</w:t>
        <w:br/>
        <w:t xml:space="preserve">     La microbiota de la fauna silvestre                                                 63</w:t>
        <w:br/>
        <w:t xml:space="preserve">      Las bacterias ácido-lácticas                                                       65</w:t>
        <w:br/>
        <w:br/>
        <w:t xml:space="preserve">     Compuestos bioactivos en alimentos y piensos: los posbióticos                           68</w:t>
        <w:br/>
        <w:br/>
        <w:t>INTRODUCCIÓN A LA TESIS DOCTORAL Y OBJETIVOS                                       74</w:t>
        <w:br/>
        <w:br/>
        <w:t xml:space="preserve">      Introducción a la tesis doctoral                                                    76</w:t>
        <w:br/>
        <w:t xml:space="preserve">      Estructura de la tesis doctoral                                                     78</w:t>
        <w:br/>
        <w:br/>
        <w:t xml:space="preserve">      Objetivos de la tesis doctoral                                                      80</w:t>
        <w:br/>
        <w:br/>
        <w:t>BLOQUE I: Experimentos de laboratorio in vitro                                           85</w:t>
        <w:br/>
        <w:br/>
        <w:t xml:space="preserve">   Capítulo I: Aislamiento y selección de bacterias ácido-lácticas de la microbiota digestiva de jabalíes</w:t>
        <w:br/>
        <w:br/>
        <w:t xml:space="preserve">  que habitan en áreas con diferentes prevalencias de tuberculosis y estudio de sus capacidades para</w:t>
        <w:br/>
        <w:t xml:space="preserve">   antagonizar las micobacterias                                                       89</w:t>
        <w:br/>
        <w:t xml:space="preserve">    INTRODUCCIÓN                                                                91</w:t>
        <w:br/>
        <w:t xml:space="preserve">    MÉTODO                                                                     97</w:t>
        <w:br/>
        <w:br/>
        <w:t xml:space="preserve">     FIGURA RESUMEN DEL MÉTODO                                                  105</w:t>
        <w:br/>
        <w:t xml:space="preserve">    RESULTADOS                                                                 106</w:t>
        <w:br/>
        <w:t xml:space="preserve">     DISCUSIÓN                                                                   124</w:t>
        <w:br/>
        <w:br/>
        <w:t xml:space="preserve">  CAPÍTULO II: Evaluación del potencial beneficioso de los aislados: estudios de seguridad,</w:t>
        <w:br/>
        <w:t xml:space="preserve">   determinación in vitro de la acción antimicrobiana frente a patógenos y valoración de su capacidad</w:t>
        <w:br/>
        <w:t xml:space="preserve">  inmunomoduladora                                                              133</w:t>
        <w:br/>
        <w:br/>
        <w:t xml:space="preserve">    INTRODUCCIÓN                                                               135</w:t>
        <w:br/>
        <w:t xml:space="preserve">    MÉTODO                                                                    145</w:t>
        <w:br/>
        <w:t xml:space="preserve">     FIGURA RESUMEN DEL MÉTODO                                                  153</w:t>
        <w:br/>
        <w:t xml:space="preserve">    RESULTADOS                                                                 154</w:t>
        <w:br/>
        <w:br/>
        <w:t xml:space="preserve">     DISCUSIÓN                                                                   170</w:t>
        <w:br/>
        <w:br/>
        <w:br/>
        <w:br/>
        <w:br/>
        <w:t xml:space="preserve">                                            MARÍA BRAVO SANTILLANA  30</w:t>
        <w:br/>
      </w:r>
    </w:p>
    <w:p>
      <w:r>
        <w:t>Página 31:</w:t>
        <w:br/>
        <w:t>IND| General</w:t>
        <w:br/>
        <w:br/>
        <w:t xml:space="preserve">  CAPÍTULO III: Optimización funcional del efecto antimicrobiano, determinación de la naturaleza de la</w:t>
        <w:br/>
        <w:t xml:space="preserve">   actividad y estudios de sinergia con antibióticos                                        181</w:t>
        <w:br/>
        <w:t xml:space="preserve">    INTRODUCCIÓN                                                               183</w:t>
        <w:br/>
        <w:t xml:space="preserve">    MÉTODO                                                                    187</w:t>
        <w:br/>
        <w:br/>
        <w:t xml:space="preserve">     FIGURA RESUMEN DEL MÉTODO                                                  193</w:t>
        <w:br/>
        <w:t xml:space="preserve">    RESULTADOS                                                                 194</w:t>
        <w:br/>
        <w:t xml:space="preserve">     DISCUSIÓN                                                                   200</w:t>
        <w:br/>
        <w:br/>
        <w:t>Bloque II: Experimentación ANIMAL in vivo                                              207</w:t>
        <w:br/>
        <w:br/>
        <w:t xml:space="preserve">  CAPÍTULO IV: Efecto sinérgico de los metabolitos microbianos sobre la terapia antibiótica en una</w:t>
        <w:br/>
        <w:t xml:space="preserve">  neumonía experimental en modelo ratón                                              211</w:t>
        <w:br/>
        <w:br/>
        <w:t xml:space="preserve">    INTRODUCCIÓN                                                               213</w:t>
        <w:br/>
        <w:t xml:space="preserve">    MÉTODO                                                                    218</w:t>
        <w:br/>
        <w:t xml:space="preserve">     FIGURA RESUMEN DEL MÉTODO                                                  225</w:t>
        <w:br/>
        <w:t xml:space="preserve">    RESULTADOS                                                                 226</w:t>
        <w:br/>
        <w:br/>
        <w:t xml:space="preserve">     DISCUSIÓN                                                                   230</w:t>
        <w:br/>
        <w:br/>
        <w:t xml:space="preserve">  CAPÍTULO V: Administración de posbióticos para la mejora de los indicadores sanitarios y los</w:t>
        <w:br/>
        <w:t xml:space="preserve">   parámetros productivos en ganadería                                                235</w:t>
        <w:br/>
        <w:br/>
        <w:t xml:space="preserve">    INTRODUCCIÓN                                                               237</w:t>
        <w:br/>
        <w:t xml:space="preserve">    MÉTODO                                                                    243</w:t>
        <w:br/>
        <w:t xml:space="preserve">     FIGURA RESUMEN DEL MÉTODO                                                  253</w:t>
        <w:br/>
        <w:t xml:space="preserve">    RESULTADOS                                                                 254</w:t>
        <w:br/>
        <w:br/>
        <w:t xml:space="preserve">     DISCUSIÓN                                                                   263</w:t>
        <w:br/>
        <w:br/>
        <w:t xml:space="preserve">  CAPÍTULO VI: Administración de posbióticos para el control de tuberculosis en fauna silvestre    271</w:t>
        <w:br/>
        <w:t xml:space="preserve">    INTRODUCCIÓN                                                               273</w:t>
        <w:br/>
        <w:br/>
        <w:t xml:space="preserve">    MÉTODO                                                                    280</w:t>
        <w:br/>
        <w:t xml:space="preserve">     FIGURA RESUMEN DEL MÉTODO                                                  285</w:t>
        <w:br/>
        <w:t xml:space="preserve">    RESULTADOS                                                                 286</w:t>
        <w:br/>
        <w:br/>
        <w:t xml:space="preserve">     DISCUSIÓN                                                                   291</w:t>
        <w:br/>
        <w:br/>
        <w:t>BLOQUE III: Transferencia de tecnología y conocimiento científico                           297</w:t>
        <w:br/>
        <w:br/>
        <w:t xml:space="preserve">  CAPÍTULO VII: Difusión e impacto del conocimiento científico generado en la transferencia tecnológica</w:t>
        <w:br/>
        <w:t xml:space="preserve">                                                                                 301</w:t>
        <w:br/>
        <w:br/>
        <w:t xml:space="preserve">    INTRODUCCIÓN                                                               303</w:t>
        <w:br/>
        <w:br/>
        <w:t>CONCLUSIONES                                                                    321</w:t>
        <w:br/>
        <w:br/>
        <w:t>REFERENCIAS BIBLIOGRÁFICAS                                                        335</w:t>
        <w:br/>
        <w:br/>
        <w:br/>
        <w:br/>
        <w:t xml:space="preserve"> 31  MARÍA BRAVO SANTILLANA</w:t>
        <w:br/>
      </w:r>
    </w:p>
    <w:p>
      <w:r>
        <w:t>Página 32:</w:t>
        <w:br/>
        <w:t xml:space="preserve">                                            ÍND| General</w:t>
        <w:br/>
        <w:br/>
        <w:t>APÉNDICES                                                                       388</w:t>
        <w:br/>
        <w:br/>
        <w:t xml:space="preserve">  APÉNDICE I                                                                     390</w:t>
        <w:br/>
        <w:br/>
        <w:t xml:space="preserve">  APÉNDICE II                                                                     395</w:t>
        <w:br/>
        <w:br/>
        <w:t xml:space="preserve">  APÉNDICE III                                                                    396</w:t>
        <w:br/>
        <w:br/>
        <w:t xml:space="preserve">  APÉNDICE IV                                                                    405</w:t>
        <w:br/>
        <w:br/>
        <w:br/>
        <w:br/>
        <w:br/>
        <w:br/>
        <w:t xml:space="preserve">                                            MARÍA BRAVO SANTILLANA  32</w:t>
        <w:br/>
      </w:r>
    </w:p>
    <w:p>
      <w:r>
        <w:t>Página 34:</w:t>
        <w:br/>
        <w:t xml:space="preserve">                                             ÍND| Tablas</w:t>
        <w:br/>
        <w:br/>
        <w:t>ÍNDICE DE TABLAS</w:t>
        <w:br/>
        <w:br/>
        <w:br/>
        <w:br/>
        <w:br/>
        <w:br/>
        <w:t>REVISIÓN DE ANTECEDENTES Y MARCO TEÓRICO                                          54</w:t>
        <w:br/>
        <w:br/>
        <w:t xml:space="preserve">     Tabla A. Definiciones de productos bioactivos utilizados en alimentación humana y animal</w:t>
        <w:br/>
        <w:br/>
        <w:t xml:space="preserve">     aceptados por la comunidad científica en la actualidad                                 69</w:t>
        <w:br/>
        <w:br/>
        <w:t>BLOQUE I: Experimentos de laboratorio in vitro                                           85</w:t>
        <w:br/>
        <w:br/>
        <w:t xml:space="preserve">   Capítulo I: Aislamiento y selección de bacterias ácido-lácticas de la microbiota digestiva de jabalíes</w:t>
        <w:br/>
        <w:t xml:space="preserve">  que habitan en áreas con diferentes prevalencias de tuberculosis y estudio de sus capacidades para</w:t>
        <w:br/>
        <w:br/>
        <w:t xml:space="preserve">   antagonizar las micobacterias                                                       89</w:t>
        <w:br/>
        <w:t xml:space="preserve">     Tabla 1.1. Información general sobre las fincas incluidas en el estudio                     97</w:t>
        <w:br/>
        <w:t xml:space="preserve">     Tabla 1.2. Identificación mediante secuenciación del gen 16S de ARNr de las 30 cepas de 4</w:t>
        <w:br/>
        <w:br/>
        <w:t xml:space="preserve">     poblaciones de jabalíes                                                         107</w:t>
        <w:br/>
        <w:t xml:space="preserve">     Tabla 1.3. Selección final de aislados                                               109</w:t>
        <w:br/>
        <w:br/>
        <w:t xml:space="preserve">  CAPÍTULO III: Optimización funcional del efecto antimicrobiano, determinación de la naturaleza de la</w:t>
        <w:br/>
        <w:t xml:space="preserve">   actividad y estudios de sinergia con antibióticos                                        181</w:t>
        <w:br/>
        <w:br/>
        <w:t xml:space="preserve">     Tabla 3.1. Resultado de la concentración bacteriana y actividades antimicrobianas para los</w:t>
        <w:br/>
        <w:t xml:space="preserve">      aislados de BAL seleccionados                                                    194</w:t>
        <w:br/>
        <w:t xml:space="preserve">      Figura 3.3. Resultados de los ensayos de actividad antimicrobiana encontrada para las diferentes</w:t>
        <w:br/>
        <w:br/>
        <w:t xml:space="preserve">      fracciones por pesos moleculares de L. salivarius C12. Las fracciones más pequeñas (3 -10 KDa y &lt;</w:t>
        <w:br/>
        <w:t xml:space="preserve">     3 KDa) conservan buena parte de la actividad basal del sobrenadante completo (control).     197</w:t>
        <w:br/>
        <w:br/>
        <w:t>Bloque 2: Experimentación ANIMAL in vivo                                              207</w:t>
        <w:br/>
        <w:br/>
        <w:t xml:space="preserve">  CAPÍTULO IV: Efecto sinérgico de los metabolitos microbianos sobre la terapia antibiótica en una</w:t>
        <w:br/>
        <w:t xml:space="preserve">  neumonía experimental en modelo ratón                                              211</w:t>
        <w:br/>
        <w:t xml:space="preserve">     Tabla 4.1. Elaboración de los grupos de la fase previa del estudio experimental             221</w:t>
        <w:br/>
        <w:t xml:space="preserve">     Tabla 4.2. Elaboración de los grupos de la primera fase del estudio experimental            222</w:t>
        <w:br/>
        <w:br/>
        <w:t xml:space="preserve">     Tabla 4.3. Elaboración de los grupos de la segunda fase del estudio experimental           223</w:t>
        <w:br/>
        <w:br/>
        <w:t xml:space="preserve">  CAPÍTULO V: Administración de posbióticos para la mejora de los indicadores sanitarios y los</w:t>
        <w:br/>
        <w:t xml:space="preserve">   parámetros productivos en ganadería                                                235</w:t>
        <w:br/>
        <w:br/>
        <w:t xml:space="preserve">      Figura 5.2. Distribución provincial del censo de ovino en España (datos del año 2019).        239</w:t>
        <w:br/>
        <w:t xml:space="preserve">     Fuente: S.G. Análisis, Coordinación y Estadística (MAPA).                               239</w:t>
        <w:br/>
        <w:t xml:space="preserve">     Tabla 5.2. Resultados de los parámetros productivos por grupos de estudio                258</w:t>
        <w:br/>
        <w:br/>
        <w:br/>
        <w:br/>
        <w:br/>
        <w:t xml:space="preserve">                                            MARÍA BRAVO SANTILLANA  34</w:t>
        <w:br/>
      </w:r>
    </w:p>
    <w:p>
      <w:r>
        <w:t>Página 35:</w:t>
        <w:br/>
        <w:t>IND| Tablas</w:t>
        <w:br/>
        <w:br/>
        <w:br/>
        <w:t xml:space="preserve">     Tabla 5.3. Hemogramas completos de cada grupo al inicio de la experiencia, valores de referencia</w:t>
        <w:br/>
        <w:br/>
        <w:t xml:space="preserve">     y sus unidades                                                                261</w:t>
        <w:br/>
        <w:t xml:space="preserve">     Tabla 5.4. Hemogramas completos al final de la experiencia de cada grupo de estudio, valores de</w:t>
        <w:br/>
        <w:t xml:space="preserve">      referencia y sus unidades                                                        261</w:t>
        <w:br/>
        <w:br/>
        <w:t xml:space="preserve">     Tabla 5.5. Perfiles bioquímicos completos de cada grupo antes del estudio, valores de referencia y</w:t>
        <w:br/>
        <w:t xml:space="preserve">     sus unidades                                                                  262</w:t>
        <w:br/>
        <w:t xml:space="preserve">     Tabla 5.6. Perfiles bioquímicos completos de cada grupo al finalizar el estudio, valores de</w:t>
        <w:br/>
        <w:t xml:space="preserve">      referencia y sus unidades                                                        262</w:t>
        <w:br/>
        <w:br/>
        <w:t xml:space="preserve">  CAPÍTULO VI: Administración de posbióticos para el control de tuberculosis en fauna silvestre    271</w:t>
        <w:br/>
        <w:t xml:space="preserve">      Figura 6.1. Mapa epidemiológico de la tuberculosis bovina en España, prevalencia por comarcas,</w:t>
        <w:br/>
        <w:t xml:space="preserve">     año 2019. Fuente: Ministerio de Agricultura, Pesca y Alimentación del Gobierno de España.   274</w:t>
        <w:br/>
        <w:br/>
        <w:t xml:space="preserve">     Tabla 6.1. Resultados de la evaluación patológica y del estudio serológico de los dos grupos de</w:t>
        <w:br/>
        <w:t xml:space="preserve">      estudio en las temporadas previa y posterior a la suplementación                        288</w:t>
        <w:br/>
        <w:t xml:space="preserve">     Tabla 6.2. Resultados por grupos de edad de la evaluación patológica y el estudio serológico del</w:t>
        <w:br/>
        <w:br/>
        <w:t xml:space="preserve">     grupo suplementado antes y después de la suplementación con el posbiótico              290</w:t>
        <w:br/>
        <w:br/>
        <w:t>BLOQUE III: Transferencia de tecnología y conocimiento científico                           297</w:t>
        <w:br/>
        <w:br/>
        <w:t xml:space="preserve">  CAPÍTULO VII: Difusión e impacto del conocimiento científico generado en la transferencia tecnológica</w:t>
        <w:br/>
        <w:t xml:space="preserve">                                                                                 301</w:t>
        <w:br/>
        <w:br/>
        <w:t xml:space="preserve">      Figura 7.2. Ejemplo de productos de la gama INGUBAL en las instalaciones de INGULADOS.    312</w:t>
        <w:br/>
        <w:br/>
        <w:br/>
        <w:br/>
        <w:br/>
        <w:br/>
        <w:t xml:space="preserve"> 35  MARÍA BRAVO SANTILLANA</w:t>
        <w:br/>
      </w:r>
    </w:p>
    <w:p>
      <w:r>
        <w:t>Página 36:</w:t>
        <w:br/>
        <w:t xml:space="preserve">                                          ÍND | Figuras</w:t>
        <w:br/>
        <w:br/>
        <w:t>ÍNDICE DE FIGURAS</w:t>
        <w:br/>
        <w:br/>
        <w:br/>
        <w:br/>
        <w:br/>
        <w:br/>
        <w:t>REVISIÓN DE ANTECEDENTES Y MARCO TEÓRICO                                          54</w:t>
        <w:br/>
        <w:br/>
        <w:t xml:space="preserve">      Figura A. Funciones de la microbiota intestinal. Fuente: adaptado de Biocodex-Microbiota</w:t>
        <w:br/>
        <w:br/>
        <w:t xml:space="preserve">      Institute                                                                      60</w:t>
        <w:br/>
        <w:t xml:space="preserve">      Figura B. Árbol filogenético de la familia Lactobacillaceae. En el centro, los nuevos grupos</w:t>
        <w:br/>
        <w:t xml:space="preserve">      filogenéticos descritos se muestran con sus ramas del mismo color. Los anillos externos</w:t>
        <w:br/>
        <w:t xml:space="preserve">     proporcionan información sobre las características genómicas y el origen de las especies, incluido</w:t>
        <w:br/>
        <w:br/>
        <w:t xml:space="preserve">       el gradiente de color en rojo (contenido Guanina-Citosina) y los círculos representan el tamaño del</w:t>
        <w:br/>
        <w:t xml:space="preserve">     genoma. Fuente: Zheng et al., 2020.                                                66</w:t>
        <w:br/>
        <w:br/>
        <w:t>BLOQUE I: Experimentos de laboratorio in vitro                                           85</w:t>
        <w:br/>
        <w:br/>
        <w:t xml:space="preserve">   Capítulo I: Aislamiento y selección de bacterias ácido-lácticas de la microbiota digestiva de jabalíes</w:t>
        <w:br/>
        <w:t xml:space="preserve">  que habitan en áreas con diferentes prevalencias de tuberculosis y estudio de sus capacidades para</w:t>
        <w:br/>
        <w:t xml:space="preserve">   antagonizar las micobacterias                                                       89</w:t>
        <w:br/>
        <w:t xml:space="preserve">      Figura 1.1. Cribado de actividad antimicrobiana. La placa madre o placa primaria muestra las BAL</w:t>
        <w:br/>
        <w:br/>
        <w:t xml:space="preserve">      aisladas (A) y el ensayo de actividad frente a M. smegmatis muestra algunos aislados con actividad</w:t>
        <w:br/>
        <w:t xml:space="preserve">     antimicrobiana (halos de inhibición, B).                                             106</w:t>
        <w:br/>
        <w:t xml:space="preserve">      Figura 1.2. Localización geográfica de las 4 fincas de estudio (puntos), la prevalencia de lesiones</w:t>
        <w:br/>
        <w:br/>
        <w:t xml:space="preserve">     compatibles con TB se muestra al lado de cada punto y el perfil de BAL encontrado se indica</w:t>
        <w:br/>
        <w:t xml:space="preserve">     mediante una imagen de las bacterias predominantes. Las regiones coloreadas en el mapa</w:t>
        <w:br/>
        <w:t xml:space="preserve">     muestran la clasificación del riesgo de TB en fauna silvestre en las comarcas de España (Ministerio</w:t>
        <w:br/>
        <w:br/>
        <w:t xml:space="preserve">     de Agricultura, Pesca y Alimentación, datos de 2020). Todas las fincas muestreadas se encuentran</w:t>
        <w:br/>
        <w:t xml:space="preserve">     en zonas con alto riesgo de TB para la fauna silvestre, siendo el perfil predominante de</w:t>
        <w:br/>
        <w:t xml:space="preserve">      lactobacilos en los jabalíes que habitan en fincas con estado libre de la enfermedad.         108</w:t>
        <w:br/>
        <w:t xml:space="preserve">      Figura 1.3. Tinción de Gram y observación al microscopio de inmersión de las especies L.</w:t>
        <w:br/>
        <w:br/>
        <w:t xml:space="preserve">     plantarum (A), L. paracasei (B), P. acidilactici (C) y E. faecalis (D).                        109</w:t>
        <w:br/>
        <w:t xml:space="preserve">      Figura 1.4. Las BAL aisladas de jabalíes libres de TB muestran una fuerte actividad</w:t>
        <w:br/>
        <w:t xml:space="preserve">     antimicobacteriana y sus genomas contienen genes que codifican bacteriocinas y una gran</w:t>
        <w:br/>
        <w:br/>
        <w:t xml:space="preserve">     variedad de metabolitos antimicrobianos secundarios. (A) Reducción en las unidades de</w:t>
        <w:br/>
        <w:t xml:space="preserve">      fluorescencia (FU) emitidas por M. bovis BCG en cocultivos con las BAL tras 48 h de incubación. La</w:t>
        <w:br/>
        <w:t xml:space="preserve">     reducción de la FU se calculó utilizando al menos 2 réplicas biológicas y fue normalizada con la FU</w:t>
        <w:br/>
        <w:t xml:space="preserve">     de M. bovis BCG en monocultivo. (B) Reducción en el recuento de colonias de M. bovis BCG en</w:t>
        <w:br/>
        <w:br/>
        <w:t xml:space="preserve">     monocultivo (izquierda) con respecto al cocultivo (derecha) con un aislado de lactobacilo. (C)</w:t>
        <w:br/>
        <w:t xml:space="preserve">      Clústeres de bacteriocinas de clase II identificadas en el genoma de los lactobacilos. La</w:t>
        <w:br/>
        <w:br/>
        <w:br/>
        <w:t xml:space="preserve">                                            MARÍA BRAVO SANTILLANA  36</w:t>
        <w:br/>
      </w:r>
    </w:p>
    <w:p>
      <w:r>
        <w:t>Página 37:</w:t>
        <w:br/>
        <w:t>IND| Figuras</w:t>
        <w:br/>
        <w:br/>
        <w:br/>
        <w:t xml:space="preserve">     nomenclatura para los grupos de bacteriocina sigue recomendaciones específicas (Diep et al.,</w:t>
        <w:br/>
        <w:br/>
        <w:t xml:space="preserve">     2009; O’Shea et al., 2011) y representa: las bacteriocinas precursoras (verde), las enzimas de</w:t>
        <w:br/>
        <w:t xml:space="preserve">      modificación postraduccional (azul), las proteínas de transporte / inmunidad (rojo) y otras</w:t>
        <w:br/>
        <w:t xml:space="preserve">      proteínas hipotéticas (gris). (D) Genes asociados con la producción y acumulación de H2O2 (verde y</w:t>
        <w:br/>
        <w:br/>
        <w:t xml:space="preserve">      naranja) y otros metabolitos secundarios como lactato, acetato, etanol y CO2 (azul) en los aislados.</w:t>
        <w:br/>
        <w:t xml:space="preserve">     Se muestra la proporción en la barra y el número de genes encontrados en blanco.          112</w:t>
        <w:br/>
        <w:t xml:space="preserve">      Figura 1.5. Recuentos bacterianos de los aislados de L. plantarum (A) y de L. salivarius y L.</w:t>
        <w:br/>
        <w:t xml:space="preserve">      paracasei (B) como monocultivos (barras negras) y cocultivos con BCG (barras grises) tras una</w:t>
        <w:br/>
        <w:br/>
        <w:t xml:space="preserve">     incubación de 0, 24 y 48 h en caldo MH con OADC (10%), Tween 80 (0,1%) y glicerol (0,2%). Los</w:t>
        <w:br/>
        <w:t xml:space="preserve">     recuentos bacterianos se expresan como log10 (CFU / mL)                              114</w:t>
        <w:br/>
        <w:t xml:space="preserve">      Figura 1.6. Tasa de supervivencia de M. bovis BCG después de 48 horas (h) de incubación en</w:t>
        <w:br/>
        <w:br/>
        <w:t xml:space="preserve">     sobrenadantes ácidos (pH 4,5) libres de células obtenidos a partir de de monocultivos de</w:t>
        <w:br/>
        <w:t xml:space="preserve">      lactobacilos (izquierda) o cocultivos de M. bovis BCG con lactobacilos (derecha) en caldo MH con</w:t>
        <w:br/>
        <w:t xml:space="preserve">    OADC (10%), Tween 80 (0,1%) y glicerol (0,2%). La tasa de supervivencia de M. bovis BCG para</w:t>
        <w:br/>
        <w:br/>
        <w:t xml:space="preserve">    ambas condiciones se calculó a partir de la expresión de GFP (FU, barras grises) y se comparó con</w:t>
        <w:br/>
        <w:t xml:space="preserve">     sus correspondientes controles (barras negras). Los controles se cultivaron con BCG en</w:t>
        <w:br/>
        <w:t xml:space="preserve">     sobrenadantes libres de células obtenidos de un caldo MH incubado durante 24 h con OADC</w:t>
        <w:br/>
        <w:t xml:space="preserve">      (10%), Tween 80 (0,1%) y glicerol (0,2%) (lado izquierdo) y monocultivos de BCG de 24 h en caldo</w:t>
        <w:br/>
        <w:br/>
        <w:t xml:space="preserve">   MH con OADC (10%), Tween 80 (0,1%) y glicerol (0,2%) (lado derecho), ambos a pH 4,5. Los datos</w:t>
        <w:br/>
        <w:t xml:space="preserve">     son media±DE con análisis estadístico (prueba t de Student, **p &lt;0,01, ***p&lt;0.005, ****p&lt;0.001)</w:t>
        <w:br/>
        <w:t xml:space="preserve">     y son representativos de 3 réplicas biológicas cada uno.                                114</w:t>
        <w:br/>
        <w:br/>
        <w:t xml:space="preserve">      Figura 1.7. Tasa de supervivencia de M. bovis BCG después de 48 h de incubación en</w:t>
        <w:br/>
        <w:t xml:space="preserve">     sobrenadantes libres de células neutralizados (pH 7) obtenidos a partir de monocultivos de 24h de</w:t>
        <w:br/>
        <w:t xml:space="preserve">       L. plantarum C1, EML1 y SA3 (izquierda) o de co-cultivos de M. bovis BCG con las cepas de L.</w:t>
        <w:br/>
        <w:t xml:space="preserve">     plantarum (derecha) en caldo MH con OADC (10%), Tween 80 (0,1%) y glicerol (0,2%). La tasa de</w:t>
        <w:br/>
        <w:br/>
        <w:t xml:space="preserve">      supervivencia de M. bovis BCG para ambas condiciones se monitorizó mediante la expresión de</w:t>
        <w:br/>
        <w:t xml:space="preserve">    GFP (FU, barras grises) y se comparó con sus controles correspondientes (barras negras), con o sin</w:t>
        <w:br/>
        <w:t xml:space="preserve">     suplementación de nutrientes. Los controles de M. bovis BCG se incubaron en sobrenadantes</w:t>
        <w:br/>
        <w:br/>
        <w:t xml:space="preserve">      libres de células obtenidos de caldo MH incubado durante 24 h con OADC (10%), Tween 80 (0,1%)</w:t>
        <w:br/>
        <w:t xml:space="preserve">     y glicerol (0,2%) (izquierda) y monocultivos de M. bovis BCG incubados durante 24 h en caldo MH</w:t>
        <w:br/>
        <w:t xml:space="preserve">     con OADC (10%), Tween 80 (0,1%) y glicerol (0,2%) (derecha), ambos a pH 7. Los datos se expresan</w:t>
        <w:br/>
        <w:br/>
        <w:t xml:space="preserve">    como media ± DE con análisis estadístico (prueba t de Student, * p&lt;0,05, ** p &lt;0,01) y representan</w:t>
        <w:br/>
        <w:t xml:space="preserve">     3 réplicas biológicas cada uno.                                                    116</w:t>
        <w:br/>
        <w:t xml:space="preserve">      (A) Tasa de supervivencia de M. bovis BCG tras 0, 24 y 48 h de incubación en sobrenadantes de</w:t>
        <w:br/>
        <w:t xml:space="preserve">     monocultivos de L. plantarum C1, EML1, SA3 (izquierda) y cocultivos de M. bovis BCG con las</w:t>
        <w:br/>
        <w:br/>
        <w:t xml:space="preserve">     cepas de L. plantarum (derecha). (B) Tasa de supervivencia de M. bovis BCG después de 0, 24 y 48</w:t>
        <w:br/>
        <w:t xml:space="preserve">     h de incubación en sobrenadantes de monocultivos de L. plantarum (izquierda) y cocultivos de M.</w:t>
        <w:br/>
        <w:t xml:space="preserve">      bovis BCG con las cepas de L. plantarum (derecha) suplementados con caldo MH con OADC (10%),</w:t>
        <w:br/>
        <w:br/>
        <w:br/>
        <w:br/>
        <w:t xml:space="preserve"> 37  MARÍA BRAVO SANTILLANA</w:t>
        <w:br/>
      </w:r>
    </w:p>
    <w:p>
      <w:r>
        <w:t>Página 38:</w:t>
        <w:br/>
        <w:t xml:space="preserve">                                       ÍND | Figuras</w:t>
        <w:br/>
        <w:br/>
        <w:br/>
        <w:t>Tween 80 (0,1%) y glicerol (0,2%) en una proporción de 1: 1. Los sobrenadantes de los controles</w:t>
        <w:br/>
        <w:br/>
        <w:t>también se suplementaron con caldo MH con OADC (10%), Tween 80 (0,1%) y glicerol (0,2%) en la</w:t>
        <w:br/>
        <w:t>misma proporción.                                                             116</w:t>
        <w:br/>
        <w:t>Figura 1.8. Tasa de supervivencia de M. bovis BCG después de 48 h de incubación en</w:t>
        <w:br/>
        <w:br/>
        <w:t>sobrenadantes libres de células neutralizados (pH 7) y obtenidos a partir de monocultivos de 24 h</w:t>
        <w:br/>
        <w:t>de L. salivarius C2, y C12 y L. paracasei SA5 (izquierda) o de cocultivos de M. bovis BCG con las</w:t>
        <w:br/>
        <w:t>cepas de L. salivarius C2, y C12 y L. paracasei SA5 en caldo MH con OADC (10%), Tween 80 (0,1%) y</w:t>
        <w:br/>
        <w:t>glicerol (0,2%). La tasa de supervivencia de M. bovis BCG para ambas condiciones se monitorizó</w:t>
        <w:br/>
        <w:br/>
        <w:t>mediante la expresión de GFP (FU, barras grises claro para L. salivarius y gris oscuro para L.</w:t>
        <w:br/>
        <w:t>paracasei) y se comparó con sus controles correspondientes (barras negras), con o sin</w:t>
        <w:br/>
        <w:t>suplementación de nutrientes. Los controles de M. bovis BCG se incubaron en sobrenadantes</w:t>
        <w:br/>
        <w:br/>
        <w:t>libres de células obtenidos de caldo MH incubado durante 24 h con OADC (10%), Tween 80 (0,1%)</w:t>
        <w:br/>
        <w:t>y glicerol (0,2%) (izquierda) y monocultivos de M. bovis BCG incubados durante 24 h en caldo MH</w:t>
        <w:br/>
        <w:t>con OADC (10%), Tween 80 (0,1%) y glicerol (0,2%) (derecha), ambos a pH 7. Los datos se expresan</w:t>
        <w:br/>
        <w:br/>
        <w:t>como media±DE con análisis estadístico (prueba t de Student, * p&lt;0,05, ** p &lt;0,01) y representan</w:t>
        <w:br/>
        <w:t>3 réplicas biológicas cada uno.                                                    117</w:t>
        <w:br/>
        <w:t>(A) Tasa de supervivencia de M. bovis BCG tras 0, 24 y 48 h de incubación en sobrenadantes de</w:t>
        <w:br/>
        <w:t>monocultivos de L. salivarius y L. paracasei (izquierda) y cocultivos de M. bovis BCG con las cepas</w:t>
        <w:br/>
        <w:br/>
        <w:t>de L. salivarius y L. paracasei (derecha). (B) Tasa de supervivencia de M. bovis BCG después de 0,</w:t>
        <w:br/>
        <w:t>24 y 48 h de incubación en sobrenadantes de monocultivos de L. salivarius y L. paracasei</w:t>
        <w:br/>
        <w:t>(izquierda) y cocultivos de M. bovis BCG con las cepas de L. salivarius y L. paracasei (derecha)</w:t>
        <w:br/>
        <w:br/>
        <w:t>suplementados con caldo MH con OADC (10%), Tween 80 (0,1%) y glicerol (0,2%) en una</w:t>
        <w:br/>
        <w:t>proporción de 1: 1. Los sobrenadantes de los controles también se suplementaron con caldo MH</w:t>
        <w:br/>
        <w:t>con OADC (10%), Tween 80 (0,1%) y glicerol (0,2%) en la misma proporción.                118</w:t>
        <w:br/>
        <w:t>Figura 1.9. Recuentos bacterianos de cultivos de cepas de L. plantarum C1, EML1 y SA3 y L.</w:t>
        <w:br/>
        <w:br/>
        <w:t>paracasei SA5 tras una incubación de 0 y 24 h en: (i) sobrenadantes obtenidos a partir de un</w:t>
        <w:br/>
        <w:t>cultivo de M. bovis BCG (barras negras); (ii) sobrenadantes obtenidos a partir de un cultivo de M.</w:t>
        <w:br/>
        <w:t>bovis BCG suplementado con caldo MH con OADC (10%), Tween 80 (0,1%) y glicerol (0,2%) en una</w:t>
        <w:br/>
        <w:br/>
        <w:t>proporción de 1: 1 (barras de color gris oscuro); y (iii) caldo MH con OADC (10%), Tween 80 (0,1%)</w:t>
        <w:br/>
        <w:t>y glicerol (0,2%) (barras de color gris claro). Los recuentos bacterianos están expresados como</w:t>
        <w:br/>
        <w:t>log10 (CFU / mL).                                                               119</w:t>
        <w:br/>
        <w:br/>
        <w:t>Figura 1.10. Clústeres de genes de bacteriocinas de clase II identificados en el genoma de las cepas</w:t>
        <w:br/>
        <w:t>de lactobacilos y nivel de expresión de genes que codifican los precursores de bacteriocinas en</w:t>
        <w:br/>
        <w:t>cultivos de lactobacilos expuestos a diferentes concentraciones crecientes de células M. bovis</w:t>
        <w:br/>
        <w:t>BCG. La nomenclatura para los grupos de bacteriocina sigue recomendaciones específicas (Diep et</w:t>
        <w:br/>
        <w:br/>
        <w:t>al., 2009; O’Shea et al., 2011) y representa: las bacteriocinas precursoras (verde), las enzimas de</w:t>
        <w:br/>
        <w:t>modificación postraduccional (azul), las proteínas de transporte / inmunidad (rojo) y otras</w:t>
        <w:br/>
        <w:t>proteínas hipotéticas (gris).                                                      121</w:t>
        <w:br/>
        <w:br/>
        <w:br/>
        <w:br/>
        <w:t xml:space="preserve">                                        MARÍA BRAVO SANTILLANA  38</w:t>
        <w:br/>
      </w:r>
    </w:p>
    <w:p>
      <w:r>
        <w:t>Página 39:</w:t>
        <w:br/>
        <w:t>IND| Figuras</w:t>
        <w:br/>
        <w:br/>
        <w:br/>
        <w:t xml:space="preserve">      C1. Clúster de la bacteriocina de dos péptidos de L. plantarum C1 (en representación de todas las</w:t>
        <w:br/>
        <w:br/>
        <w:t xml:space="preserve">     cepas de L. plantarum) y el nivel de expresión de sus genes de la bacteriocina precursora</w:t>
        <w:br/>
        <w:t xml:space="preserve">     correspondiente plnE y plnF en cultivos expuestos a células de M. bovis BCG a 106 UFC / ml (barras</w:t>
        <w:br/>
        <w:t xml:space="preserve">     de color gris claro) y 107 UFC / mL (barras grises oscuro).                               121</w:t>
        <w:br/>
        <w:br/>
        <w:t xml:space="preserve">     SA5. Clúster de la bacteriocina de dos péptidos de L. paracasei SA5 y el nivel de expresión de los</w:t>
        <w:br/>
        <w:t xml:space="preserve">     de la bacteriocina precursora correspondiente A y B en cultivos expuestos a células de M. bovis</w:t>
        <w:br/>
        <w:t xml:space="preserve">    BCG a 106 UFC / ml (barras de color gris claro) y 107 UFC / mL (barras grises oscuro).         121</w:t>
        <w:br/>
        <w:t xml:space="preserve">      C2. Clúster de la bacteriocina de péptido único de L. salivarius C2 y el nivel de expresión de los</w:t>
        <w:br/>
        <w:t xml:space="preserve">     genes de la bacteriocina precursora correspondiente Tay Tben cultivos expuestos a células de M.</w:t>
        <w:br/>
        <w:t xml:space="preserve">      bovis BCG a 106 UFC / ml (barras de color gris claro) y 107 UFC / mL (barras grises oscuro).     121</w:t>
        <w:br/>
        <w:br/>
        <w:t xml:space="preserve">      Figura 1.11. Los lactobacilos interactúan con las células sanguíneas porcinas, interfiriendo con la</w:t>
        <w:br/>
        <w:t xml:space="preserve">      fagocitosis de M. bovis BCG de una manera diferente según la especie.                    123</w:t>
        <w:br/>
        <w:t xml:space="preserve">      (A) El gráfico SSC/FSC representa las áreas correspondientes a las células sanguíneas porcinas y el</w:t>
        <w:br/>
        <w:br/>
        <w:t xml:space="preserve">      gráfico SSC/GFP muestra sus áreas correspondientes en condiciones normales (mock) y cuando se</w:t>
        <w:br/>
        <w:t xml:space="preserve">     exponen a M. bovis BCG, L. salivarius C12, L. plantarum C1 y L. paracasei SA5. Las células</w:t>
        <w:br/>
        <w:t xml:space="preserve">     sanguíneas se indican en verde (linfocitos), naranja (monocitos) y rojo (polimorfonucleares). (B) El</w:t>
        <w:br/>
        <w:t xml:space="preserve">      gráfico SSC/GFP muestra la respuesta de las células sanguíneas porcinas a BCG-GFP solo (-) o en</w:t>
        <w:br/>
        <w:br/>
        <w:t xml:space="preserve">     combinación con L. salivarius C12, L. plantarum C1 y L. paracasei SA5. Las áreas SSC/FSC para cada</w:t>
        <w:br/>
        <w:t xml:space="preserve">     una de las condiciones se incluyen arriba y la intensidad GFP emitida por los fagocitos se indica en</w:t>
        <w:br/>
        <w:t xml:space="preserve">       el control de BCG-GFP: negativa (-), positiva (+) y muy positiva (++). (C) Porcentaje de fagocitos</w:t>
        <w:br/>
        <w:br/>
        <w:t xml:space="preserve">     que se unen a M. bovis BCG solos (barra negra) o en combinación con L. salivarius C12, L.</w:t>
        <w:br/>
        <w:t xml:space="preserve">     plantarum C1 y L. paracasei SA5 (barras grises). Los datos se expresan como media±DE con el</w:t>
        <w:br/>
        <w:t xml:space="preserve">      análisis estadístico de la prueba t de Student (*** p &lt;0,001). (D) Porcentaje de fagocitos que</w:t>
        <w:br/>
        <w:t xml:space="preserve">      fagocitan M. bovis BCG solos (barra negra) o en combinación con L. salivarius C12, L. plantarum C1</w:t>
        <w:br/>
        <w:br/>
        <w:t xml:space="preserve">     y L. paracasei SA5 (barras grises). Los datos se expresan como media±DE con el análisis estadístico</w:t>
        <w:br/>
        <w:t xml:space="preserve">     de la prueba t de Student (*** p &lt;0,001).                                           123</w:t>
        <w:br/>
        <w:br/>
        <w:t xml:space="preserve">  CAPÍTULO II: Evaluación del potencial beneficioso de los aislados: estudios de seguridad,</w:t>
        <w:br/>
        <w:br/>
        <w:t xml:space="preserve">   determinación in vitro de la acción antimicrobiana frente a patógenos y valoración de su capacidad</w:t>
        <w:br/>
        <w:t xml:space="preserve">  inmunomoduladora                                                              133</w:t>
        <w:br/>
        <w:t xml:space="preserve">      Figura 2.1. Mecanismos de acción de las bacteriocinas de clase I, II, III. Fuente: (Tulini, 2014)  140</w:t>
        <w:br/>
        <w:br/>
        <w:t xml:space="preserve">      Figura 2.2. Interacción de las BAL con los macrófagos para la regulación de las rutas inmunitarias</w:t>
        <w:br/>
        <w:t xml:space="preserve">     de señalización NF-kB y IFN-I vía TLR. Adaptado de: (J. B. Li et al., 2013).                   143</w:t>
        <w:br/>
        <w:t xml:space="preserve">      Figura 2.3. Mapa de calor que muestra la susceptibilidad de los aislados a los antibióticos que se</w:t>
        <w:br/>
        <w:t xml:space="preserve">       utilizan con frecuencia en medicina veterinaria y humana. La susceptibilidad se cuantificó</w:t>
        <w:br/>
        <w:br/>
        <w:t xml:space="preserve">      utilizando concentraciones mínimas inhibitorias (CMI, µg/mL) y se representan como gradientes</w:t>
        <w:br/>
        <w:t xml:space="preserve">     de color. Las cepas que son reconocidas como resistentes por los estándares FEEDAP se indican</w:t>
        <w:br/>
        <w:t xml:space="preserve">     con una «R». La R redondeada indica concordancia entre la resistencia genotípica y fenotípica, con</w:t>
        <w:br/>
        <w:br/>
        <w:t xml:space="preserve">      los marcadores de genes de resistencia mostrados en cursiva. No se requiere la evaluación de</w:t>
        <w:br/>
        <w:br/>
        <w:br/>
        <w:t xml:space="preserve"> 39  MARÍA BRAVO SANTILLANA</w:t>
        <w:br/>
      </w:r>
    </w:p>
    <w:p>
      <w:r>
        <w:t>Página 40:</w:t>
        <w:br/>
        <w:t xml:space="preserve">                                       ÍND | Figuras</w:t>
        <w:br/>
        <w:br/>
        <w:br/>
        <w:t>vancomicina (n.r.) para los lactobacilos y estreptomicina para L. plantarum, debido a su resistencia</w:t>
        <w:br/>
        <w:br/>
        <w:t>natural innata a estos antibióticos.                                                155</w:t>
        <w:br/>
        <w:t>Figura 2.4. Genes de resistencia antimicrobiana y marcadores genéticos de virulencia. Los aislados</w:t>
        <w:br/>
        <w:t>de lactobacilos y pediococos carecen de genes de resistencia y virulencia, a excepción de L.</w:t>
        <w:br/>
        <w:br/>
        <w:t>salivarius C2 que presenta genes para la resistencia a tetraciclinas; y los aislados de enterococos</w:t>
        <w:br/>
        <w:t>presentan numerosos marcadores genéticos de resistencias antimicrobianas y virulencia, en</w:t>
        <w:br/>
        <w:t>especial las dos cepas de E. faecalis.                                               156</w:t>
        <w:br/>
        <w:t>Figura 2.5. Árbol filogenético de los aislados de L. plantarum                            158</w:t>
        <w:br/>
        <w:br/>
        <w:t>Figura 2.6. Árbol filogenético de los aislados de L. salivarius                            159</w:t>
        <w:br/>
        <w:t>Figura 2.7. Árbol filogenético de los aislados de L. paracasei                            160</w:t>
        <w:br/>
        <w:t>Figura 2.8. Árbol filogenético de los aislados de Pediococcus acidilactici                   161</w:t>
        <w:br/>
        <w:br/>
        <w:br/>
        <w:t>Figura 2.9. Árbol filogenético de los aislados de E. faecalis                              162</w:t>
        <w:br/>
        <w:t>Figura 2.10. Árbol filogenético de los aislados de E. casseliflavus                         163</w:t>
        <w:br/>
        <w:br/>
        <w:t>Figura 2.11. E. faecalis inhibe E. coli y produce potencialmente bacteriocinas modificadas</w:t>
        <w:br/>
        <w:t>postraduccionalmente. (A) Reducción logarítmica de las ufc/ml de E. coli cuando se cocultiva con</w:t>
        <w:br/>
        <w:t>las BAL tras 24 h de incubación. La reducción logarítmica se calculó utilizando al menos 3 réplicas</w:t>
        <w:br/>
        <w:t>biológicas con respecto al monocultivo de E. coli. (B) Agar selectivo para enterobacterias (VRBG)</w:t>
        <w:br/>
        <w:br/>
        <w:t>que contiene el monocultivo de E. coli y un cocultivo con E. faecalis A1. (C) Clústeres de genes</w:t>
        <w:br/>
        <w:t>implicados en la biosíntesis de sactipéptidos y lantipéptidos, dos bacteriocinas modificadas</w:t>
        <w:br/>
        <w:t>postraduccionalmente que se encuentran en los aislados de E. faecalis A1 y R8 y E. casseliflavus</w:t>
        <w:br/>
        <w:br/>
        <w:t>R95. La nomenclatura para los grupos de bacteriocina sigue recomendaciones específicas (Diep et</w:t>
        <w:br/>
        <w:t>al., 2009; O’Shea et al., 2011) y representa: las bacteriocinas precursoras (verde), las enzimas de</w:t>
        <w:br/>
        <w:t>modificación postraduccional (azul), las proteínas de transporte / inmunidad (rojo) y otras</w:t>
        <w:br/>
        <w:t>proteínas hipotéticas (gris).                                                      164</w:t>
        <w:br/>
        <w:br/>
        <w:t>Figura 2.12. L. salivarius muestra actividad extracelular contra Pasteurella multocida y</w:t>
        <w:br/>
        <w:t>potencialmente secreta múltiples bacteriolisinas y bacteriocinas de clase II (A) Unidades</w:t>
        <w:br/>
        <w:t>Arbitrarias por mililitro (UA/mL) de los sobrenadantes obtenidos de los aislados frente a P.</w:t>
        <w:br/>
        <w:br/>
        <w:t>multocida serotipo B después de una incubación durante 24 h a 37 ºC. La UA / mL se define como</w:t>
        <w:br/>
        <w:t>el recíproco de la mayor dilución que muestra una clara inhibición del crecimiento del patógeno.</w:t>
        <w:br/>
        <w:t>(B) P. multocida en un ensayo de microdilución usando caldo Mueller Hinton. Inhibición del</w:t>
        <w:br/>
        <w:br/>
        <w:t>crecimiento después de la exposición con el sobrenadante de un cultivo de L. salivarius C2</w:t>
        <w:br/>
        <w:t>(derecha) con respecto al control (izquierda).                                        165</w:t>
        <w:br/>
        <w:t>Figura 2.13. P. acidilactici R91 muestra una clara actividad anti-listerial y potencialmente</w:t>
        <w:br/>
        <w:t>bacteriocinas de un solo péptido sin modificar compatible con pediocina. (A) Prueba de la gota o</w:t>
        <w:br/>
        <w:br/>
        <w:t>«spot-on-agar» de los cultivos de las BAL frente a Listeria monocytogenes. Los controles se</w:t>
        <w:br/>
        <w:t>muestran en la fila inferior: L. plantarum WCFS-1 (pH +, acidulante), P. acidilactici PA1.0</w:t>
        <w:br/>
        <w:t>(productor de pediocina, Ped), Lactococcus lactis NZ9700 (productor de nisina, Nis) y Lactococcus</w:t>
        <w:br/>
        <w:br/>
        <w:br/>
        <w:br/>
        <w:t xml:space="preserve">                                        MARÍA BRAVO SANTILLANA  40</w:t>
        <w:br/>
      </w:r>
    </w:p>
    <w:p>
      <w:r>
        <w:t>Página 41:</w:t>
        <w:br/>
        <w:t>IND| Figuras</w:t>
        <w:br/>
        <w:br/>
        <w:br/>
        <w:t xml:space="preserve">       lactis NZ9800 (control negativo, pH-). (B) Grupo de genes implicados en la síntesis hipotética de</w:t>
        <w:br/>
        <w:br/>
        <w:t xml:space="preserve">      Pediocin PA-1 en Pediococcus acidilactici R91. La nomenclatura es la misma que la citada</w:t>
        <w:br/>
        <w:t xml:space="preserve">     anteriormente: las bacteriocinas precursoras (verde) y las proteínas de transporte / inmunidad</w:t>
        <w:br/>
        <w:t xml:space="preserve">       (rojo).                                                                       166</w:t>
        <w:br/>
        <w:br/>
        <w:t xml:space="preserve">      Figura 2.15. Los lactobacilos activan respuestas inmunitarias innatas protectoras en macrófagos y</w:t>
        <w:br/>
        <w:t xml:space="preserve">     poseen moléculas asociadas con la activación de TLR. La activación de las rutas NF-kB (A) e IFN-I</w:t>
        <w:br/>
        <w:t xml:space="preserve">      (B) se cuantificó en macrófagos THP-1 diferenciados con PMA expuestos a las BAL. La activación</w:t>
        <w:br/>
        <w:t xml:space="preserve">     de NF-κB / IRF se presenta con respecto al control y los datos representan al menos 3 réplicas</w:t>
        <w:br/>
        <w:br/>
        <w:t xml:space="preserve">      biológicas. (C) Los aislados se distribuyen de manera diferente según su capacidad para activar las</w:t>
        <w:br/>
        <w:t xml:space="preserve">      vías NF-κB / IFN-I. Las especies L. plantarum y L. paracasei desencadenan respuestas significativas</w:t>
        <w:br/>
        <w:t xml:space="preserve">     de IRF, mientras que las cepas de L. salivarius inducen la activación de NF-κB. (D) Los aislados</w:t>
        <w:br/>
        <w:br/>
        <w:t xml:space="preserve">     poseen genes asociados con receptores de reconocimiento de patrones (PRR), como TLR y NOD,</w:t>
        <w:br/>
        <w:t xml:space="preserve">     que incluyen fimbria / pili, componentes de la pared celular y agonistas de TLR2.            169</w:t>
        <w:br/>
        <w:br/>
        <w:t xml:space="preserve">  CAPÍTULO III: Optimización funcional del efecto antimicrobiano, determinación de la naturaleza de la</w:t>
        <w:br/>
        <w:br/>
        <w:t xml:space="preserve">   actividad y estudios de sinergia con antibióticos                                        181</w:t>
        <w:br/>
        <w:t xml:space="preserve">      Figura 3.1. Curvas de concentración bacteriana en función del tiempo de fermentación para L.</w:t>
        <w:br/>
        <w:t xml:space="preserve">     plantarum EML1 (círculos), L. casei SA5 (cuadrados) y L. salivarius C12 (triángulos). Los puntos</w:t>
        <w:br/>
        <w:t xml:space="preserve">     marcados con estrellas muestran la actividad antimicrobiana máxima, que se detecta al final de la</w:t>
        <w:br/>
        <w:br/>
        <w:t xml:space="preserve">      fase exponencial para EML1 y en la fase estacionaria para SA5 y C12.                     195</w:t>
        <w:br/>
        <w:t xml:space="preserve">      Figura 3.4. Técnica E-test para el patógeno E. coli multirresistente en combinación con el</w:t>
        <w:br/>
        <w:t xml:space="preserve">     sobrenadante de la bacteria ácido-láctica L. salivarius C12. (A) Se observa un crecimiento total del</w:t>
        <w:br/>
        <w:br/>
        <w:t xml:space="preserve">     patógeno pese a la colocación de las tiras con antibióticos (&gt;256 µg/mL) y (B) la aparición de</w:t>
        <w:br/>
        <w:t xml:space="preserve">      inhibición del cultivo al añadir el sobrenadante de la bacteria C12, con diferentes puntos de corte</w:t>
        <w:br/>
        <w:t xml:space="preserve">     para los diferentes antibióticos.                                                   199</w:t>
        <w:br/>
        <w:t xml:space="preserve">      Figura 3.5. Técnica E-test para el patógeno P. multocida resistente a tetraciclinas y el</w:t>
        <w:br/>
        <w:br/>
        <w:t xml:space="preserve">     antimicrobiano doxiciclina en combinación con el sobrenadante de la bacteria ácido-láctica L.</w:t>
        <w:br/>
        <w:t xml:space="preserve">      salivarius C12. Se observa una disminución en el punto de corte equivalente a la CMI de 4 µg/mL</w:t>
        <w:br/>
        <w:t xml:space="preserve">     en el control (A) a 1 µg/mL al añadir el sobrenadante al 10 % (B).                        199</w:t>
        <w:br/>
        <w:br/>
        <w:t>Bloque 2: Experimentación ANIMAL in vivo                                              207</w:t>
        <w:br/>
        <w:br/>
        <w:t xml:space="preserve">  CAPÍTULO IV: Efecto sinérgico de los metabolitos microbianos sobre la terapia antibiótica en una</w:t>
        <w:br/>
        <w:t xml:space="preserve">  neumonía experimental en modelo ratón                                              211</w:t>
        <w:br/>
        <w:br/>
        <w:t xml:space="preserve">      Figura 4.1. Curvas de supervivencia de Kaplan-Meier en los diferentes grupos del estudio. (A) En la</w:t>
        <w:br/>
        <w:t xml:space="preserve">      fase previa se detectaron diferencias estadísticamente significativas (test del logaritmo del rango,</w:t>
        <w:br/>
        <w:t xml:space="preserve">     P&lt;0,0001) en la supervivencia de los animales infectados (triángulos) con respecto a los animales</w:t>
        <w:br/>
        <w:t xml:space="preserve">     que no fueron infectados (círculos y cuadrados, superpuestos), incluidos los que recibieron el</w:t>
        <w:br/>
        <w:br/>
        <w:t xml:space="preserve">     suplemento. (B) En la fase 1 se infectó a los animales con la DL50 y, tanto en el grupo control sin</w:t>
        <w:br/>
        <w:t xml:space="preserve">     tratamiento (círculos) como en el grupo suplemento (triángulos) no se observaron diferencias en</w:t>
        <w:br/>
        <w:br/>
        <w:br/>
        <w:t xml:space="preserve"> 41  MARÍA BRAVO SANTILLANA</w:t>
        <w:br/>
      </w:r>
    </w:p>
    <w:p>
      <w:r>
        <w:t>Página 42:</w:t>
        <w:br/>
        <w:t xml:space="preserve">                                        ÍND | Figuras</w:t>
        <w:br/>
        <w:br/>
        <w:br/>
        <w:t xml:space="preserve">   la supervivencia de los animales, que fue del 50 %. El grupo antibiótico (cuadrados) tuvo una</w:t>
        <w:br/>
        <w:br/>
        <w:t xml:space="preserve">   supervivencia del 100 pero estas diferencias no fueron estadísticamente significativas (test del</w:t>
        <w:br/>
        <w:t xml:space="preserve">   logaritmo del rango, P&lt;0,78). (C) En la fase 2 se infectó a los animales con la DL100, que provocó</w:t>
        <w:br/>
        <w:t xml:space="preserve">  una mortalidad del 100 % en el grupo control (círculos), antibiótico (cuadrados) y suplemento</w:t>
        <w:br/>
        <w:br/>
        <w:t xml:space="preserve">   (triángulos). Sin embargo, se registró una supervivencia del 33,33 % en el grupo que fue tratado</w:t>
        <w:br/>
        <w:t xml:space="preserve">  con antibióticos en combinación con el suplemento (test del logaritmo del rango, p&lt;0,05).    228</w:t>
        <w:br/>
        <w:t xml:space="preserve">   Figura 4.2. Síntomas y signos compatibles con la infección experimental por Pasteurella multocida</w:t>
        <w:br/>
        <w:t xml:space="preserve">  en modelo ratón. (Ai) Pelos erizados y exudado ocular no hemorrágico, más leve y (Aii)</w:t>
        <w:br/>
        <w:br/>
        <w:t xml:space="preserve">   hemorrágico, más grave. (B) Hallazgo de adherencias en cavidad torácica durante la necropsia. (Ci)</w:t>
        <w:br/>
        <w:t xml:space="preserve">  Pulmón con lesiones neumónicas compatibles con la infección y (Cii) pulmón aparentemente sano,</w:t>
        <w:br/>
        <w:t xml:space="preserve">   sin lesiones macroscópicas.                                                      229</w:t>
        <w:br/>
        <w:br/>
        <w:t>CAPÍTULO V: Administración de posbióticos para la mejora de los indicadores sanitarios y los</w:t>
        <w:br/>
        <w:t>parámetros productivos en ganadería                                                235</w:t>
        <w:br/>
        <w:t xml:space="preserve">   Figura 5.1. Resumen del contexto de la necesidad de búsqueda de alternativas             238</w:t>
        <w:br/>
        <w:br/>
        <w:t xml:space="preserve">   Tabla 5.1. Diseño de los grupos de estudio                                          246</w:t>
        <w:br/>
        <w:t xml:space="preserve">   Figura 5.3. Detalle de los grupos de estudio en el cebadero                             245</w:t>
        <w:br/>
        <w:t xml:space="preserve">   Figura 5.4. Báscula de pesaje electrónica en el cebadero                               249</w:t>
        <w:br/>
        <w:t xml:space="preserve">   Figura 5.6. Distintos tipos de lesiones neumónicas encontradas durante el análisis macroscópico</w:t>
        <w:br/>
        <w:br/>
        <w:t xml:space="preserve">   realizado tras el sacrificio de los animales en el matadero.                              256</w:t>
        <w:br/>
        <w:t xml:space="preserve">   Figura 5.7. Mejora en los indicadores sanitarios en el grupo suplementado con el posbiótico. (A) El</w:t>
        <w:br/>
        <w:t xml:space="preserve">  grupo control muestra mayor porcentaje de pulmones con lesiones neumónicas y (B) el grupo</w:t>
        <w:br/>
        <w:br/>
        <w:t xml:space="preserve">   control presenta lesiones más extensas, esto es, de mayor gravedad, que el grupo suplementado.</w:t>
        <w:br/>
        <w:t xml:space="preserve">   Los resultados se expresan en porcentaje de media y el error estándar de esta. (C) Mayor</w:t>
        <w:br/>
        <w:t xml:space="preserve">   porcentaje de decomisos en el grupo suplementado. (D) El patógeno Pasteurella spp. fue el</w:t>
        <w:br/>
        <w:t xml:space="preserve">   aislamiento predominante en los pulmones con lesiones neumónicas del grupo control, a</w:t>
        <w:br/>
        <w:br/>
        <w:t xml:space="preserve">   diferencia del grupo suplementado.                                               257</w:t>
        <w:br/>
        <w:t xml:space="preserve">   Figura 5.8. Mejora en los parámetros productivos del grupo suplementado. Los datos se expresan</w:t>
        <w:br/>
        <w:t xml:space="preserve">  como media y error estándar de la media. (Ai) El grupo suplementado partía de una media de</w:t>
        <w:br/>
        <w:br/>
        <w:t xml:space="preserve">   pesos menor antes del inicio de la experiencia (P=0,004) y (Aii) alcanzó el mismo peso final que el</w:t>
        <w:br/>
        <w:t xml:space="preserve">  grupo control al final del cebo (P=0,996) (B) El ritmo de crecimiento, expresado en Ganancia</w:t>
        <w:br/>
        <w:t xml:space="preserve">  Media Diaria (GMD, g), fue superior en el grupo suplementado (GMD en el primer periodo</w:t>
        <w:br/>
        <w:br/>
        <w:t xml:space="preserve">   P=0,0975, GMD total P=0,236). (C) El índice de conversión fue inferior en el grupo suplementado.</w:t>
        <w:br/>
        <w:t xml:space="preserve">                                                                              259</w:t>
        <w:br/>
        <w:br/>
        <w:t>CAPÍTULO VI: Administración de posbióticos para el control de tuberculosis en fauna silvestre    271</w:t>
        <w:br/>
        <w:t xml:space="preserve">   Figura 6.2. Categorización administrativa de las explotaciones y los terrenos cinegéticos. Fuente:</w:t>
        <w:br/>
        <w:br/>
        <w:t xml:space="preserve">   Guía de Aplicación para el sector cinegético del Real Decreto 138/2020, por el que se establece la</w:t>
        <w:br/>
        <w:t xml:space="preserve">   normativa básica en materia de actuaciones sanitarias en especies cinegéticas que actúan como</w:t>
        <w:br/>
        <w:t xml:space="preserve">   reservorio de la tuberculosis.                                                     276</w:t>
        <w:br/>
        <w:br/>
        <w:br/>
        <w:t xml:space="preserve">                                          MARÍA BRAVO SANTILLANA  42</w:t>
        <w:br/>
      </w:r>
    </w:p>
    <w:p>
      <w:r>
        <w:t>Página 43:</w:t>
        <w:br/>
        <w:t>IND| Figuras</w:t>
        <w:br/>
        <w:br/>
        <w:br/>
        <w:t xml:space="preserve">      Figura 6.3. Localización geográfica de las 20 fincas incluidas en el estudio                  281</w:t>
        <w:br/>
        <w:br/>
        <w:t xml:space="preserve">      Figura 6.4. Animal adulto junto a varios animales jóvenes (rayones)                      289</w:t>
        <w:br/>
        <w:br/>
        <w:t>BLOQUE III: Transferencia de tecnología y conocimiento científico                           297</w:t>
        <w:br/>
        <w:br/>
        <w:t xml:space="preserve">  CAPÍTULO VII: Difusión e impacto del conocimiento científico generado en la transferencia tecnológica</w:t>
        <w:br/>
        <w:br/>
        <w:t xml:space="preserve">                                                                                 301</w:t>
        <w:br/>
        <w:t xml:space="preserve">      Figura 7.1. Diagrama de flujo de los procesos del Departamento de Desarrollo de Productos   311</w:t>
        <w:br/>
        <w:br/>
        <w:br/>
        <w:br/>
        <w:br/>
        <w:br/>
        <w:t xml:space="preserve"> 43  MARÍA BRAVO SANTILLANA</w:t>
        <w:br/>
      </w:r>
    </w:p>
    <w:p>
      <w:r>
        <w:t>Página 44:</w:t>
        <w:br/>
        <w:t xml:space="preserve">                             AGR | Agradecimientos</w:t>
        <w:br/>
        <w:br/>
        <w:br/>
        <w:br/>
        <w:br/>
        <w:br/>
        <w:t>RESUMEN / ABSTRACT</w:t>
        <w:br/>
        <w:br/>
        <w:br/>
        <w:br/>
        <w:br/>
        <w:br/>
        <w:t xml:space="preserve">                                           MARÍA BRAVO SANTILLANA  44</w:t>
        <w:br/>
      </w:r>
    </w:p>
    <w:p>
      <w:r>
        <w:t>Página 45:</w:t>
        <w:br/>
        <w:t>RES | ES</w:t>
        <w:br/>
        <w:br/>
        <w:br/>
        <w:br/>
        <w:br/>
        <w:br/>
        <w:t xml:space="preserve"> 45  MARÍA BRAVO SANTILLANA</w:t>
        <w:br/>
      </w:r>
    </w:p>
    <w:p>
      <w:r>
        <w:t>Página 46:</w:t>
        <w:br/>
        <w:t xml:space="preserve">                                              RES | ES</w:t>
        <w:br/>
        <w:br/>
        <w:t>RESUMEN</w:t>
        <w:br/>
        <w:br/>
        <w:br/>
        <w:t>La compleja interacción entre la microbiota y su hospedador constituye un modelo de</w:t>
        <w:br/>
        <w:br/>
        <w:t>estudio que puede ser replicado para el desarrollo lo de nuevas herramientas que</w:t>
        <w:br/>
        <w:t>contribuyan al control de determinadas enfermedades. Los animales silvestres tienen</w:t>
        <w:br/>
        <w:br/>
        <w:t>una microbiota que destaca por ser más diversa y funcional y esta es, por tanto, una</w:t>
        <w:br/>
        <w:t>fuente de microorganismos beneficiosos que pueden ser explotados industrialmente</w:t>
        <w:br/>
        <w:br/>
        <w:t>para la obtención de compuestos bioactivos. La microbiota de los animales silvestres</w:t>
        <w:br/>
        <w:t>resistentes de forma natural al desarrollo de ciertas enfermedades podría servir, por</w:t>
        <w:br/>
        <w:br/>
        <w:t>tanto, como alternativa innovadora para el control de esas afecciones en otros animales</w:t>
        <w:br/>
        <w:t>más susceptibles. Las bacterias ácido-lácticas que forman parte de la microbiota</w:t>
        <w:br/>
        <w:br/>
        <w:t>favorecen los mecanismos de defensa del hospedador debido, fundamentalmente, a sus</w:t>
        <w:br/>
        <w:br/>
        <w:t>propiedades para producir moléculas antimicrobianas y a su capacidad de interacción</w:t>
        <w:br/>
        <w:t>con el sistema inmunitario. Gracias a sus aplicaciones tecnológicas, se utilizan desde</w:t>
        <w:br/>
        <w:br/>
        <w:t>hace décadas en formulaciones como los probióticos o los posbióticos, que han</w:t>
        <w:br/>
        <w:t>demostrado aportar numerosos beneficios para la salud de los animales en los que son</w:t>
        <w:br/>
        <w:br/>
        <w:t>utilizadas. Los posbióticos son unos productos innovadores, recientemente definidos y</w:t>
        <w:br/>
        <w:t>aceptados por la comunidad científica, que contienen los subproductos metabólicos</w:t>
        <w:br/>
        <w:br/>
        <w:t>bioactivos, así como los componentes estructurales bacterianos en una preparación</w:t>
        <w:br/>
        <w:t>final obtenida a partir de la fermentación microbiana controlada.</w:t>
        <w:br/>
        <w:br/>
        <w:t>En esta tesis doctoral se describen los procedimientos de aislamiento y caracterización</w:t>
        <w:br/>
        <w:br/>
        <w:t>de bacterias con propiedades antimicrobianas e inmunomoduladoras de la microbiota</w:t>
        <w:br/>
        <w:t>de jabalíes, así como los criterios de selección de candidatas a ser utilizadas para el</w:t>
        <w:br/>
        <w:br/>
        <w:t>diseño de un pienso funcional. Asimismo, la gran novedad de esta tesis de Doctorado</w:t>
        <w:br/>
        <w:br/>
        <w:t>Industrial supone culminar con su investigación aplicada mediante la elaboración de un</w:t>
        <w:br/>
        <w:t>producto posbiótico que incluye diversos estudios de validación en condiciones</w:t>
        <w:br/>
        <w:br/>
        <w:t>experimentales y su ratificación en situaciones reales en sanidad animal, tanto en fauna</w:t>
        <w:br/>
        <w:t>salvaje como en animales destinados a producción.</w:t>
        <w:br/>
        <w:br/>
        <w:t>Se encontró un perfil predominante de lactobacilos en poblaciones de jabalíes libres de</w:t>
        <w:br/>
        <w:br/>
        <w:t>tuberculosis, pese a estar localizadas en zonas catalogadas como de alto riesgo de esta</w:t>
        <w:br/>
        <w:br/>
        <w:br/>
        <w:br/>
        <w:t xml:space="preserve">                                            MARÍA BRAVO SANTILLANA  46</w:t>
        <w:br/>
      </w:r>
    </w:p>
    <w:p>
      <w:r>
        <w:t>Página 47:</w:t>
        <w:br/>
        <w:t>RES | ES</w:t>
        <w:br/>
        <w:br/>
        <w:t>enfermedad, que es una de las más importantes que afectan a la cabaña ganadera y a la</w:t>
        <w:br/>
        <w:br/>
        <w:t>fauna silvestre. Las características antagonistas de las bacterias ácido-lácticas (BAL)</w:t>
        <w:br/>
        <w:t>aisladas en estos animales frente a Mycobacterium bovis, el agente causal de la</w:t>
        <w:br/>
        <w:br/>
        <w:t>tuberculosis, parecen indicar que la microbiota juega un papel fundamental en la</w:t>
        <w:br/>
        <w:t>protección del hospedador frente al desarrollo de la patología. Todas las bacterias</w:t>
        <w:br/>
        <w:br/>
        <w:t>aisladas de este grupo de fincas, con la situación sanitaria excepcional descrita, se</w:t>
        <w:br/>
        <w:t>consideran seguras para su utilización en diferentes fórmulas y muestran proximidad</w:t>
        <w:br/>
        <w:br/>
        <w:t>filogenética con cepas de diverso origen, muchas de ellas utilizadas en productos</w:t>
        <w:br/>
        <w:t>comerciales. Además, poseen moléculas que pueden actuar como inmunomoduladoras</w:t>
        <w:br/>
        <w:br/>
        <w:t>activando rutas inmunitarias como la NF-kB o la ruta del interferón (IFN). Por el</w:t>
        <w:br/>
        <w:br/>
        <w:t>contrario, se encontró un perfil totalmente diferente en las fincas con alta prevalencia</w:t>
        <w:br/>
        <w:t>de tuberculosis, con abundancia de enterococos relacionados filogenéticamente con</w:t>
        <w:br/>
        <w:br/>
        <w:t>cepas patógenas y que además contienen en el genoma varios genes de resistencia</w:t>
        <w:br/>
        <w:t>antimicrobiana y determinantes de virulencia. Estos enterococos no mostraron un perfil</w:t>
        <w:br/>
        <w:br/>
        <w:t>inhibitorio frente M. bovis, pero sí frente a E. coli, y poseen genes que codifican para la</w:t>
        <w:br/>
        <w:t>producción de metabolitos antimicrobianos,  incluidos  las bacteriocinas, pero no</w:t>
        <w:br/>
        <w:br/>
        <w:t>parecen interaccionar con ninguna de las rutas inmunitarias estudiadas. Los pediococos</w:t>
        <w:br/>
        <w:t>fueron encontrados en ambos grupos de estudio y mostraron un gran potencial</w:t>
        <w:br/>
        <w:br/>
        <w:t>beneficioso, en especial un aislado de P. acidilactici productor de pediocina que muestra</w:t>
        <w:br/>
        <w:br/>
        <w:t>una actividad antimicrobiana muy potente frente a Listeria monocytogenes.</w:t>
        <w:br/>
        <w:br/>
        <w:br/>
        <w:t>Los lactobacilos que mayor potencial beneficioso mostraron se estudiaron en mayor</w:t>
        <w:br/>
        <w:t>profundidad para optimizar la producción de metabolitos antimicrobianos con potencial</w:t>
        <w:br/>
        <w:br/>
        <w:t>inhibitorio frente a varios patógenos de importancia veterinaria. La fracción molecular</w:t>
        <w:br/>
        <w:t>que mayor influencia tiene sobre la actividad detectada fueron de origen proteico,</w:t>
        <w:br/>
        <w:br/>
        <w:t>incluidas las bacteriocinas de diferentes clases que, en ocasiones, actúan de forma</w:t>
        <w:br/>
        <w:t>sinérgica entre ellas y con antimicrobianos de diversas familias. De hecho, el primer</w:t>
        <w:br/>
        <w:br/>
        <w:t>modelo experimental propuesto en esta tesis doctoral consistió en una infección por</w:t>
        <w:br/>
        <w:br/>
        <w:t>Pasteurella multocida en modelo ratón, seguido de la administración de un suplemento</w:t>
        <w:br/>
        <w:t>elaborado a partir de los metabolitos, producidos por una bacteria con actividad frente</w:t>
        <w:br/>
        <w:br/>
        <w:t>a este patógeno, y el antibiótico doxiciclina, que mostraron sinergia funcional en los</w:t>
        <w:br/>
        <w:t>estudios in vitro. El suplemento elaborado mejoró la supervivencia de los ratones</w:t>
        <w:br/>
        <w:br/>
        <w:br/>
        <w:t xml:space="preserve"> 47  MARÍA BRAVO SANTILLANA</w:t>
        <w:br/>
      </w:r>
    </w:p>
    <w:p>
      <w:r>
        <w:t>Página 48:</w:t>
        <w:br/>
        <w:t xml:space="preserve">                                              RES | ES</w:t>
        <w:br/>
        <w:br/>
        <w:t>infectados con la dosis letal absoluta cuando se utilizó una terapia combinada con</w:t>
        <w:br/>
        <w:br/>
        <w:t>doxiciclina, en comparación con los ratones que únicamente recibieron el antibiótico o</w:t>
        <w:br/>
        <w:t>el suplemento.</w:t>
        <w:br/>
        <w:br/>
        <w:br/>
        <w:t>A partir de la caracterización microbiana y de la información obtenida de las etapas</w:t>
        <w:br/>
        <w:br/>
        <w:t>anteriores, se llevó a cabo una etapa final que consistió en la elaboración de sendos</w:t>
        <w:br/>
        <w:t>productos posbióticos específicamente diseñados para la mejora de los indicadores</w:t>
        <w:br/>
        <w:br/>
        <w:t>sanitarios y productivos en ganadería y para el control de la tuberculosis en fauna</w:t>
        <w:br/>
        <w:t>salvaje. El primer producto posbiótico mejoró la prevalencia y gravedad de las lesiones</w:t>
        <w:br/>
        <w:br/>
        <w:t>neumónicas y se asoció a un mayor ritmo de crecimiento de los animales, lo que se</w:t>
        <w:br/>
        <w:br/>
        <w:t>tradujo en una mejor eficiencia alimentaria en corderos en cebo cuyo principal problema</w:t>
        <w:br/>
        <w:t>sanitario consiste en la patología producida por Pasteurella multocida. El segundo</w:t>
        <w:br/>
        <w:br/>
        <w:t>producto posbiótico se asoció a una disminución en la incidencia de tuberculosis, así</w:t>
        <w:br/>
        <w:t>como en  la  presencia de  lesiones compatibles con  esta enfermedad y en  la</w:t>
        <w:br/>
        <w:br/>
        <w:t>seroprevalencia de anticuerpos frente a M. bovis, agente causal de la misma, en</w:t>
        <w:br/>
        <w:t>poblaciones de jabalíes expuestos de forma natural a la infección. Por tanto, la</w:t>
        <w:br/>
        <w:br/>
        <w:t>utilización de posbióticos en ganadería constituye una herramienta innovadora para</w:t>
        <w:br/>
        <w:t>limitar la administración de antimicrobianos a situaciones terapéuticas, satisfaciendo el</w:t>
        <w:br/>
        <w:br/>
        <w:t>incremento en  la demanda de productos de origen animal. Por otro  lado,  la</w:t>
        <w:br/>
        <w:br/>
        <w:t>administración de posbióticos puede ser considerada como una estrategia factible para</w:t>
        <w:br/>
        <w:t>el control de la tuberculosis e introducirse como herramienta complementaria en los</w:t>
        <w:br/>
        <w:br/>
        <w:t>programas de erradicación de la enfermedad a gran escala.</w:t>
        <w:br/>
        <w:br/>
        <w:br/>
        <w:t>El método desarrollado en esta tesis de Doctorado Industrial ha tenido un impacto</w:t>
        <w:br/>
        <w:t>significativo sobre la actividad de la empresa INGULADOS, que ha visto incrementada su</w:t>
        <w:br/>
        <w:br/>
        <w:t>competitividad en el sector, debido a que el lanzamiento de una gama de productos</w:t>
        <w:br/>
        <w:t>posbióticos ha favorecido la creación de una nueva línea de trabajo y un nuevo perfil</w:t>
        <w:br/>
        <w:br/>
        <w:t>laboral. Además de las publicaciones científicas generadas y su difusión, la transferencia</w:t>
        <w:br/>
        <w:br/>
        <w:t>tecnológica se ha materializado en la solicitud de dos patentes de invención. Los</w:t>
        <w:br/>
        <w:t>estudios de esta tesis doctoral han incrementado el conocimiento disponible sobre la</w:t>
        <w:br/>
        <w:br/>
        <w:t>interacción entre el hospedador y su microbiota y arroja grandes prospectivas de futuro</w:t>
        <w:br/>
        <w:t>a la utilización de elementos innovadores en Sanidad y Producción Animal.</w:t>
        <w:br/>
        <w:br/>
        <w:br/>
        <w:t xml:space="preserve">                                            MARÍA BRAVO SANTILLANA  48</w:t>
        <w:br/>
      </w:r>
    </w:p>
    <w:p>
      <w:r>
        <w:t>Página 50:</w:t>
        <w:br/>
        <w:t xml:space="preserve">                                             RES | ENG</w:t>
        <w:br/>
        <w:br/>
        <w:br/>
        <w:t>ABSTRACT</w:t>
        <w:br/>
        <w:br/>
        <w:br/>
        <w:t>The crosstalk between the microbiota and its host represents a study model that can be</w:t>
        <w:br/>
        <w:br/>
        <w:t>replicated for the development of novel tools to control certain diseases. Wild animals</w:t>
        <w:br/>
        <w:t>harbor a microbiota that overhangs for the greater diversity and functionality. Hence, it</w:t>
        <w:br/>
        <w:br/>
        <w:t>is presented as a source of beneficial microorganisms that can be industrially exploited</w:t>
        <w:br/>
        <w:br/>
        <w:t>to obtain bioactive compounds. The microbiota of animals being naturally resistant to</w:t>
        <w:br/>
        <w:t>the development of certain diseases could therefore serve as an innovative alternative</w:t>
        <w:br/>
        <w:br/>
        <w:t>for its control in susceptible animals. The lactic acid bacteria from of the microbiota</w:t>
        <w:br/>
        <w:t>favor the defense mechanisms of the host, mainly due to their properties to produce</w:t>
        <w:br/>
        <w:br/>
        <w:t>antimicrobial molecules and their ability to interact with the immune system. Due to</w:t>
        <w:br/>
        <w:t>their technological applications, they have been used for decades in formulations such</w:t>
        <w:br/>
        <w:br/>
        <w:t>as probiotics or postbiotics, which have demonstrated to provide numerous benefits for</w:t>
        <w:br/>
        <w:t>the health of the animals in which they are used. Postbiotics are innovative products,</w:t>
        <w:br/>
        <w:br/>
        <w:t>recently defined and accepted by the scientific community, which contain bioactive</w:t>
        <w:br/>
        <w:br/>
        <w:t>metabolic by-products, as well as bacterial structural components in a final preparation</w:t>
        <w:br/>
        <w:t>obtained from controlled microbial fermentation.</w:t>
        <w:br/>
        <w:br/>
        <w:t>This doctoral thesis describes the procedures for the isolation and characterization of</w:t>
        <w:br/>
        <w:br/>
        <w:t>bacteria  with  antimicrobial and immunomodulatory  properties from  wild boar</w:t>
        <w:br/>
        <w:t>microbiota, as well as the criteria for selecting candidates to be used for the design of a</w:t>
        <w:br/>
        <w:br/>
        <w:t>functional feed. Similarly, the great novelty of this Industrial Doctorate thesis supposes</w:t>
        <w:br/>
        <w:t>concluding with its applied research through the elaboration of a postbiotic product.</w:t>
        <w:br/>
        <w:br/>
        <w:t>The  development  of  the  postbiotic  includes  several  validation  studies  under</w:t>
        <w:br/>
        <w:t>experimental conditions and its ratification in real situations in animal health, both in</w:t>
        <w:br/>
        <w:br/>
        <w:t>wildlife and livestock.</w:t>
        <w:br/>
        <w:br/>
        <w:br/>
        <w:t>A predominant profile of lactobacilli was found in populations of tuberculosis (TB) free</w:t>
        <w:br/>
        <w:br/>
        <w:t>wild boar, despite living in areas classified as high risk for this disease, which is one of</w:t>
        <w:br/>
        <w:t>the most important affecting both livestock and wildlife. The antagonistic characteristics</w:t>
        <w:br/>
        <w:br/>
        <w:t>of lactic acid bacteria (LAB) isolated in these animals against Mycobacterium bovis, the</w:t>
        <w:br/>
        <w:br/>
        <w:br/>
        <w:br/>
        <w:t xml:space="preserve">                                            MARÍA BRAVO SANTILLANA  50</w:t>
        <w:br/>
      </w:r>
    </w:p>
    <w:p>
      <w:r>
        <w:t>Página 51:</w:t>
        <w:br/>
        <w:t>RES | ENG</w:t>
        <w:br/>
        <w:br/>
        <w:t>causative agent of TB, seem to indicate that the microbiota plays an essential role in the</w:t>
        <w:br/>
        <w:br/>
        <w:t>protection against the development of the disease. All bacteria isolated from the group</w:t>
        <w:br/>
        <w:t>with this exceptional health status, are considered safe for its use in different formulas</w:t>
        <w:br/>
        <w:br/>
        <w:t>and show phylogenetic proximity with strains of diverse origin, including strains used in</w:t>
        <w:br/>
        <w:t>commercial products. In addition, the isolates harbor immunomodulatory molecules</w:t>
        <w:br/>
        <w:br/>
        <w:t>activating immune pathways such as NF-kB or the interferon pathway (IFN). On the</w:t>
        <w:br/>
        <w:t>contrary, a totally different profile was found in populations with a high prevalence of</w:t>
        <w:br/>
        <w:br/>
        <w:t>TB, with an abundance of enterococci closely related to pathogenic strains and</w:t>
        <w:br/>
        <w:t>containing several genes for antimicrobial resistance and virulence determinants within</w:t>
        <w:br/>
        <w:br/>
        <w:t>their genomes. These enterococci did not show an inhibitory profile against M. bovis,</w:t>
        <w:br/>
        <w:br/>
        <w:t>but they did against E. coli, and they possess genes encoding for the production of</w:t>
        <w:br/>
        <w:t>antimicrobial metabolites, including bacteriocins. However, these isolates do not seem</w:t>
        <w:br/>
        <w:br/>
        <w:t>to interact with any of the immune pathways studied. Pediococci were found in both</w:t>
        <w:br/>
        <w:t>study groups and showed great beneficial potential, especially a pediocin-producing P.</w:t>
        <w:br/>
        <w:br/>
        <w:t>acidilactici  isolate showing a  very  strong  antimicrobial  activity  against  Listeria</w:t>
        <w:br/>
        <w:t>monocytogenes.</w:t>
        <w:br/>
        <w:br/>
        <w:br/>
        <w:t>The lactobacilli that showed the greatest beneficial potential were deeply investigated</w:t>
        <w:br/>
        <w:br/>
        <w:t>to optimize the production of antimicrobial metabolites with inhibitory potential against</w:t>
        <w:br/>
        <w:br/>
        <w:t>various pathogens of veterinary importance. The molecular fraction that has the</w:t>
        <w:br/>
        <w:t>greatest influence on the activity detected were of protein origin, including bacteriocins</w:t>
        <w:br/>
        <w:br/>
        <w:t>of different classes that occasionally act synergistically with each other and with</w:t>
        <w:br/>
        <w:t>antimicrobials. In fact, the first experimental model proposed in this doctoral thesis is</w:t>
        <w:br/>
        <w:br/>
        <w:t>an infection by Pasteurella multocida in a mouse model, followed by the administration</w:t>
        <w:br/>
        <w:t>of a supplement produced from microbial metabolites with in vitro activity against this</w:t>
        <w:br/>
        <w:br/>
        <w:t>pathogen, and the doxycycline. The supplement improved the survival of mice infected</w:t>
        <w:br/>
        <w:t>with the absolute lethal dose when combined with doxycycline, compared to mice that</w:t>
        <w:br/>
        <w:br/>
        <w:t>received only the antibiotic or the supplement.</w:t>
        <w:br/>
        <w:br/>
        <w:br/>
        <w:t>Based on the microbial characterization and the information obtained from the previous</w:t>
        <w:br/>
        <w:br/>
        <w:t>phases, a final stage was carried out with the elaboration of two postbiotics. Both</w:t>
        <w:br/>
        <w:t>products were specifically designed for the improvement of the sanitary and productive</w:t>
        <w:br/>
      </w:r>
    </w:p>
    <w:p>
      <w:r>
        <w:t>Página 52:</w:t>
        <w:br/>
        <w:t xml:space="preserve">                                             RES | ENG</w:t>
        <w:br/>
        <w:br/>
        <w:t>indicators in livestock and for the control of TB in wildlife, respectively. The first</w:t>
        <w:br/>
        <w:br/>
        <w:t>postbiotic product improved the prevalence and severity of pneumonic lesions in</w:t>
        <w:br/>
        <w:t>fattening lambs whose main health problem is the pathology produced by Pasteurella</w:t>
        <w:br/>
        <w:br/>
        <w:t>multocida. The postbiotic supplementation was also associated with a higher growth</w:t>
        <w:br/>
        <w:t>rate of the animals translating to better feed efficiency. The second postbiotic product</w:t>
        <w:br/>
        <w:br/>
        <w:t>was associated with a decrease in the incidence of tuberculosis, along with a reduction</w:t>
        <w:br/>
        <w:t>in the presence of lesions compatible with this disease and in the seroprevalence of</w:t>
        <w:br/>
        <w:br/>
        <w:t>antibodies against M. bovis in naturally exposed wild boar. Therefore, the use of</w:t>
        <w:br/>
        <w:t>postbiotics in livestock is presented as an innovative tool to limit the administration of</w:t>
        <w:br/>
        <w:br/>
        <w:t>antimicrobials to therapeutic situations, satisfying the increased demand for products</w:t>
        <w:br/>
        <w:br/>
        <w:t>of animal origin. On the other hand, the administration of postbiotics can be considered</w:t>
        <w:br/>
        <w:t>as a feasible strategy for the control of TB and can be introduced as a complementary</w:t>
        <w:br/>
        <w:br/>
        <w:t>tool in large-scale eradication programs of the disease.</w:t>
        <w:br/>
        <w:br/>
        <w:br/>
        <w:t>The method developed in this Industrial Doctorate thesis has had a significant impact on</w:t>
        <w:br/>
        <w:t>the activity of INGULADOS. The company has increased its competitiveness within its</w:t>
        <w:br/>
        <w:br/>
        <w:t>sector, since the launch of a range of postbiotic products has favored the creation of a</w:t>
        <w:br/>
        <w:t>new line of work and a new job profile. In addition to the scientific publications</w:t>
        <w:br/>
        <w:br/>
        <w:t>generated and their communication, technology transfer has resulted in the application</w:t>
        <w:br/>
        <w:br/>
        <w:t>for two invention patents. The studies of this doctoral thesis have increased the</w:t>
        <w:br/>
        <w:t>available knowledge on the interaction between the host and its microbiota and show</w:t>
        <w:br/>
        <w:br/>
        <w:t>great future prospects for the use of innovative elements in Animal Health and</w:t>
        <w:br/>
        <w:t>Production.</w:t>
        <w:br/>
        <w:br/>
        <w:br/>
        <w:br/>
        <w:br/>
        <w:br/>
        <w:t xml:space="preserve">                                            MARÍA BRAVO SANTILLANA  52</w:t>
        <w:br/>
      </w:r>
    </w:p>
    <w:p>
      <w:r>
        <w:t>Página 53:</w:t>
        <w:br/>
        <w:t>RES | ENG</w:t>
        <w:br/>
      </w:r>
    </w:p>
    <w:p>
      <w:r>
        <w:t>Página 54:</w:t>
        <w:br/>
        <w:t xml:space="preserve">                                            RES | ENG</w:t>
        <w:br/>
        <w:br/>
        <w:br/>
        <w:br/>
        <w:t>REVISIÓN DE ANTECEDENTES Y MARCO TEÓRICO</w:t>
        <w:br/>
        <w:br/>
        <w:br/>
        <w:br/>
        <w:br/>
        <w:br/>
        <w:t xml:space="preserve">                                           MARÍA BRAVO SANTILLANA  54</w:t>
        <w:br/>
      </w:r>
    </w:p>
    <w:p>
      <w:r>
        <w:t>Página 58:</w:t>
        <w:br/>
        <w:t xml:space="preserve">                        REV | Antecedentes y marco teórico</w:t>
        <w:br/>
        <w:br/>
        <w:t>Importancia de la microbiota en los hospedadores</w:t>
        <w:br/>
        <w:br/>
        <w:br/>
        <w:t>La «microbiota» es un complejo ecosistema formado por todos los microorganismos que</w:t>
        <w:br/>
        <w:br/>
        <w:t>residen de forma habitual en un organismo superior, denominado «hospedador». Este</w:t>
        <w:br/>
        <w:t>conjunto de microorganismos  coloniza  los  tejidos sanos de  los hospedadores,</w:t>
        <w:br/>
        <w:br/>
        <w:t>especialmente aquellas superficies que están más expuestas al medioambiente como la</w:t>
        <w:br/>
        <w:br/>
        <w:t>piel, las cavidades oral y nasofaríngea, el tracto genitourinario y a lo largo de todo el</w:t>
        <w:br/>
        <w:t>tracto gastrointestinal, que es la microbiota más extensa y también la más estudiada</w:t>
        <w:br/>
        <w:br/>
        <w:t>(Karczewski et al., 2014; Schwiertz y Rusch, 2016). Además, también se ha comprobado</w:t>
        <w:br/>
        <w:t>que existe una población microbiana en el tracto respiratorio, incluidos los pulmones, y</w:t>
        <w:br/>
        <w:br/>
        <w:t>en otras partes del cuerpo que se consideraban hasta hace muy poco estériles, como la</w:t>
        <w:br/>
        <w:t>placenta de los mamíferos (Pelzer et al., 2017; Schwiertz y Rusch, 2016). La microbiota</w:t>
        <w:br/>
        <w:br/>
        <w:t>puede ser autóctona, cuando reside de forma permanente en el hospedador y establece</w:t>
        <w:br/>
        <w:t>con él una relación de simbiosis, contribuyendo de forma esencial al desarrollo de</w:t>
        <w:br/>
        <w:br/>
        <w:t>funciones importantes para el mismo; o alóctona, cuando solo está presente de forma</w:t>
        <w:br/>
        <w:br/>
        <w:t>transitoria en un momento concreto de la vida del animal y puede o no establecer una</w:t>
        <w:br/>
        <w:t>relación de simbiosis con él (Nava y Stappenbeck, 2011). Hablando estrictamente, la</w:t>
        <w:br/>
        <w:br/>
        <w:t>microbiota es el conjunto de los taxones microbiológicos, mientras que al conjunto del</w:t>
        <w:br/>
        <w:t>material genético que alberga se le conoce con el término «microbioma» (Mohajeri et</w:t>
        <w:br/>
        <w:br/>
        <w:t>al., 2018).</w:t>
        <w:br/>
        <w:br/>
        <w:br/>
        <w:t>La microbiota está compuesta principalmente por bacterias y, en una menor proporción,</w:t>
        <w:br/>
        <w:t>por arqueas, virus y por eucariotas como los hongos, las levaduras y los nematodos</w:t>
        <w:br/>
        <w:br/>
        <w:t>(Kapitan et al., 2018; Schwiertz y Rusch, 2016). Es complicado establecer unas líneas</w:t>
        <w:br/>
        <w:br/>
        <w:t>generales en relación a la composición de la microbiota por taxones, puesto que son</w:t>
        <w:br/>
        <w:t>muchos los factores que afectan a la distribución de las poblaciones microbianas en los</w:t>
        <w:br/>
        <w:br/>
        <w:t>animales: la predisposición genética, la edad, la alimentación, el hábitat, los factores</w:t>
        <w:br/>
        <w:t>relacionados con el estrés, el consumo de determinados medicamentos (Bahrndorff et</w:t>
        <w:br/>
        <w:br/>
        <w:t>al., 2016; Correa-Fiz et al., 2019; Qin et al., 2020)… De esta manera, la microbiota difiere</w:t>
        <w:br/>
        <w:t>entre  las especies animales debido a  las diferencias existentes en los procesos</w:t>
        <w:br/>
        <w:br/>
        <w:t>metabólicos y fisiológicos. Las poblaciones microbianas se encuentran distribuidas en</w:t>
        <w:br/>
        <w:t>nichos altamente especializados para la realización de funciones determinadas dentro</w:t>
        <w:br/>
        <w:br/>
        <w:br/>
        <w:t xml:space="preserve">                                            MARÍA BRAVO SANTILLANA  58</w:t>
        <w:br/>
      </w:r>
    </w:p>
    <w:p>
      <w:r>
        <w:t>Página 59:</w:t>
        <w:br/>
        <w:t>REV | Antecedentes y marco teórico</w:t>
        <w:br/>
        <w:br/>
        <w:t>de los órganos y sistemas (Huttenhower et al., 2012; Nava y Stappenbeck, 2011). Así,</w:t>
        <w:br/>
        <w:br/>
        <w:t>podemos encontrar una población microbiana muy diversa en el tracto gastrointestinal,</w:t>
        <w:br/>
        <w:t>que se encuentra distribuida de forma estratégica a lo largo del mismo (Nava y</w:t>
        <w:br/>
        <w:br/>
        <w:t>Stappenbeck, 2011) y que es muy diferente en animales rumiantes y monogástricos</w:t>
        <w:br/>
        <w:t>(O’Donnell et al., 2017); y una microbiota mucho menos diversa en el tracto urogenital,</w:t>
        <w:br/>
        <w:br/>
        <w:t>porque sus funciones son más limitadas, aunque no por ello son menos importantes</w:t>
        <w:br/>
        <w:t>(Huttenhower et  al., 2012; Thomas-White et  al., 2018). La primera colonización</w:t>
        <w:br/>
        <w:br/>
        <w:t>microbiana en el caso de los mamíferos se produce principalmente a través del canal del</w:t>
        <w:br/>
        <w:t>parto de la madre y de la leche materna pero recientemente se han descrito algunos</w:t>
        <w:br/>
        <w:br/>
        <w:t>estudios que podrían evidenciar que esa primera colonización podría tener lugar</w:t>
        <w:br/>
        <w:br/>
        <w:t>previamente, a través de la placenta, que hasta hace muy poco se consideraba estéril</w:t>
        <w:br/>
        <w:t>(Pelzer et al., 2017; Schwiertz y Rusch, 2016). La microbiota en los animales comienza a</w:t>
        <w:br/>
        <w:br/>
        <w:t>desarrollarse tras el nacimiento, o antes de él, y va evolucionando durante las primeras</w:t>
        <w:br/>
        <w:t>etapas de su vida hasta establecerse en su hospedador (Karczewski et al., 2014).</w:t>
        <w:br/>
        <w:br/>
        <w:br/>
        <w:t>Los factores que pueden influir en el establecimiento de las diferentes poblaciones</w:t>
        <w:br/>
        <w:br/>
        <w:t>microbianas son muchos y muy diversos, algunos todavía desconocidos, e incluyen la</w:t>
        <w:br/>
        <w:t>edad, factores asociados al estrés como factores ambientales, la alimentación, la</w:t>
        <w:br/>
        <w:br/>
        <w:t>localización geográfica… (Bahrndorff et al., 2016; Karczewski et al., 2014). Las diferencias</w:t>
        <w:br/>
        <w:br/>
        <w:t>interindividuales han sido más estudiadas en la especie humana, están relacionadas con</w:t>
        <w:br/>
        <w:t>predisposiciones genéticas y pueden condicionar al padecimiento de determinadas</w:t>
        <w:br/>
        <w:br/>
        <w:t>enfermedades (Ahern y Maloy, 2020; Karczewski et al., 2014).</w:t>
        <w:br/>
        <w:br/>
        <w:br/>
        <w:br/>
        <w:t>Funciones de la microbiota como parte de la relación simbiótica con su hospedador</w:t>
        <w:br/>
        <w:br/>
        <w:t>Las  poblaciones de microorganismos que forman  parte de  la  microbiota han</w:t>
        <w:br/>
        <w:t>coevolucionado con sus hospedadores hasta establecerse como parte de los mismos</w:t>
        <w:br/>
        <w:br/>
        <w:t>mediante un largo proceso de selección natural (Moya et al., 2008). El proceso dinámico</w:t>
        <w:br/>
        <w:t>de coevolución ha supuesto un gran impacto en la evolución animal, gracias a que los</w:t>
        <w:br/>
        <w:br/>
        <w:t>microorganismos han establecido con el organismo superior una relación de simbiosis</w:t>
        <w:br/>
        <w:br/>
        <w:t>(Bahrndorff et al., 2016; Moya et al., 2008), participando en el desarrollo de numerosos</w:t>
        <w:br/>
        <w:t>procesos fisiológicos. Este tipo de asociación simbiótica se produce en la naturaleza</w:t>
        <w:br/>
        <w:br/>
        <w:br/>
        <w:t xml:space="preserve"> 59  MARÍA BRAVO SANTILLANA</w:t>
        <w:br/>
      </w:r>
    </w:p>
    <w:p>
      <w:r>
        <w:t>Página 60:</w:t>
        <w:br/>
        <w:t xml:space="preserve">                        REV | Antecedentes y marco teórico</w:t>
        <w:br/>
        <w:br/>
        <w:t>cuando dos organismos o grupos de organismos se benefician el uno del otro, lo que se</w:t>
        <w:br/>
        <w:br/>
        <w:t>conoce como «mutualismo»; o cuando solo uno de ellos recibe el beneficio, sin</w:t>
        <w:br/>
        <w:t>ocasionar ningún perjuicio al otro, que recibe el nombre de «comensalismo». Además,</w:t>
        <w:br/>
        <w:br/>
        <w:t>en función de la localización del microorganismo en el hospedador, se puede distinguir</w:t>
        <w:br/>
        <w:t>entre «ectosimbiosis», cuando están alojados en la superficie de algunos órganos o</w:t>
        <w:br/>
        <w:br/>
        <w:t>mucosas; y «endosimbiosis», cuando residen dentro de células eucariotas especializadas</w:t>
        <w:br/>
        <w:t>y han coevolucionado con el hospedador contribuyendo al mantenimiento de funciones</w:t>
        <w:br/>
        <w:br/>
        <w:t>de una importancia vital para el mismo (Moya et al., 2008).</w:t>
        <w:br/>
        <w:br/>
        <w:br/>
        <w:t>Por todo esto, las funciones que desempeñan las diferentes microbiotas en los</w:t>
        <w:br/>
        <w:br/>
        <w:t>hospedadores son importantes para el correcto funcionamiento de sus aparatos y</w:t>
        <w:br/>
        <w:t>sistemas y son, por tanto, esenciales para garantizar un buen estado de salud. La</w:t>
        <w:br/>
        <w:br/>
        <w:t>microbiota más ampliamente estudiada y que aporta mayores funciones para el</w:t>
        <w:br/>
        <w:t>organismo superior es la microbiota que reside en el aparato digestivo (Figura A) y, en</w:t>
        <w:br/>
        <w:br/>
        <w:t>concreto, las poblaciones bacterianas que forman parte de la microbiota intestinal</w:t>
        <w:br/>
        <w:t>(Ahern y Maloy, 2020; Alam y Neish, 2018; Kim et al., 2017).</w:t>
        <w:br/>
        <w:br/>
        <w:br/>
        <w:br/>
        <w:br/>
        <w:br/>
        <w:t xml:space="preserve">   Figura A. Funciones de la microbiota intestinal. Fuente: adaptado de Biocodex-Microbiota Institute</w:t>
        <w:br/>
        <w:br/>
        <w:br/>
        <w:t>La microbiota gastrointestinal participa activamente en los procesos metabólicos. Por</w:t>
        <w:br/>
        <w:br/>
        <w:t>un  lado, favorece  la  digestión de  los alimentos llevando a cabo procesos de</w:t>
        <w:br/>
        <w:t>fermentación de fibras solubles, como celulosas o pectinas y otros hidratos de carbono</w:t>
        <w:br/>
        <w:br/>
        <w:br/>
        <w:br/>
        <w:t xml:space="preserve">                                            MARÍA BRAVO SANTILLANA  60</w:t>
        <w:br/>
      </w:r>
    </w:p>
    <w:p>
      <w:r>
        <w:t>Página 61:</w:t>
        <w:br/>
        <w:t>REV | Antecedentes y marco teórico</w:t>
        <w:br/>
        <w:br/>
        <w:t>complejos, como los almidones, produciendo ácidos grasos de cadena corta (AGCC)</w:t>
        <w:br/>
        <w:br/>
        <w:t>como acetato, propionato o butirato, que sirven como fuente de energía para las células</w:t>
        <w:br/>
        <w:t>epiteliales intestinales (Lee y Hase, 2014; Rowland et al., 2018). Este proceso se hace</w:t>
        <w:br/>
        <w:br/>
        <w:t>mucho más patente en rumiantes, puesto que la base de su metabolismo en el rumen</w:t>
        <w:br/>
        <w:t>se fundamenta en la obtención de energía en forma de AGCC a partir de la degradación</w:t>
        <w:br/>
        <w:br/>
        <w:t>de la celulosa de las plantas por parte de la microbiota ruminal (Hooper et al., 2002). La</w:t>
        <w:br/>
        <w:t>función metabólica también incluye la síntesis de vitaminas, especialmente la vitamina</w:t>
        <w:br/>
        <w:br/>
        <w:t>K y algunas vitaminas del grupo B, incluida la biotina, la cobalamina, el folato, la tiamina</w:t>
        <w:br/>
        <w:t>y la riboflavina, entre otras (Hooper et al., 2002; Lee y Hase, 2014; Rowland et al., 2018).</w:t>
        <w:br/>
        <w:br/>
        <w:t>Algunos estudios ponen de manifiesto que  la microbiota podría tener un papel</w:t>
        <w:br/>
        <w:br/>
        <w:t>importante en los procesos de degradación de proteínas y en la obtención de péptidos</w:t>
        <w:br/>
        <w:t>y aminoácidos (Hooper  et  al., 2002; Rowland  et  al.,  2018). En rumiantes es</w:t>
        <w:br/>
        <w:br/>
        <w:t>especialmente importante destacar la síntesis de proteína microbiana que tiene lugar</w:t>
        <w:br/>
        <w:t>en el rumen como parte de un complejo proceso de aprovechamiento del nitrógeno no</w:t>
        <w:br/>
        <w:br/>
        <w:t>proteico (Hooper et al., 2002).</w:t>
        <w:br/>
        <w:br/>
        <w:br/>
        <w:t>La microbiota tiene un papel muy importante en el mantenimiento de la función de</w:t>
        <w:br/>
        <w:t>barrera  intestinal.  Por un  lado,  favoreciendo  los  procesos de  proliferación  y</w:t>
        <w:br/>
        <w:br/>
        <w:t>diferenciación de las células epiteliales (Ahern y Maloy, 2020; Alam y Neish, 2018), que</w:t>
        <w:br/>
        <w:br/>
        <w:t>se renuevan continuamente contribuyendo a la homeostasis del epitelio intestinal, y</w:t>
        <w:br/>
        <w:t>también mediante la producción de moco en la capa mucosa que tapiza todo el tracto</w:t>
        <w:br/>
        <w:br/>
        <w:t>gastrointestinal (Alam y Neish, 2018; Schroeder, 2019). Además, la microbiota intestinal</w:t>
        <w:br/>
        <w:t>estabiliza la permeabilidad selectiva del epitelio intestinal, por un lado, contribuyendo a</w:t>
        <w:br/>
        <w:br/>
        <w:t>la absorción de nutrientes como vitaminas y minerales al permitir su paso a través de la</w:t>
        <w:br/>
        <w:t>membrana y, por otro, contribuyendo a su función de barrera que impide el paso de</w:t>
        <w:br/>
        <w:br/>
        <w:t>microorganismos patógenos y sus toxinas así como otras sustancias nocivas (Ahern y</w:t>
        <w:br/>
        <w:t>Maloy, 2020; Alam y Neish, 2018).</w:t>
        <w:br/>
        <w:br/>
        <w:br/>
        <w:t>Por último, la microbiota intestinal tiene una importante función de defensa debido al</w:t>
        <w:br/>
        <w:t>papel de  estos microorganismos  simbiontes  sobre  la maduración  del  sistema</w:t>
        <w:br/>
        <w:br/>
        <w:t>inmunitario, que se produce fundamentalmente de forma local en el intestino (Ahern y</w:t>
        <w:br/>
        <w:t>Maloy, 2020). Además, la microbiota también influye en el desarrollo de los diferentes</w:t>
        <w:br/>
        <w:br/>
        <w:br/>
        <w:t xml:space="preserve"> 61  MARÍA BRAVO SANTILLANA</w:t>
        <w:br/>
      </w:r>
    </w:p>
    <w:p>
      <w:r>
        <w:t>Página 62:</w:t>
        <w:br/>
        <w:t xml:space="preserve">                        REV | Antecedentes y marco teórico</w:t>
        <w:br/>
        <w:br/>
        <w:t>tipos de respuesta inmunitaria, no solo a nivel local, sino también de forma sistémica,</w:t>
        <w:br/>
        <w:br/>
        <w:t>mediante procesos complejos en los que participan otras microbiotas del organismo y</w:t>
        <w:br/>
        <w:t>células inmunitarias (Chen et al., 2018; Unger y Bogaert, 2017). Tanto las células del</w:t>
        <w:br/>
        <w:br/>
        <w:t>sistema inmunitario innato como  las del sistema inmunitario adquirido, se ven</w:t>
        <w:br/>
        <w:t>moduladas por la microbiota del tracto intestinal mediante sistemas de comunicación</w:t>
        <w:br/>
        <w:br/>
        <w:t>que se basan en la secreción de microvesículas y AGCC. La microbiota intestinal modula</w:t>
        <w:br/>
        <w:t>la respuesta inmunitaria, contribuyendo a que esta sea más rápida y eficaz y también</w:t>
        <w:br/>
        <w:br/>
        <w:t>mantiene el equilibrio entre señales de inflamación y regulación (Ahern y Maloy, 2020;</w:t>
        <w:br/>
        <w:t>Alam y Neish, 2018).</w:t>
        <w:br/>
        <w:br/>
        <w:br/>
        <w:t>Además, las poblaciones bacterianas residentes en las diferentes superficies, confieren</w:t>
        <w:br/>
        <w:t>resistencia a  la colonización por agentes patógenos y oportunistas, puesto que</w:t>
        <w:br/>
        <w:br/>
        <w:t>comparten con ellos los receptores de mucosa, compiten por los nutrientes del nicho</w:t>
        <w:br/>
        <w:t>que ocupan y además algunas especies tienen la capacidad de producir sustancias</w:t>
        <w:br/>
        <w:br/>
        <w:t>antimicrobianas (Buffie y Pamer, 2013; Litvak y Bäumler, 2019; Sorbara y Pamer, 2019).</w:t>
        <w:br/>
        <w:t>Estos  mecanismos, que  confieren  protección  frente  al  desarrollo de  diversas</w:t>
        <w:br/>
        <w:br/>
        <w:t>enfermedades  infecciosas, han  sido estudiados especialmente en  la microbiota</w:t>
        <w:br/>
        <w:t>intestinal (Buffie y Pamer, 2013; Ducarmon et al., 2019; Kim et al., 2017) y en la</w:t>
        <w:br/>
        <w:br/>
        <w:t>microbiota de la piel (Chen et  al., 2018; Litvak y Bäumler, 2019). Además, estos</w:t>
        <w:br/>
        <w:br/>
        <w:t>mecanismos de defensa ante infecciones, junto a la proliferación de células inmunitarias</w:t>
        <w:br/>
        <w:t>y maduración del tejido linfoide asociado a los bronquios, parecen ser las funciones</w:t>
        <w:br/>
        <w:br/>
        <w:t>principales de protección que ejerce la microbiota respiratoria (Unger y Bogaert, 2017;</w:t>
        <w:br/>
        <w:t>Yatera et al., 2018).</w:t>
        <w:br/>
        <w:br/>
        <w:br/>
        <w:br/>
        <w:br/>
        <w:t>La asociación simbiótica entre los microorganismos, fundamentalmente bacterianos, y</w:t>
        <w:br/>
        <w:t>el hospedador, es muy importante para el desarrollo correcto de todas las funciones de</w:t>
        <w:br/>
        <w:br/>
        <w:t>los aparatos y sistemas de los animales, para lo cual se considera primordial el</w:t>
        <w:br/>
        <w:br/>
        <w:t>mantenimiento de una microbiota sana y equilibrada en los organismos superiores.</w:t>
        <w:br/>
        <w:br/>
        <w:br/>
        <w:br/>
        <w:br/>
        <w:br/>
        <w:t xml:space="preserve">                                            MARÍA BRAVO SANTILLANA  62</w:t>
        <w:br/>
      </w:r>
    </w:p>
    <w:p>
      <w:r>
        <w:t>Página 63:</w:t>
        <w:br/>
        <w:t>REV | Antecedentes y marco teórico</w:t>
        <w:br/>
        <w:br/>
        <w:t>La microbiota de la fauna silvestre</w:t>
        <w:br/>
        <w:br/>
        <w:br/>
        <w:t>Una vez descritas las funciones principales de la microbiota en los procesos fisiológicos</w:t>
        <w:br/>
        <w:br/>
        <w:t>animales, el papel que desempeñan las poblaciones microbianas en la fauna silvestre</w:t>
        <w:br/>
        <w:t>merece especial atención. En los animales que viven en libertad, la asociación entre la</w:t>
        <w:br/>
        <w:br/>
        <w:t>microbiota intestinal y su hospedador tiene una gran importancia biológica para la</w:t>
        <w:br/>
        <w:br/>
        <w:t>supervivencia y conservación de las especies, ya que influye en la capacidad de</w:t>
        <w:br/>
        <w:t>adaptación de los animales al ecosistema en el que habitan (Bahrndorff et al., 2016; Gao</w:t>
        <w:br/>
        <w:br/>
        <w:t>et al., 2020; Qin et al., 2020). La microbiota y sus genes asociados, el microbioma,</w:t>
        <w:br/>
        <w:t>confieren  adaptabilidad  a  determinadas  variaciones  en  la  alimentación  y  el</w:t>
        <w:br/>
        <w:br/>
        <w:t>metabolismo, incluso a lo largo de las diferentes estaciones del año (Gao et al., 2020;</w:t>
        <w:br/>
        <w:t>Qin  et  al., 2020; Sun  et  al.,  2016); favorecen  la  tolerancia a  perturbaciones</w:t>
        <w:br/>
        <w:br/>
        <w:t>medioambientales  (Bahrndorff  et  al., 2016)  y también  confieren  resistencia a</w:t>
        <w:br/>
        <w:t>determinadas enfermedades (Correa-Fiz et al., 2019; Gazzaniga y Kasper, 2018).</w:t>
        <w:br/>
        <w:br/>
        <w:br/>
        <w:t>Se ha demostrado mediante diversos estudios que los animales silvestres muestran una</w:t>
        <w:br/>
        <w:t>microbiota intestinal diferente, más diversa y abundante, que la de las mismas especies</w:t>
        <w:br/>
        <w:br/>
        <w:t>criadas en cautividad y la de sus homólogos domésticos (Correa-Fiz et al., 2019; Gao et</w:t>
        <w:br/>
        <w:t>al., 2020; Gibson et al., 2019; Prabhu et al., 2020; Qin et al., 2020; Ushida et al., 2016).</w:t>
        <w:br/>
        <w:br/>
        <w:t>Algunos estudios han puesto de manifiesto que la microbiota de los animales silvestres</w:t>
        <w:br/>
        <w:t>destaca por la mayor funcionalidad de sus poblaciones bacterianas, especialmente</w:t>
        <w:br/>
        <w:br/>
        <w:t>relacionadas con la activación de rutas metabólicas y del sistema inmunitario (Gao et</w:t>
        <w:br/>
        <w:t>al., 2020; Gibson et al., 2019; Prabhu et al., 2020). Los factores que contribuyen a la</w:t>
        <w:br/>
        <w:br/>
        <w:t>heterogeneidad  de   la  microbiota   intestinal  en   los  animales  salvajes  son</w:t>
        <w:br/>
        <w:br/>
        <w:t>fundamentalmente las diferencias en la alimentación (Correa-Fiz et al., 2019; Prabhu et</w:t>
        <w:br/>
        <w:t>al., 2020; Qin et al., 2020; Ushida et al., 2016), las condiciones ambientales (Gao et al.,</w:t>
        <w:br/>
        <w:br/>
        <w:t>2020; Prabhu et al., 2020), el genotipo del hospedador salvaje (Qin et al., 2020; Ushida</w:t>
        <w:br/>
        <w:t>et al., 2016), los diferentes requerimientos metabólicos (Gao et al., 2020; Gibson et al.,</w:t>
        <w:br/>
        <w:br/>
        <w:t>2019; Qin et al., 2020; Sun et al., 2016) y los factores asociados a la domesticación, que</w:t>
        <w:br/>
        <w:t>ha tenido un gran impacto negativo sobre la microbiota de algunas especies (Prabhu et</w:t>
        <w:br/>
        <w:br/>
        <w:t>al., 2020; Ushida et al., 2016).</w:t>
        <w:br/>
        <w:br/>
        <w:br/>
        <w:br/>
        <w:t xml:space="preserve"> 63  MARÍA BRAVO SANTILLANA</w:t>
        <w:br/>
      </w:r>
    </w:p>
    <w:p>
      <w:r>
        <w:t>Página 64:</w:t>
        <w:br/>
        <w:t xml:space="preserve">                        REV | Antecedentes y marco teórico</w:t>
        <w:br/>
        <w:br/>
        <w:t>La mayor diversidad y abundancia de la microbiota en la fauna silvestre puede tener</w:t>
        <w:br/>
        <w:br/>
        <w:t>importantes implicaciones para  el manejo de los animales, tanto salvajes como</w:t>
        <w:br/>
        <w:t>domésticos. Es importante tener en cuenta estas diferencias en los programas de</w:t>
        <w:br/>
        <w:br/>
        <w:t>reintroducción de animales criados en cautividad, como especies en peligro de</w:t>
        <w:br/>
        <w:t>extinción, en la que una microbiota menos diversa podría dificultar su adaptación a las</w:t>
        <w:br/>
        <w:br/>
        <w:t>condiciones de vida libre y disminuir la probabilidad de supervivencia (Bahrndorff et al.,</w:t>
        <w:br/>
        <w:t>2016; Gibson et al., 2019; Qin et al., 2020). Debido a que se han descrito grupos</w:t>
        <w:br/>
        <w:br/>
        <w:t>bacterianos que podrían ser los responsables de la resistencia de algunos animales</w:t>
        <w:br/>
        <w:t>silvestres a determinadas enfermedades que afectan al ganado doméstico, la fauna</w:t>
        <w:br/>
        <w:br/>
        <w:t>salvaje podría ser una fuente de microorganismos potencialmente beneficiosos para</w:t>
        <w:br/>
        <w:br/>
        <w:t>modular  la microbiota de  los animales más  susceptibles a esas enfermedades</w:t>
        <w:br/>
        <w:t>(Bahrndorff et al., 2016; Correa-Fiz et al., 2019).</w:t>
        <w:br/>
        <w:br/>
        <w:br/>
        <w:t>En este sentido, se considera que los suidos pueden ser un buen modelo de estudios</w:t>
        <w:br/>
        <w:br/>
        <w:t>comparativos de la microbiota, debido a que el jabalí (Sus scrofa), ancestro del cerdo</w:t>
        <w:br/>
        <w:t>doméstico (Sus scrofa domesticus), y otros suidos próximos a él filogenéticamente,</w:t>
        <w:br/>
        <w:br/>
        <w:t>como   el  facóquero  común  (Phacochoerus  africanus)  o  potamoquero  rojo</w:t>
        <w:br/>
        <w:t>(Potamochoerus porcus), viven en la actualidad en condiciones de vida salvaje (Correa-</w:t>
        <w:br/>
        <w:br/>
        <w:t>Fiz et al., 2019; Ushida et al., 2016). El jabalí podría ser el modelo ideal para estos</w:t>
        <w:br/>
        <w:br/>
        <w:t>estudios, ya que es una especie omnívora con un espectro trófico muy amplio, que</w:t>
        <w:br/>
        <w:t>presenta una gran capacidad de adaptación a hábitats muy diferentes, explotando</w:t>
        <w:br/>
        <w:br/>
        <w:t>eficientemente  los recursos disponibles, tanto de origen natural como fuentes de</w:t>
        <w:br/>
        <w:t>alimentación de origen humano, como los cultivos (Fernández-Llario, 2006). Se han</w:t>
        <w:br/>
        <w:br/>
        <w:t>descrito diferencias en la microbiota del jabalí y otros suidos salvajes con respecto al</w:t>
        <w:br/>
        <w:t>cerdo doméstico (Correa-Fiz et al., 2019; Ushida et al., 2016), que evidencian que los</w:t>
        <w:br/>
        <w:br/>
        <w:t>suidos salvajes tienen una microbiota más abundante y diversa que puede contribuir a</w:t>
        <w:br/>
        <w:t>esa gran capacidad de adaptación. Además, la mayor diversidad en la microbiota ha sido</w:t>
        <w:br/>
        <w:br/>
        <w:t>relacionada previamente con un mejor estado de salud de los hospedadores y la</w:t>
        <w:br/>
        <w:br/>
        <w:t>resistencia a algunas enfermedades que comparten con el cerdo doméstico (Correa-Fiz</w:t>
        <w:br/>
        <w:t>et al., 2019). No obstante, los estudios de caracterización de las poblaciones bacterianas</w:t>
        <w:br/>
        <w:br/>
        <w:t>para el control de enfermedades en el cerdo doméstico y otras especies son aún muy</w:t>
        <w:br/>
        <w:t>limitados, siendo este un campo muy interesante que se encuentra en desarrollo.</w:t>
        <w:br/>
        <w:br/>
        <w:br/>
        <w:t xml:space="preserve">                                            MARÍA BRAVO SANTILLANA  64</w:t>
        <w:br/>
      </w:r>
    </w:p>
    <w:p>
      <w:r>
        <w:t>Página 65:</w:t>
        <w:br/>
        <w:t>REV | Antecedentes y marco teórico</w:t>
        <w:br/>
        <w:br/>
        <w:t>Las bacterias ácido-lácticas</w:t>
        <w:br/>
        <w:br/>
        <w:br/>
        <w:t>Las bacterias ácido-lácticas (BAL) son un conjunto de bacterias que residen de forma</w:t>
        <w:br/>
        <w:br/>
        <w:t>habitual en las diferentes microbiotas de los organismos superiores, además de en otros</w:t>
        <w:br/>
        <w:t>muchos nichos ecológicos como plantas o alimentos (Duar et al., 2017).</w:t>
        <w:br/>
        <w:br/>
        <w:br/>
        <w:t>Las BAL pertenecen al orden Lactobacillales, que a su vez agrupa varias familias y</w:t>
        <w:br/>
        <w:t>géneros muy diversos en cuanto a su morfología, metabolismo y fisiología (Mekadim et</w:t>
        <w:br/>
        <w:br/>
        <w:t>al., 2019). La familia más representativa de este grupo es Lactobacillaceae, que incluía</w:t>
        <w:br/>
        <w:t>hasta el año 2020 únicamente los géneros Lactobacillus y Pediococcus, a los que se ha</w:t>
        <w:br/>
        <w:br/>
        <w:t>sumado Leuconostoc y 23 nuevos géneros derivados de Lactobacillus, como se muestra</w:t>
        <w:br/>
        <w:t>en la Figura B (Zheng et al., 2020). Otras familias representativas de este grupo son</w:t>
        <w:br/>
        <w:br/>
        <w:t>Enterococcaceae (género Enterococcus), Streptococcaceae (géneros Streptococcus y</w:t>
        <w:br/>
        <w:t>Lactococcus) y Leuconostocaceae (género Leuconostoc) (Pessione, 2012). De forma</w:t>
        <w:br/>
        <w:br/>
        <w:t>general, las BAL son Gram positivas (Gram +), catalasa negativas, anaerobias facultativas</w:t>
        <w:br/>
        <w:br/>
        <w:t>o microaerófilas, de morfología esférica o bacilar y tienen como característica principal</w:t>
        <w:br/>
        <w:t>la producción de  ácido  láctico como  metabolito  final de  la fermentación de</w:t>
        <w:br/>
        <w:br/>
        <w:t>carbohidratos (Mekadim et al., 2019; Pessione, 2012). Aunque la mayoría de las especies</w:t>
        <w:br/>
        <w:t>han obtenido el estado de «Presunción Cualificada de Seguridad» (QPS, Qualified</w:t>
        <w:br/>
        <w:br/>
        <w:t>Presumption of Safety) y son reconocidas como seguras, algunas especies y cepas,</w:t>
        <w:br/>
        <w:t>especialmente de los géneros Streptococcus y Enterococcus, pueden ser patógenas</w:t>
        <w:br/>
        <w:br/>
        <w:t>(Pessione, 2012).</w:t>
        <w:br/>
        <w:br/>
        <w:br/>
        <w:t>Las BAL destacan por tener diversas aplicaciones tecnológicas en el ámbito de la</w:t>
        <w:br/>
        <w:br/>
        <w:t>alimentación humana y animal, debido a  las  características de su metabolismo</w:t>
        <w:br/>
        <w:t>fermentativo (Mekadim et al., 2019). Así, son generalmente utilizadas como cultivos</w:t>
        <w:br/>
        <w:br/>
        <w:t>iniciadores en la elaboración y conservación de productos lácteos, cárnicos, frutas y</w:t>
        <w:br/>
        <w:t>vegetales y pueden mejorar  las  características organolépticas y  las propiedades</w:t>
        <w:br/>
        <w:br/>
        <w:t>nutricionales de  los alimentos (Mekadim et  al., 2019). Asimismo,  las BAL han</w:t>
        <w:br/>
        <w:t>demostrado tener numerosos beneficios para la salud de los hospedadores y, por ello,</w:t>
        <w:br/>
        <w:br/>
        <w:t>constituyen uno de los principales grupos de microorganismos que se utilizan desde</w:t>
        <w:br/>
        <w:br/>
        <w:br/>
        <w:br/>
        <w:t xml:space="preserve"> 65  MARÍA BRAVO SANTILLANA</w:t>
        <w:br/>
      </w:r>
    </w:p>
    <w:p>
      <w:r>
        <w:t>Página 66:</w:t>
        <w:br/>
        <w:t xml:space="preserve">                        REV | Antecedentes y marco teórico</w:t>
        <w:br/>
        <w:br/>
        <w:t>hace décadas en formulaciones con compuestos bioactivos, como los probióticos y sus</w:t>
        <w:br/>
        <w:br/>
        <w:t>productos derivados (Piqué et al., 2019), que se definirán más adelante.</w:t>
        <w:br/>
        <w:br/>
        <w:br/>
        <w:br/>
        <w:br/>
        <w:br/>
        <w:t>Figura B. Árbol filogenético de la familia Lactobacillaceae. En el centro, los nuevos grupos filogenéticos</w:t>
        <w:br/>
        <w:t>descritos se muestran con sus ramas del mismo color. Los anillos externos proporcionan información</w:t>
        <w:br/>
        <w:t>sobre las características genómicas y el origen de las especies, incluido el gradiente de color en rojo</w:t>
        <w:br/>
        <w:t>(contenido Guanina-Citosina) y los círculos representan el tamaño del genoma. Fuente: Zheng et al., 2020.</w:t>
        <w:br/>
        <w:br/>
        <w:br/>
        <w:t>En relación con sus propiedades fermentativas, las BAL facilitan la digestión y el</w:t>
        <w:br/>
        <w:t>aprovechamiento de los nutrientes de la dieta y también participan en la síntesis de</w:t>
        <w:br/>
        <w:br/>
        <w:t>algunos micronutrientes, como las vitaminas del grupo B (LeBlanc et al., 2011; Pessione,</w:t>
        <w:br/>
        <w:t>2012). De forma general, se ha documentado ampliamente la capacidad de las BAL para</w:t>
        <w:br/>
        <w:br/>
        <w:t>inhibir patógenos mediante la producción de sustancias antimicrobianas, muchas de</w:t>
        <w:br/>
        <w:br/>
        <w:t>ellas derivadas de su metabolismo como los ácidos orgánicos (ácidos láctico, acético o</w:t>
        <w:br/>
        <w:t>propiónico) y metabolitos de bajo peso molecular (como peróxido de hidrógeno, dióxido</w:t>
        <w:br/>
        <w:br/>
        <w:t>de carbono, ácidos grasos…); y también proteínas y péptidos antimicrobianos como las</w:t>
        <w:br/>
        <w:br/>
        <w:br/>
        <w:t xml:space="preserve">                                            MARÍA BRAVO SANTILLANA  66</w:t>
        <w:br/>
      </w:r>
    </w:p>
    <w:p>
      <w:r>
        <w:t>Página 67:</w:t>
        <w:br/>
        <w:t>REV | Antecedentes y marco teórico</w:t>
        <w:br/>
        <w:br/>
        <w:t>bacteriocinas (nisina, pediocina…) (Amado et al., 2016; Mathur et al., 2020). Estas</w:t>
        <w:br/>
        <w:br/>
        <w:t>propiedades  antimicrobianas,  unidas  al  principio de  exclusión  competitiva  ya</w:t>
        <w:br/>
        <w:t>mencionado,   le confieren capacidad para establecerse en su nicho ecológico del</w:t>
        <w:br/>
        <w:br/>
        <w:t>hospedador y modular la microbiota comensal hacia grupos de bacterias beneficiosos,</w:t>
        <w:br/>
        <w:t>en detrimento de grupos potencialmente patógenos (Mekadim et al., 2019; Pessione,</w:t>
        <w:br/>
        <w:br/>
        <w:t>2012; Piqué et al., 2019).</w:t>
        <w:br/>
        <w:br/>
        <w:br/>
        <w:t>Por otro lado, se ha descrito la capacidad de las BAL para interaccionar con el sistema</w:t>
        <w:br/>
        <w:t>inmunitario de los organismos superiores. Las BAL, y otros grupos minoritarios de</w:t>
        <w:br/>
        <w:br/>
        <w:t>microorganismos que forman parte de la microbiota del hospedador, poseen una gran</w:t>
        <w:br/>
        <w:br/>
        <w:t>variedad de moléculas que se conocen con el nombre de «Patrones Moleculares</w:t>
        <w:br/>
        <w:t>Asociados a Microorganismos» (MAMP, Microbe-Associated Molecular  Patterns).</w:t>
        <w:br/>
        <w:br/>
        <w:t>Gracias a los MAMPs, estos microorganismos pueden ser reconocidos por el sistema</w:t>
        <w:br/>
        <w:t>inmunitario del hospedador para diferenciarlos de los patógenos, mediante Receptores</w:t>
        <w:br/>
        <w:br/>
        <w:t>de   Reconocimiento  de   Patrones   (PRR,   Pattern   Recognition   Receptors),</w:t>
        <w:br/>
        <w:t>fundamentalmente receptores tipo Toll en la superficie celular (TLR, Toll-like receptors)</w:t>
        <w:br/>
        <w:br/>
        <w:t>o tipo NOD, en el citoplasma (NLR, NOD-like receptors) (Dolasia et al., 2018). Los MAMPs</w:t>
        <w:br/>
        <w:t>pueden ser componentes estructurales, fundamentalmente de la pared bacteriana</w:t>
        <w:br/>
        <w:br/>
        <w:t>como el peptidoglicano o los exopolisacáridos; o moléculas secretadas, como los AGCC:</w:t>
        <w:br/>
        <w:br/>
        <w:t>acetato, propionato, butirato… (Hevia et al., 2015). Todas estas moléculas interaccionan</w:t>
        <w:br/>
        <w:t>con el sistema inmunitario del hospedador, participando en varios procesos fisiológicos</w:t>
        <w:br/>
        <w:br/>
        <w:t>animales, como ya se describió anteriormente en el apartado sobre la función defensiva</w:t>
        <w:br/>
        <w:t>de la microbiota.</w:t>
        <w:br/>
        <w:br/>
        <w:br/>
        <w:br/>
        <w:br/>
        <w:t>Muchas especies de BAL que forman parte de las superficies y mucosas humanas y</w:t>
        <w:br/>
        <w:t>animales, establecen con sus hospedadores una relación de simbiosis mediante la cual</w:t>
        <w:br/>
        <w:br/>
        <w:t>pueden aportar numerosos beneficios para la salud de los mismos (LeBlanc et al., 2011;</w:t>
        <w:br/>
        <w:br/>
        <w:t>Mekadim et al., 2019). Estas propiedades beneficiosas pueden ser explotadas para la</w:t>
        <w:br/>
        <w:t>producción de compuestos funcionales como los prebióticos, los probióticos o los</w:t>
        <w:br/>
        <w:br/>
        <w:t>posbióticos.</w:t>
        <w:br/>
        <w:br/>
        <w:br/>
        <w:br/>
        <w:br/>
        <w:t xml:space="preserve"> 67  MARÍA BRAVO SANTILLANA</w:t>
        <w:br/>
      </w:r>
    </w:p>
    <w:p>
      <w:r>
        <w:t>Página 68:</w:t>
        <w:br/>
        <w:t xml:space="preserve">                        REV | Antecedentes y marco teórico</w:t>
        <w:br/>
        <w:br/>
        <w:t>Compuestos  bioactivos en alimentos y  piensos:  los</w:t>
        <w:br/>
        <w:t>posbióticos</w:t>
        <w:br/>
        <w:br/>
        <w:br/>
        <w:t>Los alimentos o piensos funcionales son aquellos que incorporan ingredientes o aditivos</w:t>
        <w:br/>
        <w:t>bioactivos con numerosas propiedades beneficiosas para los animales que los consumen</w:t>
        <w:br/>
        <w:br/>
        <w:t>y siempre bajo determinadas circunstancias. En este sentido, entendemos como aditivos</w:t>
        <w:br/>
        <w:t>funcionales a todos aquellos ingredientes que, incorporados en la dieta de los animales,</w:t>
        <w:br/>
        <w:br/>
        <w:t>pueden mejorar su bienestar y productividad más allá de lo que cabría esperar o explicar</w:t>
        <w:br/>
        <w:t>por su simple potencial nutricional (Velasco et al., 2006).</w:t>
        <w:br/>
        <w:br/>
        <w:br/>
        <w:t>Dentro de los compuestos funcionales, aquellos de la familia de los «-bióticos» incluyen</w:t>
        <w:br/>
        <w:t>productos como los prebióticos, los probióticos, los simbióticos y los posbióticos cuyas</w:t>
        <w:br/>
        <w:br/>
        <w:t>definiciones se muestran en la tabla A. No obstante, existen otros conceptos menos</w:t>
        <w:br/>
        <w:t>utilizados y que han quedado obsoletos con el nuevo consenso de la Asociación</w:t>
        <w:br/>
        <w:br/>
        <w:t>Científica Internacional de Probióticos y Prebióticos (ISAPP) publicado recientemente</w:t>
        <w:br/>
        <w:t>(Salminen et al., 2021), que no se incluyen en este documento. Tanto los «prebióticos»,</w:t>
        <w:br/>
        <w:br/>
        <w:t>ingredientes no digestibles; como los «probióticos», microorganismos vivos; y los</w:t>
        <w:br/>
        <w:t>«simbióticos», la combinación de ambos, son productos muy habituales en el mercado</w:t>
        <w:br/>
        <w:br/>
        <w:t>y su utilización está muy extendida en el campo de la nutrición animal. No obstante, los</w:t>
        <w:br/>
        <w:br/>
        <w:t>posbióticos, el miembro más novedoso de la familia de los compuestos bioactivos, aún</w:t>
        <w:br/>
        <w:t>no es muy conocido.</w:t>
        <w:br/>
        <w:br/>
        <w:br/>
        <w:t>Los «posbióticos» son productos o subproductos metabólicos bioactivos, secretados por</w:t>
        <w:br/>
        <w:br/>
        <w:t>bacterias vivas o liberados a partir de la lisis de la membrana celular bacteriana, que</w:t>
        <w:br/>
        <w:t>pueden ser utilizados para mejorar la salud del hospedador (Aguilar-Toalá et al., 2018;</w:t>
        <w:br/>
        <w:br/>
        <w:t>Wegh et al., 2019). Este concepto, por definición, es bastante amplio y hasta hace poco</w:t>
        <w:br/>
        <w:t>tiempo se encontraba en revisión por solapar su definición con otros productos que</w:t>
        <w:br/>
        <w:br/>
        <w:t>actualmente se encuentran obsoletos, como los «paraprobióticos» o los «probióticos</w:t>
        <w:br/>
        <w:br/>
        <w:t>fantasma», que constituían solo las células microbianas inactivadas (Collado et al., 2019;</w:t>
        <w:br/>
        <w:t>Wegh et al., 2019). No obstante, a mediados del año 2021 se publicó un consenso</w:t>
        <w:br/>
        <w:br/>
        <w:t>científico internacional de  la ISAPP que considera como posbiótico toda aquella</w:t>
        <w:br/>
        <w:br/>
        <w:br/>
        <w:br/>
        <w:t xml:space="preserve">                                            MARÍA BRAVO SANTILLANA  68</w:t>
        <w:br/>
      </w:r>
    </w:p>
    <w:p>
      <w:r>
        <w:t>Página 69:</w:t>
        <w:br/>
        <w:t>REV | Antecedentes y marco teórico</w:t>
        <w:br/>
        <w:br/>
        <w:t>preparación que incluya tanto los microorganismos inanimados como sus componentes</w:t>
        <w:br/>
        <w:br/>
        <w:t>siempre que aporten un beneficio sobre la salud del hospedador (Salminen et al., 2021).</w:t>
        <w:br/>
        <w:t>La utilización de la palabra «inanimadas» en lugar de «inactivadas» haciendo referencia</w:t>
        <w:br/>
        <w:br/>
        <w:t>a las células microbianas, radica en que la utilización de microorganismos que no estén</w:t>
        <w:br/>
        <w:t>vivos no implica que estos hayan perdido su funcionalidad. Los posbióticos son factores</w:t>
        <w:br/>
        <w:br/>
        <w:t>solubles liberados durante la fermentación o la  lisis bacteriana y pueden incluir</w:t>
        <w:br/>
        <w:t>metabolitos como enzimas, péptidos, proteínas, exopolisacáridos, ácidos orgánicos y</w:t>
        <w:br/>
        <w:br/>
        <w:t>lípidos (AGCC); y componentes estructurales, fundamentalmente de la pared celular</w:t>
        <w:br/>
        <w:t>bacteriana, como ácidos teicoico y lipoteicoico, peptidoglicano, proteínas de la capa</w:t>
        <w:br/>
        <w:br/>
        <w:t>superficial bacteriana y otros polisacáridos (Aguilar-Toalá et al., 2018; Wegh et al.,</w:t>
        <w:br/>
        <w:br/>
        <w:t>2019).  En  los  estudios  científicos  publicados  hasta  la  fecha  se  consideran</w:t>
        <w:br/>
        <w:t>fundamentalmente los posbióticos de origen bacteriano, especialmente del grupo de las</w:t>
        <w:br/>
        <w:br/>
        <w:t>BAL mencionadas anteriormente, y más concretamente los producidos por especies que</w:t>
        <w:br/>
        <w:t>pertenecían tradicionalmente  al género Lactobacillus. No obstante, existen otras</w:t>
        <w:br/>
        <w:br/>
        <w:t>especies bacterianas y de levaduras con capacidad para producir metabolitos bioactivos</w:t>
        <w:br/>
        <w:t>(Aguilar-Toalá et al., 2018).</w:t>
        <w:br/>
        <w:br/>
        <w:br/>
        <w:t xml:space="preserve">  Tabla A. Definiciones de productos bioactivos utilizados en alimentación humana y animal aceptados</w:t>
        <w:br/>
        <w:br/>
        <w:t xml:space="preserve">                           por la comunidad científica en la actualidad</w:t>
        <w:br/>
        <w:t xml:space="preserve"> Concepto          Definición                                       Referencia</w:t>
        <w:br/>
        <w:br/>
        <w:t xml:space="preserve"> Prebiótico          ingredientes no digestibles de los alimentos que  (FAO/OMS,  2001;   ISAPP,</w:t>
        <w:br/>
        <w:br/>
        <w:t xml:space="preserve">                  son    utilizados  como   sustrato   por    los  2021)</w:t>
        <w:br/>
        <w:t xml:space="preserve">                   microorganismos del hospedador para aportar</w:t>
        <w:br/>
        <w:t xml:space="preserve">                     beneficios sobre su salud</w:t>
        <w:br/>
        <w:br/>
        <w:br/>
        <w:t xml:space="preserve"> Probiótico         microorganismos  vivos que,  administrados en  (FAO/OMS,  2001;   ISAPP,</w:t>
        <w:br/>
        <w:t xml:space="preserve">                    cantidades adecuadas, confieren beneficios para  2021)</w:t>
        <w:br/>
        <w:br/>
        <w:t xml:space="preserve">                         la salud del hospedador</w:t>
        <w:br/>
        <w:br/>
        <w:br/>
        <w:t xml:space="preserve"> Simbiótico         mezcla sinérgica de microorganismos vivos y su  (FAO/OMS,  2001;   ISAPP,</w:t>
        <w:br/>
        <w:t xml:space="preserve">                     sustrato que mejoran la salud del hospedador      2021)</w:t>
        <w:br/>
        <w:br/>
        <w:br/>
        <w:t xml:space="preserve"> Posbiótico          factores solubles generados del metabolismo de   (ISAPP, 2021; Aguilar-Toalá</w:t>
        <w:br/>
        <w:t xml:space="preserve">                       los probióticos, así como las células microbianas   et al., 2018)</w:t>
        <w:br/>
        <w:br/>
        <w:t xml:space="preserve">                   inanimadas que mejoran la salud del hospedador</w:t>
        <w:br/>
        <w:br/>
        <w:br/>
        <w:t xml:space="preserve"> 69  MARÍA BRAVO SANTILLANA</w:t>
        <w:br/>
      </w:r>
    </w:p>
    <w:p>
      <w:r>
        <w:t>Página 70:</w:t>
        <w:br/>
        <w:t xml:space="preserve">                        REV | Antecedentes y marco teórico</w:t>
        <w:br/>
        <w:br/>
        <w:t>Proceso de producción y ventajas de los posbióticos</w:t>
        <w:br/>
        <w:br/>
        <w:t>El proceso de elaboración de un posbiótico consiste en la generación de los compuestos</w:t>
        <w:br/>
        <w:t>bioactivos en una matriz durante  la fermentación microbiana bajo una serie de</w:t>
        <w:br/>
        <w:br/>
        <w:t>condiciones controladas que son específicas para cada microorganismo (Wegh et al.,</w:t>
        <w:br/>
        <w:t>2019). Tras este proceso se obtiene un producto final elaborado a partir de ingredientes</w:t>
        <w:br/>
        <w:br/>
        <w:t>bioactivos que puede denominarse fórmula o pienso funcional (Cicenia et al., 2014).</w:t>
        <w:br/>
        <w:t>Estos ingredientes funcionales consiguen mimetizar y optimizar los efectos de los</w:t>
        <w:br/>
        <w:br/>
        <w:t>probióticos sin la necesidad de administrar las bacterias vivas, lo que le confiere</w:t>
        <w:br/>
        <w:t>numerosas ventajas.</w:t>
        <w:br/>
        <w:br/>
        <w:br/>
        <w:t>En el caso de los probióticos, para que el producto sea efectivo es necesario que los</w:t>
        <w:br/>
        <w:t>microorganismos vivos colonicen el intestino, lo que supone un gran reto tecnológico.</w:t>
        <w:br/>
        <w:br/>
        <w:t>Se han descrito una serie de factores que podrían dificultar este proceso y que son</w:t>
        <w:br/>
        <w:t>difíciles de controlar, como las características propias de la microbiota del hospedador,</w:t>
        <w:br/>
        <w:br/>
        <w:t>el consumo de antibióticos u otros medicamentos y las diferencias interindividuales</w:t>
        <w:br/>
        <w:t>relacionadas con la genética de cada sujeto (Marco y Tachon, 2013). Por otro lado, es</w:t>
        <w:br/>
        <w:br/>
        <w:t>muy complicado conocer si, una vez alcanzan su sitio de acción, se dan las condiciones</w:t>
        <w:br/>
        <w:t>necesarias para que  los microorganismos  probióticos produzcan  las  sustancias</w:t>
        <w:br/>
        <w:br/>
        <w:t>beneficiosas en la cantidad deseada. El gran avance que suponen los posbióticos es que</w:t>
        <w:br/>
        <w:br/>
        <w:t>los metabolitos bioactivos se producen en condiciones óptimas y se vehiculan</w:t>
        <w:br/>
        <w:t>directamente en dosis controladas a su sitio de acción sin necesidad de colonización</w:t>
        <w:br/>
        <w:br/>
        <w:t>microbiana (Cicenia et al., 2014).</w:t>
        <w:br/>
        <w:br/>
        <w:br/>
        <w:t>Otra de las grandes ventajas tecnológicas es que la vida útil de los posbióticos es mayor</w:t>
        <w:br/>
        <w:t>y además se simplifican las condiciones de almacenamiento y transporte del producto</w:t>
        <w:br/>
        <w:br/>
        <w:t>final (Aguilar-Toalá et  al., 2018; Cicenia et  al., 2014; Wegh et  al., 2019). Esto es</w:t>
        <w:br/>
        <w:t>especialmente  importante cuando no  se dan  las  condiciones  ideales  para  la</w:t>
        <w:br/>
        <w:br/>
        <w:t>conservación de probióticos, como podría ocurrir en condiciones de campo.</w:t>
        <w:br/>
        <w:br/>
        <w:br/>
        <w:t>Por último, la administración de posbióticos disminuye la probabilidad de presentar</w:t>
        <w:br/>
        <w:br/>
        <w:t>efectos adversos como transferencia de genes de resistencia y bacteriemia, que se dan</w:t>
        <w:br/>
        <w:br/>
        <w:br/>
        <w:br/>
        <w:t xml:space="preserve">                                            MARÍA BRAVO SANTILLANA  70</w:t>
        <w:br/>
      </w:r>
    </w:p>
    <w:p>
      <w:r>
        <w:t>Página 71:</w:t>
        <w:br/>
        <w:t>REV | Antecedentes y marco teórico</w:t>
        <w:br/>
        <w:br/>
        <w:t>esporádicamente tras la administración de probióticos, aunque en muy raras ocasiones</w:t>
        <w:br/>
        <w:br/>
        <w:t>se observan complicaciones graves (Aguilar-Toalá et al., 2018).</w:t>
        <w:br/>
        <w:br/>
        <w:br/>
        <w:br/>
        <w:t>Modo de acción de los posbióticos</w:t>
        <w:br/>
        <w:br/>
        <w:t>Los posbióticos tienen, de forma general, efectos locales: modulador de la microbiota,</w:t>
        <w:br/>
        <w:t>antimicrobiano e inmunomodulador;  y  otros  efectos  sistémicos  derivados que</w:t>
        <w:br/>
        <w:br/>
        <w:t>favorecen los procesos fisiológicos animales y confieren un enorme beneficio para la</w:t>
        <w:br/>
        <w:t>salud del hospedador (Aguilar-Toalá et al., 2018; Wegh et al., 2019).</w:t>
        <w:br/>
        <w:br/>
        <w:br/>
        <w:t>La modulación de la microbiota se lleva a cabo mediante moléculas señalizadoras que</w:t>
        <w:br/>
        <w:br/>
        <w:t>inducen complejos sistemas de comunicación celular (Xavier, 2018). Por ejemplo, las</w:t>
        <w:br/>
        <w:br/>
        <w:t>vesículas extracelulares (VEs) contienen gran diversidad de sustancias como proteínas,</w:t>
        <w:br/>
        <w:t>ácidos nucleicos, fosfolípidos, glucolípidos y polisacáridos, que interaccionan con la</w:t>
        <w:br/>
        <w:br/>
        <w:t>microbiota del hospedador transfiriendo material genético y proteínas y participando</w:t>
        <w:br/>
        <w:t>en los procesos de señalización (Wegh et  al., 2019). De esta manera se consigue</w:t>
        <w:br/>
        <w:br/>
        <w:t>modificar  la composición de  las poblaciones microbianas, creando un  equilibrio</w:t>
        <w:br/>
        <w:t>favorable entre especies beneficiosas y potencialmente nocivas.</w:t>
        <w:br/>
        <w:br/>
        <w:br/>
        <w:t>La actividad antimicrobiana de los posbióticos se debe a la presencia de compuestos que</w:t>
        <w:br/>
        <w:br/>
        <w:t>inhiben el crecimiento de microorganismos patógenos, especialmente bacterias Gram +</w:t>
        <w:br/>
        <w:br/>
        <w:t>y Gram -. Estos compuestos son fundamentalmente proteínas y péptidos pequeños,</w:t>
        <w:br/>
        <w:t>como las bacteriocinas; y ácidos orgánicos, como el lactato o el acetato (Aguilar-Toalá</w:t>
        <w:br/>
        <w:br/>
        <w:t>et al., 2018; Wegh et al., 2019). También se han descrito enzimas y otras moléculas de</w:t>
        <w:br/>
        <w:t>bajo peso molecular con actividad antimicrobiana (Aguilar-Toalá et al., 2018).</w:t>
        <w:br/>
        <w:br/>
        <w:br/>
        <w:t>La interacción de los metabolitos bioactivos producidos por microorganismos con el</w:t>
        <w:br/>
        <w:br/>
        <w:t>sistema inmunitario del hospedador está generando cada vez más interés en  la</w:t>
        <w:br/>
        <w:t>comunidad  científica actual.  El efecto inmunomodulador de los posbióticos está</w:t>
        <w:br/>
        <w:br/>
        <w:t>relacionado con su capacidad de inducción o supresión del sistema inmunitario y la</w:t>
        <w:br/>
        <w:br/>
        <w:t>regulación de la producción de citoquinas proinflamatorias y antiinflamatorias (Aguilar-</w:t>
        <w:br/>
        <w:t>Toalá et al., 2018; Cicenia et al., 2014; Wegh et al., 2019). Algunos metabolitos que</w:t>
        <w:br/>
        <w:br/>
        <w:br/>
        <w:t xml:space="preserve"> 71  MARÍA BRAVO SANTILLANA</w:t>
        <w:br/>
      </w:r>
    </w:p>
    <w:p>
      <w:r>
        <w:t>Página 72:</w:t>
        <w:br/>
        <w:t xml:space="preserve">                        REV | Antecedentes y marco teórico</w:t>
        <w:br/>
        <w:br/>
        <w:t>participan en este proceso son los AGCC, como el acetato o el propionato, que potencian</w:t>
        <w:br/>
        <w:br/>
        <w:t>la función de barrera intestinal, favoreciendo la inmunidad de las mucosas y tiene un</w:t>
        <w:br/>
        <w:t>efecto sobre la diferenciación de los macrófagos y las células dendríticas (Wegh et al.,</w:t>
        <w:br/>
        <w:br/>
        <w:t>2019).  También  se  han  descrito  varias  proteínas  y  polisacáridos, como  el</w:t>
        <w:br/>
        <w:t>lipopolisacárido, con diversos efectos sobre rutas inmunológicas y la producción de</w:t>
        <w:br/>
        <w:br/>
        <w:t>citoquinas (Aguilar-Toalá et al., 2018; Cicenia et al., 2014).</w:t>
        <w:br/>
        <w:br/>
        <w:br/>
        <w:br/>
        <w:t>Beneficios de los posbióticos para la sanidad animal</w:t>
        <w:br/>
        <w:br/>
        <w:t>Los posbióticos consiguen mejorar los indicadores de salud y aumentar el rendimiento</w:t>
        <w:br/>
        <w:t>productivo y la rentabilidad de los animales, disminuyendo los procesos que cursan con</w:t>
        <w:br/>
        <w:br/>
        <w:t>una gran mortalidad y morbilidad, especialmente durante las fases críticas de la</w:t>
        <w:br/>
        <w:br/>
        <w:t>producción. Varios estudios realizados en corderos, cerdos y pollos de engorde han</w:t>
        <w:br/>
        <w:t>demostrado que la administración de posbióticos mejora los indicadores productivos de</w:t>
        <w:br/>
        <w:br/>
        <w:t>los animales (Bajagai et al., 2016; Humam et al., 2019; Izuddin, Loh, Samsudin, et al.,</w:t>
        <w:br/>
        <w:t>2019) y un estudio realizados en gallinas de puesta encontró una mejora en la</w:t>
        <w:br/>
        <w:br/>
        <w:t>producción y calidad de los huevos (Loh et al., 2014). El empleo de estos suplementos</w:t>
        <w:br/>
        <w:t>durante las fases de mayores requerimientos nutricionales, facilita la digestibilidad y el</w:t>
        <w:br/>
        <w:br/>
        <w:t>aprovechamiento de  los  nutrientes, favoreciendo  la producción y absorción de</w:t>
        <w:br/>
        <w:t>sustancias que son esenciales para aumentar el ritmo de crecimiento de los animales y</w:t>
        <w:br/>
        <w:br/>
        <w:t>la eficacia en la transformación de los alimentos (Aguilar-Toalá et al., 2018; Bajagai et</w:t>
        <w:br/>
        <w:br/>
        <w:t>al., 2016). Además, la modulación de la microbiota intestinal aumenta las poblaciones</w:t>
        <w:br/>
        <w:t>beneficiosas de bacterias como Lactobacillus y Bifidobacterium en detrimento de</w:t>
        <w:br/>
        <w:br/>
        <w:t>coliformes y otras enterobacterias potencialmente patógenas, entre  los que se</w:t>
        <w:br/>
        <w:t>encuentran E. coli y Clostridium spp. (Aguilar-Toalá et al., 2018).</w:t>
        <w:br/>
        <w:br/>
        <w:br/>
        <w:t>Sin duda, una gran potencialidad de los posbióticos para la sanidad global está en la</w:t>
        <w:br/>
        <w:br/>
        <w:t>reducción de la utilización de antimicrobianos. Esto se consigue, por un lado, porque</w:t>
        <w:br/>
        <w:t>gracias a la capacidad de las BAL para producir sustancias inhibitorias del crecimiento de</w:t>
        <w:br/>
        <w:br/>
        <w:t>patógenos, se postulan como una novedosa alternativa para la limitación del uso de</w:t>
        <w:br/>
        <w:br/>
        <w:t>antibióticos en animales de producción. La creciente preocupación por la propagación</w:t>
        <w:br/>
        <w:t>de bacterias resistentes a los antibióticos ocasionó la prohibición de la utilización de</w:t>
        <w:br/>
        <w:br/>
        <w:br/>
        <w:t xml:space="preserve">                                            MARÍA BRAVO SANTILLANA  72</w:t>
        <w:br/>
      </w:r>
    </w:p>
    <w:p>
      <w:r>
        <w:t>Página 73:</w:t>
        <w:br/>
        <w:t>REV | Antecedentes y marco teórico</w:t>
        <w:br/>
        <w:br/>
        <w:t>estos como promotores del crecimiento en el año 2006 y a partir de ahí se han</w:t>
        <w:br/>
        <w:br/>
        <w:t>desarrollado distintas estrategias recogidas en el PRAN (Plan Nacional frente a la</w:t>
        <w:br/>
        <w:t>Resistencia a los Antibióticos, 2014-2018; 2019-2021). Además, algunas de estas</w:t>
        <w:br/>
        <w:br/>
        <w:t>sustancias inhibitorias se han utilizado en combinación con la terapia antibiótica,</w:t>
        <w:br/>
        <w:t>contribuyendo al tratamiento de la infección potenciando su efecto antimicrobiano y</w:t>
        <w:br/>
        <w:br/>
        <w:t>previniendo el desarrollo de resistencias antimicrobianas si se consigue el mismo efecto</w:t>
        <w:br/>
        <w:t>terapéutico con menos dosis de antibiótico (Gradisteanu-Pircalabioru et  al., 2021;</w:t>
        <w:br/>
        <w:br/>
        <w:t>Mathur et al., 2017; Ng et al., 2020).</w:t>
        <w:br/>
        <w:br/>
        <w:br/>
        <w:t>Por otro lado, debido a su capacidad para potenciar el sistema inmunitario, se consigue</w:t>
        <w:br/>
        <w:br/>
        <w:t>que los organismos animales puedan hacer frente a determinadas enfermedades de</w:t>
        <w:br/>
        <w:t>forma más efectiva, disminuyendo la cantidad de antibióticos a administrar y, en</w:t>
        <w:br/>
        <w:br/>
        <w:t>algunos casos, evitando su utilización. Este efecto antimicrobiano e inmunomodulador</w:t>
        <w:br/>
        <w:t>puede ser un factor muy relevante en la mejora en la salud de los animales y en los</w:t>
        <w:br/>
        <w:br/>
        <w:t>indicadores productivos, optimizando la rentabilidad de las explotaciones ganaderas.</w:t>
        <w:br/>
        <w:t>Pese a que existen algunos estudios preliminares en este sentido, se necesitan más</w:t>
        <w:br/>
        <w:br/>
        <w:t>investigaciones en  profundidad en  animales de  producción,  especialmente en</w:t>
        <w:br/>
        <w:t>condiciones  reales, pero que cumplan  los  criterios básicos de cualquier ensayo</w:t>
        <w:br/>
        <w:br/>
        <w:t>experimental.</w:t>
        <w:br/>
        <w:br/>
        <w:br/>
        <w:br/>
        <w:br/>
        <w:br/>
        <w:t xml:space="preserve"> 73  MARÍA BRAVO SANTILLANA</w:t>
        <w:br/>
      </w:r>
    </w:p>
    <w:p>
      <w:r>
        <w:t>Página 74:</w:t>
        <w:br/>
        <w:t>INTRODUCCIÓN A LA TESIS DOCTORAL Y OBJETIVOS</w:t>
        <w:br/>
      </w:r>
    </w:p>
    <w:p>
      <w:r>
        <w:t>Página 75:</w:t>
        <w:br/>
        <w:t xml:space="preserve">                                          INT | Introducción</w:t>
        <w:br/>
        <w:br/>
        <w:br/>
        <w:br/>
        <w:br/>
        <w:br/>
        <w:t>75  MARÍA BRAVO SANTILLANA</w:t>
        <w:br/>
      </w:r>
    </w:p>
    <w:p>
      <w:r>
        <w:t>Página 76:</w:t>
        <w:br/>
        <w:t xml:space="preserve">                                           INT | Introducción</w:t>
        <w:br/>
        <w:br/>
        <w:t>Introducción a la tesis doctoral</w:t>
        <w:br/>
        <w:br/>
        <w:br/>
        <w:t>Los microorganismos que residen de forma habitual en un hospedador forman parte de</w:t>
        <w:br/>
        <w:br/>
        <w:t>un complejo ecosistema, conocido con el nombre de «microbiota», que participa en el</w:t>
        <w:br/>
        <w:t>desarrollo de multitud de procesos fisiológicos. La microbiota de la fauna silvestre es</w:t>
        <w:br/>
        <w:br/>
        <w:t>más diversa y abundante que la de los animales domésticos y destaca por la mayor</w:t>
        <w:br/>
        <w:t>funcionalidad de sus poblaciones bacterianas (Gao et  al., 2020; Qin et  al., 2020).</w:t>
        <w:br/>
        <w:br/>
        <w:t>Asimismo, tiene una gran relevancia biológica para la supervivencia y conservación de</w:t>
        <w:br/>
        <w:t>las especies, ya que influye en la capacidad de adaptación de los animales al ecosistema</w:t>
        <w:br/>
        <w:br/>
        <w:t>en el que habitan. De hecho, se han descrito grupos bacterianos que podrían ser los</w:t>
        <w:br/>
        <w:t>responsables de  la  resistencia de  algunos  animales  silvestres a  determinadas</w:t>
        <w:br/>
        <w:br/>
        <w:t>enfermedades que afectan al ganado doméstico. Por todo esto, la fauna salvaje podría</w:t>
        <w:br/>
        <w:br/>
        <w:t>ser una fuente de microorganismos potencialmente beneficiosos para modular la</w:t>
        <w:br/>
        <w:t>microbiota de los animales más susceptibles a esas enfermedades (Bahrndorff et al.,</w:t>
        <w:br/>
        <w:br/>
        <w:t>2016; Correa-Fiz et al., 2019).</w:t>
        <w:br/>
        <w:br/>
        <w:br/>
        <w:t>Las bacterias ácido-lácticas (BAL) conforman un grupo de microorganismos muy</w:t>
        <w:br/>
        <w:t>estudiado por  sus numerosas  aplicaciones  tecnológicas y por  sus propiedades</w:t>
        <w:br/>
        <w:br/>
        <w:t>beneficiosas para la salud humana y animal. Este tipo de bacterias han demostrado</w:t>
        <w:br/>
        <w:t>aportar beneficios muy variados, por un lado, favoreciendo los procesos de digestión,</w:t>
        <w:br/>
        <w:br/>
        <w:t>absorción y síntesis de nutrientes, debido a las características de su metabolismo</w:t>
        <w:br/>
        <w:br/>
        <w:t>fermentativo; y, por otro lado, potenciando los sistemas innatos para la lucha frente a</w:t>
        <w:br/>
        <w:t>patógenos, debido principalmente a sus propiedades para producir metabolitos</w:t>
        <w:br/>
        <w:br/>
        <w:t>antimicrobianos y a su capacidad para interaccionar con el sistema inmunitario del</w:t>
        <w:br/>
        <w:t>hospedador (Mekadim et al., 2019; Pessione, 2012). Por todo esto, se utilizan de forma</w:t>
        <w:br/>
        <w:br/>
        <w:t>habitual en formulaciones con compuestos bioactivos, como los probióticos y otros</w:t>
        <w:br/>
        <w:t>productos derivados, como los posbióticos (Piqué et al., 2019).</w:t>
        <w:br/>
        <w:br/>
        <w:br/>
        <w:t>En este sentido, los piensos funcionales son aquellos que incorporan compuestos</w:t>
        <w:br/>
        <w:br/>
        <w:t>bioactivos que pueden mejorar la salud y la productividad de los animales más allá de lo</w:t>
        <w:br/>
        <w:br/>
        <w:t>que cabría esperar únicamente por su potencial nutricional (Velasco et al., 2006). Los</w:t>
        <w:br/>
        <w:br/>
        <w:br/>
        <w:br/>
        <w:t xml:space="preserve">                                            MARÍA BRAVO SANTILLANA  76</w:t>
        <w:br/>
      </w:r>
    </w:p>
    <w:p>
      <w:r>
        <w:t>Página 77:</w:t>
        <w:br/>
        <w:t>INT | Introducción</w:t>
        <w:br/>
        <w:br/>
        <w:t>posbióticos son productos o subproductos metabólicos bioactivos y componentes</w:t>
        <w:br/>
        <w:br/>
        <w:t>estructurales bacterianos que son generados en una matriz durante un proceso de</w:t>
        <w:br/>
        <w:t>fermentación  microbiana  controlada.  Los  posbióticos  constituyen un  producto</w:t>
        <w:br/>
        <w:br/>
        <w:t>innovador que se produce a  partir de bacterias probióticas que se encuentran</w:t>
        <w:br/>
        <w:t>inanimadas, conservando su actividad funcional, en la preparación final y que incluye los</w:t>
        <w:br/>
        <w:br/>
        <w:t>metabolitos de fermentación generados de forma espontánea con un rendimiento</w:t>
        <w:br/>
        <w:t>optimizado (Salminen et al., 2021). Estos productos se encuentran en auge y se postulan</w:t>
        <w:br/>
        <w:br/>
        <w:t>como una nueva alternativa para el manejo de ciertas patologías que afectan a la</w:t>
        <w:br/>
        <w:t>sanidad y a la productividad de los animales.</w:t>
        <w:br/>
        <w:br/>
        <w:br/>
        <w:t>La necesidad de la incorporación de nuevas herramientas preventivas o terapéuticas</w:t>
        <w:br/>
        <w:t>para el control de enfermedades infecciosas viene determinada por la emergencia de</w:t>
        <w:br/>
        <w:br/>
        <w:t>patógenos bacterianos resistentes a los antimicrobianos de uso común, lo que condujo</w:t>
        <w:br/>
        <w:t>a la prohibición de la utilización de estos como aditivos en alimentación animal en las</w:t>
        <w:br/>
        <w:br/>
        <w:t>últimas décadas y a promover su limitación a condiciones terapéuticas (Bajagai et al.,</w:t>
        <w:br/>
        <w:t>2016). Estas nuevas alternativas necesitan ser investigadas en profundidad mediante</w:t>
        <w:br/>
        <w:br/>
        <w:t>una caracterización completa en condiciones de laboratorio que aseguren, por una</w:t>
        <w:br/>
        <w:t>parte, su inocuidad y, por otra parte, su efectividad (Soltani et al., 2021). Para esto, se</w:t>
        <w:br/>
        <w:br/>
        <w:t>deben complementar los procedimientos de laboratorio mediante la extrapolación de</w:t>
        <w:br/>
        <w:br/>
        <w:t>los estudios en animales de experimentación, en una primera fase, y en las condiciones</w:t>
        <w:br/>
        <w:t>más reales de campo, en una segunda fase.</w:t>
        <w:br/>
        <w:br/>
        <w:br/>
        <w:t>Por todo esto, la elaboración de un producto innovador que pueda ser comercializado</w:t>
        <w:br/>
        <w:br/>
        <w:t>para el control de determinados procesos de importancia en sanidad animal, requiere</w:t>
        <w:br/>
        <w:t>del diseño de una batería de procedimientos que incluyan un extenso trabajo de</w:t>
        <w:br/>
        <w:br/>
        <w:t>investigación y el cumplimiento de una serie de requisitos que aseguren su calidad.</w:t>
        <w:br/>
        <w:br/>
        <w:br/>
        <w:t>Esta  tesis doctoral presenta  la  particularidad de pertenecer a un proyecto de</w:t>
        <w:br/>
        <w:br/>
        <w:t>investigación industrial, desarrollado en el seno de la empresa INGULADOS SL, que</w:t>
        <w:br/>
        <w:t>pretende generar conocimiento científico y tecnológico que pueda ser aplicado por la</w:t>
        <w:br/>
        <w:br/>
        <w:t>propia empresa, para aumentar su competitividad en el sector; y transferido a la</w:t>
        <w:br/>
        <w:t>sociedad en general, para solventar el problema de salud pública planteado.</w:t>
        <w:br/>
        <w:br/>
        <w:br/>
        <w:t xml:space="preserve"> 77  MARÍA BRAVO SANTILLANA</w:t>
        <w:br/>
      </w:r>
    </w:p>
    <w:p>
      <w:r>
        <w:t>Página 78:</w:t>
        <w:br/>
        <w:t xml:space="preserve">                                           INT | Introducción</w:t>
        <w:br/>
        <w:br/>
        <w:t>Estructura de la tesis doctoral</w:t>
        <w:br/>
        <w:br/>
        <w:br/>
        <w:t>Este documento se estructura en tres bloques claramente diferenciados, que se</w:t>
        <w:br/>
        <w:br/>
        <w:t>complementan entre sí. El BLOQUE I aglutina una serie de experimentos de laboratorio</w:t>
        <w:br/>
        <w:t>in vitro, divididos en tres capítulos, que describen los procedimientos para la selección</w:t>
        <w:br/>
        <w:br/>
        <w:t>y la caracterización de las propiedades de las BAL aisladas de animales silvestres con</w:t>
        <w:br/>
        <w:br/>
        <w:t>situaciones epidemiológicas particulares. El capítulo  I, denominado «Aislamiento y</w:t>
        <w:br/>
        <w:t>selección de BAL de la microbiota digestiva de jabalíes que habitan en áreas con</w:t>
        <w:br/>
        <w:br/>
        <w:t>diferente prevalencia de tuberculosis (TB) y estudio de sus capacidades para antagonizar</w:t>
        <w:br/>
        <w:t>las micobacterias», describe los procedimientos para el aislamiento de BAL simbiontes</w:t>
        <w:br/>
        <w:br/>
        <w:t>de la microbiota de jabalíes y pretende descifrar el papel de estas en relación con la TB,</w:t>
        <w:br/>
        <w:t>una importante enfermedad que afecta tanto a la fauna silvestre como a la ganadería</w:t>
        <w:br/>
        <w:br/>
        <w:t>doméstica, generando importantes pérdidas económicas en todo el mundo. En el</w:t>
        <w:br/>
        <w:t>segundo capítulo titulado «Evaluación del potencial beneficioso de los aislados: estudios</w:t>
        <w:br/>
        <w:br/>
        <w:t>de seguridad, determinación in vitro de la acción antimicrobiana frente a patógenos y</w:t>
        <w:br/>
        <w:br/>
        <w:t>valoración de su capacidad inmunomoduladora» se realiza una valoración de las</w:t>
        <w:br/>
        <w:t>propiedades  beneficiosas de  las BAL  aisladas en  relación  con  tres  aspectos</w:t>
        <w:br/>
        <w:br/>
        <w:t>fundamentales: su seguridad para los hospedadores, su capacidad para interaccionar</w:t>
        <w:br/>
        <w:t>con las células inmunitarias de los hospedadores y sus propiedades para producir</w:t>
        <w:br/>
        <w:br/>
        <w:t>sustancias antimicrobianas frente a patógenos animales. En el tercer y último capítulo</w:t>
        <w:br/>
        <w:t>de  este  bloque,  llamado  «Optimización  funcional  del  efecto  antimicrobiano,</w:t>
        <w:br/>
        <w:br/>
        <w:t>determinación de la naturaleza de la actividad y estudio de sinergia con antibióticos» se</w:t>
        <w:br/>
        <w:t>describen los procedimientos para dilucidar el origen de los componentes que ejercen</w:t>
        <w:br/>
        <w:br/>
        <w:t>fundamentalmente la actividad antimicrobiana, se optimiza su efecto y se evalúan en</w:t>
        <w:br/>
        <w:br/>
        <w:t>sinergia con antibióticos de uso común en medicina veterinaria.</w:t>
        <w:br/>
        <w:br/>
        <w:br/>
        <w:t>Por otro lado, el BLOQUE  II describe tres modelos experimentales de investigación</w:t>
        <w:br/>
        <w:t>aplicada in vivo para tratar de buscar aplicaciones a las propiedades potencialmente</w:t>
        <w:br/>
        <w:br/>
        <w:t>beneficiosas detectadas. En cada uno de los estudios se elaboró un producto diferente</w:t>
        <w:br/>
        <w:t>a partir de una selección de BAL aisladas de la microbiota de jabalíes con una situación</w:t>
        <w:br/>
        <w:br/>
        <w:t>sanitaria excepcional. Este bloque está estructurado en tres capítulos de investigación</w:t>
        <w:br/>
        <w:t>aplicada en sanidad animal con tres modelos que van desde lo más experimental,</w:t>
        <w:br/>
        <w:br/>
        <w:br/>
        <w:t xml:space="preserve">                                            MARÍA BRAVO SANTILLANA  78</w:t>
        <w:br/>
      </w:r>
    </w:p>
    <w:p>
      <w:r>
        <w:t>Página 79:</w:t>
        <w:br/>
        <w:t>INT | Introducción</w:t>
        <w:br/>
        <w:br/>
        <w:t>comenzando con un  estudio en animales destinados a  fines  científicos, cuyas</w:t>
        <w:br/>
        <w:br/>
        <w:t>condiciones están totalmente controladas en todo momento; pasando por un modelo</w:t>
        <w:br/>
        <w:t>doméstico que presenta las condiciones habituales de estabulación de los animales</w:t>
        <w:br/>
        <w:br/>
        <w:t>durante un periodo determinado de tiempo, con una intervención moderada; hasta</w:t>
        <w:br/>
        <w:t>finalizar con el tercer modelo, que es el silvestre, que refleja las condiciones más reales</w:t>
        <w:br/>
        <w:br/>
        <w:t>posibles en animales que viven en libertad, pero cumpliendo determinados requisitos</w:t>
        <w:br/>
        <w:t>para ser considerado un modelo experimental. De este modo, capítulo IV se denomina</w:t>
        <w:br/>
        <w:br/>
        <w:t>«Efecto sinérgico de los metabolitos microbianos sobre la terapia antibiótica en una</w:t>
        <w:br/>
        <w:t>neumonía experimental en modelo ratón» y describe la investigación in vivo de una de</w:t>
        <w:br/>
        <w:br/>
        <w:t>las sinergias funcionales detectadas en el capítulo III, para el tratamiento de la infección</w:t>
        <w:br/>
        <w:br/>
        <w:t>experimental  producida  por  Pasteurella  multocida  mediante  la  administración</w:t>
        <w:br/>
        <w:t>combinada de un antibiótico y un suplemento elaborado con metabolitos de las BAL. El</w:t>
        <w:br/>
        <w:br/>
        <w:t>capítulo V «Administración de posbióticos para la mejora de los indicadores sanitarios y</w:t>
        <w:br/>
        <w:t>los parámetros productivos en ganadería» describe el efecto de un producto posbiótico</w:t>
        <w:br/>
        <w:br/>
        <w:t>añadido al pienso en un cebadero ovino durante el periodo de engorde de los animales</w:t>
        <w:br/>
        <w:t>de producción. El capítulo VI «Administración de posbióticos para el control de TB en</w:t>
        <w:br/>
        <w:br/>
        <w:t>fauna silvestre» cierra el bloque de experimentación animal con un estudio en jabalíes</w:t>
        <w:br/>
        <w:t>que pretende controlar la TB, la enfermedad en relación con la cual se seleccionaron las</w:t>
        <w:br/>
        <w:br/>
        <w:t>BAL  beneficiosas, mediante  la  administración de un  producto  posbiótico con</w:t>
        <w:br/>
        <w:br/>
        <w:t>propiedades antagónicas para Mycobacterium bovis, el agente causal de la TB.</w:t>
        <w:br/>
        <w:br/>
        <w:br/>
        <w:t>Por último, el BLOQUE III presenta un capítulo único, que es el capítulo VII de la tesis</w:t>
        <w:br/>
        <w:t>doctoral, denominado «Difusión e impacto del conocimiento científico generado en la</w:t>
        <w:br/>
        <w:br/>
        <w:t>transferencia tecnológica» que describe la transferencia de tecnología y conocimiento</w:t>
        <w:br/>
        <w:t>que se ha derivado de la presente tesis de doctorado industrial, materializando el</w:t>
        <w:br/>
        <w:br/>
        <w:t>impacto que ha tenido el desarrollo de procesos sobre la empresa INGULADOS y</w:t>
        <w:br/>
        <w:t>describiendo tanto las actividades de difusión y divulgación que se han realizado, así</w:t>
        <w:br/>
        <w:br/>
        <w:t>como la protección de determinadas invenciones mediante la solicitud de dos patentes.</w:t>
        <w:br/>
        <w:br/>
        <w:br/>
        <w:br/>
        <w:br/>
        <w:br/>
        <w:t xml:space="preserve"> 79  MARÍA BRAVO SANTILLANA</w:t>
        <w:br/>
      </w:r>
    </w:p>
    <w:p>
      <w:r>
        <w:t>Página 80:</w:t>
        <w:br/>
        <w:t xml:space="preserve">                                           INT | Introducción</w:t>
        <w:br/>
        <w:br/>
        <w:t>Objetivos de la tesis doctoral</w:t>
        <w:br/>
        <w:br/>
        <w:br/>
        <w:t>En base a todo lo anterior y a los antecedentes previamente desarrollados, esta tesis</w:t>
        <w:br/>
        <w:br/>
        <w:t>doctoral plantea los siguientes objetivos generales:</w:t>
        <w:br/>
        <w:br/>
        <w:t>BLOQUE I: experimentos de laboratorio in vitro</w:t>
        <w:br/>
        <w:br/>
        <w:br/>
        <w:t>Capítulo I à objetivo I</w:t>
        <w:br/>
        <w:br/>
        <w:br/>
        <w:t>Dilucidar si la microbiota de las poblaciones de jabalíes contribuye a mantener un estado</w:t>
        <w:br/>
        <w:t>libre de tuberculosis en fincas localizadas en zonas de alto riesgo de la enfermedad</w:t>
        <w:br/>
        <w:br/>
        <w:t>mediante el estudio de las propiedades antimicrobianas e inmunomoduladoras de su</w:t>
        <w:br/>
        <w:t>perfil de bacterias ácido-lácticas con capacidad para antagonizar Mycobacterium bovis,</w:t>
        <w:br/>
        <w:br/>
        <w:t>el agente causal de la tuberculosis.</w:t>
        <w:br/>
        <w:br/>
        <w:br/>
        <w:t>Capítulo II à objetivo II</w:t>
        <w:br/>
        <w:br/>
        <w:br/>
        <w:t>Estudiar las propiedades potencialmente beneficiosas de las bacterias ácido-lácticas</w:t>
        <w:br/>
        <w:br/>
        <w:t>aisladas de la microbiota de jabalíes mediante un análisis genotípico y fenotípico</w:t>
        <w:br/>
        <w:t>completo del perfil de seguridad de los aislados, de su actividad antimicrobiana frente a</w:t>
        <w:br/>
        <w:br/>
        <w:t>patógenos del jabalí y de sus propiedades inmunomoduladoras.</w:t>
        <w:br/>
        <w:br/>
        <w:br/>
        <w:t>Capítulo III à objetivo III</w:t>
        <w:br/>
        <w:br/>
        <w:br/>
        <w:t>Determinar la naturaleza de la fracción antimicrobiana y estudiar la sinergia de los</w:t>
        <w:br/>
        <w:br/>
        <w:t>metabolitos producidos  al sobrenadante de forma óptima con una selección de</w:t>
        <w:br/>
        <w:t>antibióticos frente a patógenos importantes en medicina veterinaria.</w:t>
        <w:br/>
        <w:br/>
        <w:br/>
        <w:br/>
        <w:br/>
        <w:br/>
        <w:t xml:space="preserve">                                            MARÍA BRAVO SANTILLANA  80</w:t>
        <w:br/>
      </w:r>
    </w:p>
    <w:p>
      <w:r>
        <w:t>Página 81:</w:t>
        <w:br/>
        <w:t>INT | Introducción</w:t>
        <w:br/>
        <w:br/>
        <w:br/>
        <w:t>BLOQUE II: experimentación animal in vivo</w:t>
        <w:br/>
        <w:br/>
        <w:br/>
        <w:t>Capítulo IV à objetivo IV</w:t>
        <w:br/>
        <w:br/>
        <w:br/>
        <w:t>Estudiar el efecto de la administración por vía oral de un suplemento elaborado a partir</w:t>
        <w:br/>
        <w:br/>
        <w:t>de los metabolitos producidos por las bacterias ácido-lácticas en combinación con la</w:t>
        <w:br/>
        <w:t>terapia antibiótica para el control de una neumonía experimental en modelo ratón.</w:t>
        <w:br/>
        <w:br/>
        <w:br/>
        <w:br/>
        <w:t>Capítulo V à objetivo V</w:t>
        <w:br/>
        <w:br/>
        <w:br/>
        <w:t>Analizar el efecto de la administración de un producto posbiótico elaborado a partir de</w:t>
        <w:br/>
        <w:br/>
        <w:t>una selección de aislados sobre los indicadores sanitarios y los parámetros productivos</w:t>
        <w:br/>
        <w:t>en un cebadero de corderos.</w:t>
        <w:br/>
        <w:br/>
        <w:br/>
        <w:t>Capítulo VI à objetivo VI</w:t>
        <w:br/>
        <w:br/>
        <w:br/>
        <w:t>Evaluar  el efecto de un producto posbiótico administrado durante  la época de</w:t>
        <w:br/>
        <w:t>suplementación  llevada a cabo en  poblaciones de  jabalíes  sobre  la  situación</w:t>
        <w:br/>
        <w:br/>
        <w:t>epidemiológica de la tuberculosis.</w:t>
        <w:br/>
        <w:br/>
        <w:br/>
        <w:t>BLOQUE III: transferencia de tecnología y conocimiento científico</w:t>
        <w:br/>
        <w:br/>
        <w:br/>
        <w:t>Capítulo VII à objetivo VII</w:t>
        <w:br/>
        <w:br/>
        <w:br/>
        <w:t>Transferir la tecnología y el conocimiento científico derivado del desarrollo de la</w:t>
        <w:br/>
        <w:br/>
        <w:t>presente tesis doctoral mediante la solicitud de patentes de invención, la aplicación de</w:t>
        <w:br/>
        <w:t>los conocimientos al desarrollo de procesos en la empresa y la difusión de los resultados</w:t>
        <w:br/>
        <w:br/>
        <w:t>mediante la asistencia a congresos y la publicación en revistas científicas y divulgativas.</w:t>
        <w:br/>
        <w:br/>
        <w:br/>
        <w:br/>
        <w:br/>
        <w:t xml:space="preserve"> 81  MARÍA BRAVO SANTILLANA</w:t>
        <w:br/>
      </w:r>
    </w:p>
    <w:p>
      <w:r>
        <w:t>Página 82:</w:t>
        <w:br/>
        <w:t xml:space="preserve">       INT | Introducción</w:t>
        <w:br/>
        <w:br/>
        <w:br/>
        <w:br/>
        <w:br/>
        <w:br/>
        <w:t>MARÍA BRAVO SANTILLANA  82</w:t>
        <w:br/>
      </w:r>
    </w:p>
    <w:p>
      <w:r>
        <w:t>Página 84:</w:t>
        <w:br/>
        <w:t>LAB | Capítulo I</w:t>
        <w:br/>
        <w:br/>
        <w:br/>
        <w:br/>
        <w:br/>
        <w:br/>
        <w:t xml:space="preserve"> 84  MARÍA BRAVO SANTILLANA</w:t>
        <w:br/>
      </w:r>
    </w:p>
    <w:p>
      <w:r>
        <w:t>Página 85:</w:t>
        <w:br/>
        <w:t xml:space="preserve">                                       LAB | Capítulo I</w:t>
        <w:br/>
        <w:br/>
        <w:br/>
        <w:t>BLOQUE I: EXPERIMENTOS DE LABORATORIO IN VITRO</w:t>
        <w:br/>
        <w:br/>
        <w:br/>
        <w:br/>
        <w:br/>
        <w:br/>
        <w:t xml:space="preserve">                                           MARÍA BRAVO SANTILLANA  85</w:t>
        <w:br/>
      </w:r>
    </w:p>
    <w:p>
      <w:r>
        <w:t>Página 86:</w:t>
        <w:br/>
        <w:t>LAB | Capítulo I</w:t>
        <w:br/>
        <w:br/>
        <w:br/>
        <w:br/>
        <w:br/>
        <w:br/>
        <w:t xml:space="preserve"> 86  MARÍA BRAVO SANTILLANA</w:t>
        <w:br/>
      </w:r>
    </w:p>
    <w:p>
      <w:r>
        <w:t>Página 87:</w:t>
        <w:br/>
        <w:t xml:space="preserve">                                        LAB | Capítulo I</w:t>
        <w:br/>
        <w:br/>
        <w:t>ÍNDICE BLOQUE I</w:t>
        <w:br/>
        <w:br/>
        <w:br/>
        <w:br/>
        <w:br/>
        <w:br/>
        <w:t>Capítulo I: Aislamiento y selección de bacterias ácido-lácticas de la microbiota digestiva de jabalíes</w:t>
        <w:br/>
        <w:t>que habitan en áreas con diferentes prevalencias de tuberculosis y estudio de sus capacidades para</w:t>
        <w:br/>
        <w:br/>
        <w:t>antagonizar las micobacterias                                                         89</w:t>
        <w:br/>
        <w:br/>
        <w:t xml:space="preserve">  INTRODUCCIÓN                                                                  91</w:t>
        <w:br/>
        <w:br/>
        <w:t xml:space="preserve">  MÉTODO                                                                        97</w:t>
        <w:br/>
        <w:br/>
        <w:t xml:space="preserve">   Figura resumen del método                                                        105</w:t>
        <w:br/>
        <w:br/>
        <w:t xml:space="preserve">  RESULTADOS                                                                    106</w:t>
        <w:br/>
        <w:br/>
        <w:t xml:space="preserve">  DISCUSIÓN                                                                     124</w:t>
        <w:br/>
        <w:br/>
        <w:t>CAPÍTULO II: Evaluación del potencial beneficioso de los aislados: estudios de seguridad,</w:t>
        <w:br/>
        <w:br/>
        <w:t>determinación in vitro de la acción antimicrobiana frente a patógenos y valoración de su capacidad</w:t>
        <w:br/>
        <w:t>inmunomoduladora                                                                133</w:t>
        <w:br/>
        <w:br/>
        <w:t xml:space="preserve">  INTRODUCCIÓN                                                                  135</w:t>
        <w:br/>
        <w:br/>
        <w:t xml:space="preserve">  MÉTODO                                                                       145</w:t>
        <w:br/>
        <w:br/>
        <w:t xml:space="preserve">   Figura resumen del método                                                        153</w:t>
        <w:br/>
        <w:br/>
        <w:t xml:space="preserve">  RESULTADOS                                                                    154</w:t>
        <w:br/>
        <w:br/>
        <w:t xml:space="preserve">  DISCUSIÓN                                                                     170</w:t>
        <w:br/>
        <w:br/>
        <w:t>CAPÍTULO III: Optimización funcional del efecto antimicrobiano, determinación de la naturaleza de la</w:t>
        <w:br/>
        <w:t>actividad y estudios de sinergia con antibióticos                                          181</w:t>
        <w:br/>
        <w:br/>
        <w:t xml:space="preserve">  INTRODUCCIÓN                                                                  183</w:t>
        <w:br/>
        <w:br/>
        <w:t xml:space="preserve">  MÉTODO                                                                       187</w:t>
        <w:br/>
        <w:br/>
        <w:t xml:space="preserve">   Figura resumen del método                                                        193</w:t>
        <w:br/>
        <w:br/>
        <w:t xml:space="preserve">  RESULTADOS                                                                    194</w:t>
        <w:br/>
        <w:br/>
        <w:t xml:space="preserve">  DISCUSIÓN                                                                     200</w:t>
        <w:br/>
        <w:br/>
        <w:br/>
        <w:br/>
        <w:br/>
        <w:br/>
        <w:t xml:space="preserve">                                            MARÍA BRAVO SANTILLANA  87</w:t>
        <w:br/>
      </w:r>
    </w:p>
    <w:p>
      <w:r>
        <w:t>Página 88:</w:t>
        <w:br/>
        <w:t>LAB | Capítulo I</w:t>
        <w:br/>
        <w:br/>
        <w:br/>
        <w:br/>
        <w:br/>
        <w:br/>
        <w:t xml:space="preserve"> 88  MARÍA BRAVO SANTILLANA</w:t>
        <w:br/>
      </w:r>
    </w:p>
    <w:p>
      <w:r>
        <w:t>Página 89:</w:t>
        <w:br/>
        <w:t xml:space="preserve">                                       LAB | Capítulo I</w:t>
        <w:br/>
        <w:br/>
        <w:br/>
        <w:br/>
        <w:t>Capítulo I: Aislamiento y selección de bacterias ácido-lácticas de</w:t>
        <w:br/>
        <w:t>la microbiota digestiva de jabalíes que habitan en áreas con</w:t>
        <w:br/>
        <w:t>diferentes  prevalencias de  tuberculosis  y  estudio de  sus</w:t>
        <w:br/>
        <w:t>capacidades para antagonizar las micobacterias</w:t>
        <w:br/>
        <w:br/>
        <w:br/>
        <w:br/>
        <w:br/>
        <w:br/>
        <w:t xml:space="preserve">                                           MARÍA BRAVO SANTILLANA  89</w:t>
        <w:br/>
      </w:r>
    </w:p>
    <w:p>
      <w:r>
        <w:t>Página 90:</w:t>
        <w:br/>
        <w:t>LAB | Capítulo I</w:t>
        <w:br/>
        <w:br/>
        <w:br/>
        <w:br/>
        <w:br/>
        <w:br/>
        <w:t xml:space="preserve"> 90  MARÍA BRAVO SANTILLANA</w:t>
        <w:br/>
      </w:r>
    </w:p>
    <w:p>
      <w:r>
        <w:t>Página 91:</w:t>
        <w:br/>
        <w:t xml:space="preserve">                                        LAB | Capítulo I</w:t>
        <w:br/>
        <w:br/>
        <w:t>INTRODUCCIÓN</w:t>
        <w:br/>
        <w:br/>
        <w:br/>
        <w:br/>
        <w:t>La importancia de la tuberculosis en reservorios silvestres como el jabalí</w:t>
        <w:br/>
        <w:br/>
        <w:t>La tuberculosis (TB) es una enfermedad crónica causada por varias especies de</w:t>
        <w:br/>
        <w:t>micobacterias perteneciente al complejo Mycobacterium tuberculosis (CMT), que afecta</w:t>
        <w:br/>
        <w:br/>
        <w:t>al sector ganadero y cinegético y genera importantes pérdidas económicas en todo el</w:t>
        <w:br/>
        <w:br/>
        <w:t>mundo (Ayele et al., 2004; Naranjo et al., 2008). A pesar de las estrictas medidas llevadas</w:t>
        <w:br/>
        <w:t>a cabo durante las campañas de erradicación en los últimos años, esta enfermedad sigue</w:t>
        <w:br/>
        <w:br/>
        <w:t>siendo muy prevalente en algunos países europeos, incluida España, donde las especies</w:t>
        <w:br/>
        <w:t>ganaderas cohabitan con reservorios silvestres de micobacterias, especialmente M.</w:t>
        <w:br/>
        <w:br/>
        <w:t>bovis (Corner, 2006; Naranjo et al., 2008). Los ungulados salvajes como el jabalí europeo</w:t>
        <w:br/>
        <w:t>(Sus scrofa) muestran una alta prevalencia TB en algunas zonas de España (Risco et al.,</w:t>
        <w:br/>
        <w:br/>
        <w:t>2019), complicando una completa eliminación de la enfermedad en estas áreas. Aunque</w:t>
        <w:br/>
        <w:t>estas cuestiones se tratarán en mayor profundidad en el capítulo IV, la evidencia</w:t>
        <w:br/>
        <w:br/>
        <w:t>científica sugiere que, junto con los estudios epidemiológicos y ecológicos, es necesario</w:t>
        <w:br/>
        <w:br/>
        <w:t>un mejor conocimiento de la patología y transmisión de la infección por M. bovis para</w:t>
        <w:br/>
        <w:t>determinar el papel significativo de estos animales silvestres en el mantenimiento de la</w:t>
        <w:br/>
        <w:br/>
        <w:t>TB.</w:t>
        <w:br/>
        <w:br/>
        <w:br/>
        <w:t>Al igual que otras especies del CMT, las células de M. bovis son inicialmente fagocitadas</w:t>
        <w:br/>
        <w:t>por macrófagos en el hospedador, donde pueden sobrevivir, replicarse y diseminarse a</w:t>
        <w:br/>
        <w:br/>
        <w:t>diferentes partes anatómicas del cuerpo (Cosma et al., 2003). Cuando los macrófagos</w:t>
        <w:br/>
        <w:t>transportan las bacterias a tejidos más profundos, se produce la acumulación de otras</w:t>
        <w:br/>
        <w:br/>
        <w:t>células inmunitarias alrededor de los focos infectados para formar granulomas, que son</w:t>
        <w:br/>
        <w:br/>
        <w:t>complejos inmunitarios organizados formados por macrófagos, linfocitos y neutrófilos</w:t>
        <w:br/>
        <w:t>diferenciados, aunque los neutrófilos también están presentes en las primeras etapas</w:t>
        <w:br/>
        <w:br/>
        <w:t>de la infección. Pese a la formación de los granulomas en el hospedador como respuesta</w:t>
        <w:br/>
        <w:t>a la infección, la bacteria persiste de forma indefinida existiendo la posibilidad de una</w:t>
        <w:br/>
        <w:br/>
        <w:t>reinfección, pero sin síntomas específicos, que es la paradoja central de la inmunidad</w:t>
        <w:br/>
        <w:t>frente a M. bovis (Cosma et al., 2003). Algunos estudios han confirmado que un elevado</w:t>
        <w:br/>
        <w:br/>
        <w:br/>
        <w:br/>
        <w:t xml:space="preserve">                                            MARÍA BRAVO SANTILLANA  91</w:t>
        <w:br/>
      </w:r>
    </w:p>
    <w:p>
      <w:r>
        <w:t>Página 92:</w:t>
        <w:br/>
        <w:t>LAB | Capítulo I</w:t>
        <w:br/>
        <w:br/>
        <w:t>número de individuos dentro de un grupo de animales infectados no muestran signos</w:t>
        <w:br/>
        <w:br/>
        <w:t>clínicos, pero presentan lesiones generalizadas en la inspección post mortem (Menin et</w:t>
        <w:br/>
        <w:t>al., 2013). En el caso de los jabalíes, a menudo se encuentran patrones generalizados de</w:t>
        <w:br/>
        <w:br/>
        <w:t>la infección con lesiones torácicas y abdominales, generalmente en los nódulos linfáticos</w:t>
        <w:br/>
        <w:t>traqueo-bronquiales y mesentéricos (Martín-Hernando et al., 2007; Matos et al., 2016).</w:t>
        <w:br/>
        <w:br/>
        <w:br/>
        <w:t>Los jabalíes asintomáticos con lesiones generalizadas excretan una gran cantidad de</w:t>
        <w:br/>
        <w:br/>
        <w:t>bacilos de M. bovis al medio ambiente (Risco et al., 2019; Santos et al., 2015). La vía de</w:t>
        <w:br/>
        <w:t>contagio de M. bovis es a través de la mucosa oronasal mediante los alimentos, el agua</w:t>
        <w:br/>
        <w:br/>
        <w:t>o el aire y la bacteria se disemina desde los nódulos linfáticos submandibulares o</w:t>
        <w:br/>
        <w:br/>
        <w:t>mesentéricos al resto del organismo (Martín-Hernando et al., 2007; Matos et al., 2016;</w:t>
        <w:br/>
        <w:t>Menin et al., 2013). Sin embargo, la distribución variable de las lesiones sugiere que;</w:t>
        <w:br/>
        <w:br/>
        <w:t>primero, no es posible dilucidar si la vía respiratoria o la digestiva es más relevante en</w:t>
        <w:br/>
        <w:t>estos animales; y, en segundo lugar, la respuesta inmunitaria de cada individuo puede</w:t>
        <w:br/>
        <w:br/>
        <w:t>influir en el resultado de la enfermedad. Las razones de esta variabilidad en la</w:t>
        <w:br/>
        <w:t>distribución de las lesiones no ha sido completamente explicada y podría deberse a la</w:t>
        <w:br/>
        <w:br/>
        <w:t>variabilidad genética del jabalí (Acevedo-Whitehouse et al., 2005).</w:t>
        <w:br/>
        <w:br/>
        <w:br/>
        <w:t>En jabalíes se ha comprobado cómo la presencia de otros microorganismos puede influir</w:t>
        <w:br/>
        <w:br/>
        <w:t>en el desarrollo de la TB. Así, los jabalíes portadores de circovirus porcino tipo 2 (PCV2)</w:t>
        <w:br/>
        <w:t>y de parásitos del género Metastrongylus, ambos patógenos en esta especie, tienen más</w:t>
        <w:br/>
        <w:br/>
        <w:t>probabilidad de desarrollar lesiones generalizadas de TB (Risco et al., 2014). Por otro</w:t>
        <w:br/>
        <w:t>lado, durante los últimos años, se ha propuesto en medicina humana la posibilidad de</w:t>
        <w:br/>
        <w:br/>
        <w:t>que la microbiota del hospedador pueda contribuir a la resistencia a esta enfermedad</w:t>
        <w:br/>
        <w:t>en determinados individuos, como se abordará en este capítulo.</w:t>
        <w:br/>
        <w:br/>
        <w:br/>
        <w:br/>
        <w:t>Contribución de la microbiota comensal en la lucha frente a la tuberculosis</w:t>
        <w:br/>
        <w:br/>
        <w:t>Como se ha visto en la introducción, los microorganismos simbiontes de un organismo</w:t>
        <w:br/>
        <w:br/>
        <w:t>participan en muchos procesos fisiológicos y contribuyen a mantener un buen estado</w:t>
        <w:br/>
        <w:br/>
        <w:t>de salud en los animales. De hecho, la ausencia de alteraciones en los microorganismos</w:t>
        <w:br/>
        <w:t>que forman parte de la microbiota, es decir, una microbiota sana, conocida con el</w:t>
        <w:br/>
        <w:br/>
        <w:br/>
        <w:t xml:space="preserve"> 92  MARÍA BRAVO SANTILLANA</w:t>
        <w:br/>
      </w:r>
    </w:p>
    <w:p>
      <w:r>
        <w:t>Página 93:</w:t>
        <w:br/>
        <w:t xml:space="preserve">                                        LAB | Capítulo I</w:t>
        <w:br/>
        <w:br/>
        <w:t>nombre de «eubiosis», puede ser considerada como un importante indicador de salud</w:t>
        <w:br/>
        <w:br/>
        <w:t>en las poblaciones animales.</w:t>
        <w:br/>
        <w:br/>
        <w:br/>
        <w:t>Las micobacterias patógenas, como M. tuberculosis o M. bovis, son microorganismos</w:t>
        <w:br/>
        <w:t>adaptados a su hospedador que han coevolucionado con el mismo y han desarrollado</w:t>
        <w:br/>
        <w:br/>
        <w:t>estrategias para evadir los mecanismos de defensa. De hecho, una de las primeras</w:t>
        <w:br/>
        <w:t>barreras que deben eludir es la microbiota comensal, que reside en las mucosas de los</w:t>
        <w:br/>
        <w:br/>
        <w:t>hospedadores, y que tiene como función primordial dificultar este proceso y evitar la</w:t>
        <w:br/>
        <w:t>infección de los macrófagos, su nicho replicativo (Cambier et al., 2014).</w:t>
        <w:br/>
        <w:br/>
        <w:br/>
        <w:t>Son muchos los estudios recientes que han puesto de manifiesto que una microbiota</w:t>
        <w:br/>
        <w:t>alterada en uno o varios aparatos o sistemas del organismo, conocida con el nombre de</w:t>
        <w:br/>
        <w:br/>
        <w:t>«disbiosis», puede condicionar al padecimiento de un gran número de enfermedades</w:t>
        <w:br/>
        <w:t>de todo tipo (du Teil Espina et al., 2019; Nicholson et al., 2012; Peters et al., 2019).</w:t>
        <w:br/>
        <w:br/>
        <w:t>Diversos estudios en la especie humana y en modelos animales han demostrado el papel</w:t>
        <w:br/>
        <w:t>protector que tiene la microbiota digestiva frente a la colonización y el desarrollo de la</w:t>
        <w:br/>
        <w:br/>
        <w:t>TB pulmonar (Dumas et al., 2018; Y. Hu et al., 2019).  De hecho, se han descrito</w:t>
        <w:br/>
        <w:t>alteraciones en la composición de la microbiota intestinal en pacientes con tuberculosis</w:t>
        <w:br/>
        <w:br/>
        <w:t>(Luo et al., 2017; Winglee et al., 2014).</w:t>
        <w:br/>
        <w:br/>
        <w:br/>
        <w:t>Esta asociación entre  la microbiota digestiva y una enfermedad eminentemente</w:t>
        <w:br/>
        <w:br/>
        <w:t>respiratoria en humanos, forma parte del complejo eje intestino-pulmón y no ha sido</w:t>
        <w:br/>
        <w:t>estudiada en animales hasta la fecha. En el caso de especies como el jabalí, la asociación</w:t>
        <w:br/>
        <w:br/>
        <w:t>entre la microbiota digestiva y la TB podría ser incluso más relevante, dado que la</w:t>
        <w:br/>
        <w:t>presencia  de  lesiones  generalizadas  con  afectación  digestiva  son  hallazgos</w:t>
        <w:br/>
        <w:br/>
        <w:t>relativamente frecuentes durante la inspección post mortem (Vicente et al., 2006). Esto</w:t>
        <w:br/>
        <w:t>puede deberse a que en esta especie es importante la vía de contagio oral mediante</w:t>
        <w:br/>
        <w:br/>
        <w:t>ingestión de agua o alimentos contaminados, o incluso de carroña.</w:t>
        <w:br/>
        <w:br/>
        <w:br/>
        <w:t>Por otro lado, algunas especies de bacterias que forman parte de la microbiota comensal</w:t>
        <w:br/>
        <w:br/>
        <w:t>producen    sustancias   que    tienen   propiedades    antimicobacterianas   e</w:t>
        <w:br/>
        <w:t>inmunomoduladoras, es decir, con potencial para antagonizar el desarrollo de bacterias</w:t>
        <w:br/>
        <w:br/>
        <w:br/>
        <w:t xml:space="preserve">                                            MARÍA BRAVO SANTILLANA  93</w:t>
        <w:br/>
      </w:r>
    </w:p>
    <w:p>
      <w:r>
        <w:t>Página 94:</w:t>
        <w:br/>
        <w:t>LAB | Capítulo I</w:t>
        <w:br/>
        <w:br/>
        <w:t>del MTC (Dumas et al., 2018; Hong et al., 2016; Wood et al., 2017). Estas propiedades</w:t>
        <w:br/>
        <w:br/>
        <w:t>podrían realzar el papel de la microbiota comensal para frenar el desarrollo de la</w:t>
        <w:br/>
        <w:t>enfermedad cuando se produce el contagio.</w:t>
        <w:br/>
        <w:br/>
        <w:br/>
        <w:br/>
        <w:t>Papel relevante del grupo de las bacterias ácido-lácticas en la microbiota comensal</w:t>
        <w:br/>
        <w:br/>
        <w:t>Las bacterias ácido-lácticas (BAL) son un conjunto de bacterias que residen de forma</w:t>
        <w:br/>
        <w:br/>
        <w:t>habitual en la microbiota digestiva de los mamíferos (Duar et al., 2017). Uno de los</w:t>
        <w:br/>
        <w:t>géneros más representativos de este grupo, que se conocía hasta el año 2020 como</w:t>
        <w:br/>
        <w:br/>
        <w:t>Lactobacillus, en la actualidad se encuentra dividido en 23 nuevos géneros, como se ha</w:t>
        <w:br/>
        <w:t>comentado en la introducción. No obstante, las bacterias que formaban parte de él se</w:t>
        <w:br/>
        <w:br/>
        <w:t>pueden seguir nombrando con el término general «lactobacilos», puesto que se</w:t>
        <w:br/>
        <w:br/>
        <w:t>considera de utilidad al tratarse de géneros de especies con características comunes</w:t>
        <w:br/>
        <w:t>(Zheng et al., 2020). Otros géneros de importancia en este grupo son los pediococos</w:t>
        <w:br/>
        <w:br/>
        <w:t>(Pediococcus spp.) y enterococos (Enterococcus spp.) que, si bien muestran algunas</w:t>
        <w:br/>
        <w:t>diferencias con respecto los géneros anteriores, comparten un número elevado de</w:t>
        <w:br/>
        <w:br/>
        <w:t>propiedades (Pessione, 2012). No obstante, es importante destacar que varias especies</w:t>
        <w:br/>
        <w:t>del género Enterococcus se han relacionado con procesos patológicos (Braïek y Smaoui,</w:t>
        <w:br/>
        <w:br/>
        <w:t>2019; Pessione, 2012).</w:t>
        <w:br/>
        <w:br/>
        <w:br/>
        <w:t>Se han descrito varias especies de BAL con capacidad para modular la respuesta</w:t>
        <w:br/>
        <w:br/>
        <w:t>inmunitaria de los hospedadores ya que interactúan con las células epiteliales y las</w:t>
        <w:br/>
        <w:t>células presentadoras de antígenos como los macrófagos y han sido estudiadas con</w:t>
        <w:br/>
        <w:br/>
        <w:t>mayor profundidad en los lactobacilos (Mohamadzadeh et al., 2005; Rocha-Ramírez et</w:t>
        <w:br/>
        <w:t>al., 2017). Aunque los mecanismos específicos todavía no se conocen del todo, se ha</w:t>
        <w:br/>
        <w:br/>
        <w:t>demostrado que los componentes de la pared celular y la membrana de estas bacterias,</w:t>
        <w:br/>
        <w:t>como los pili (fimbrias), los peptidoglicanos, los ácidos lipoteicoicos (LTA, WTA) o los</w:t>
        <w:br/>
        <w:br/>
        <w:t>exopolisacáridos (EPS), desempeñan un papel importante en la activación de las células</w:t>
        <w:br/>
        <w:t>fagocíticas de la respuesta inmunitaria innata (Hevia et al., 2015).</w:t>
        <w:br/>
        <w:br/>
        <w:br/>
        <w:t>La  participación de  los  lactobacilos en determinados  procesos  fisiológicos  del</w:t>
        <w:br/>
        <w:t>hospedador  es fundamental  para mantener una adecuada  homeostasis de  la</w:t>
        <w:br/>
        <w:br/>
        <w:br/>
        <w:t xml:space="preserve"> 94  MARÍA BRAVO SANTILLANA</w:t>
        <w:br/>
      </w:r>
    </w:p>
    <w:p>
      <w:r>
        <w:t>Página 95:</w:t>
        <w:br/>
        <w:t xml:space="preserve">                                        LAB | Capítulo I</w:t>
        <w:br/>
        <w:br/>
        <w:t>microbiota, evitando las disbiosis, particularmente en el intestino (Diep et al., 2009;</w:t>
        <w:br/>
        <w:br/>
        <w:t>Gueimonde et al., 2013; Liu et al., 2014). El mantenimiento de un equilibrio microbiano</w:t>
        <w:br/>
        <w:t>beneficioso en el hospedador previene la colonización de patógenos oportunistas</w:t>
        <w:br/>
        <w:br/>
        <w:t>(Martin et  al., 2013). Las BAL producen metabolitos antimicrobianos como ácidos</w:t>
        <w:br/>
        <w:t>orgánicos, peróxido de hidrógeno, etanol y bacteriocinas para competir con otros</w:t>
        <w:br/>
        <w:br/>
        <w:t>microorganismos y establecerse en su nicho ecológico (Pessione, 2012). Algunos de</w:t>
        <w:br/>
        <w:t>estos compuestos, principalmente las bacteriocinas, han demostrado tener actividad</w:t>
        <w:br/>
        <w:br/>
        <w:t>frente a M. bovis y M. tuberculosis (Stedman et al., 2018; Todorov et al., 2008, 2014).</w:t>
        <w:br/>
        <w:t>Aunque se describirán con más detalle en el capítulo siguiente, de forma general, las</w:t>
        <w:br/>
        <w:br/>
        <w:t>bacteriocinas son péptidos antimicrobianos que pueden clasificarse en tres clases</w:t>
        <w:br/>
        <w:br/>
        <w:t>diferentes dependiendo de su estructura química y tamaño: la clase I incluye péptidos</w:t>
        <w:br/>
        <w:t>menores de 10 kDa termoestables y modificados postraduccionalmente (ej., nisina), la</w:t>
        <w:br/>
        <w:br/>
        <w:t>clase II engloba también a los péptidos pequeños y termoestables pero no modificados</w:t>
        <w:br/>
        <w:t>(ej., pediocina) y dentro de esta clase se encuentra la IIa, con una secuencia consenso;</w:t>
        <w:br/>
        <w:br/>
        <w:t>la IIb, bacteriocinas de dos péptidos; la IIb, péptidos pequeños termoestables y la IId, las</w:t>
        <w:br/>
        <w:t>bacteriocinas de péptido único; así como otras subclases menos estudiadas. Por último,</w:t>
        <w:br/>
        <w:br/>
        <w:t>las bacteriocinas de clase III se corresponden con péptidos no modificados, termolábiles</w:t>
        <w:br/>
        <w:t>y mayores de 10 kDa con un mecanismo de acción bacteriolítico (bacteriolisinas) o no</w:t>
        <w:br/>
        <w:br/>
        <w:t>lítico (Alvarez-Sieiro et al., 2016). Además, las bacteriocinas también pueden contribuir</w:t>
        <w:br/>
        <w:br/>
        <w:t>a los efectos inmunomoduladores sobre las células mononucleares de sangre periférica</w:t>
        <w:br/>
        <w:t>y las células dendríticas (Hegarty et al., 2016).</w:t>
        <w:br/>
        <w:br/>
        <w:br/>
        <w:t>Debido a que la bacteria patógena M. bovis penetra en el organismo a través de las</w:t>
        <w:br/>
        <w:br/>
        <w:t>mucosas de los tractos respiratorio o digestivo, donde residen los lactobacilos y otras</w:t>
        <w:br/>
        <w:t>BAL de la microbiota del hospedador, antes de interaccionar con los macrófagos, que</w:t>
        <w:br/>
        <w:br/>
        <w:t>son el nicho óptimo para su replicación y supervivencia; y al hecho de que la microbiota</w:t>
        <w:br/>
        <w:t>puede interaccionar con los macrófagos y desarrollar actividad antimicobacteriana,</w:t>
        <w:br/>
        <w:br/>
        <w:t>estas bacterias beneficiosas podrían ejercer un efecto protector y evitar la diseminación</w:t>
        <w:br/>
        <w:br/>
        <w:t>de la micobacteria por el resto del organismo.</w:t>
        <w:br/>
        <w:br/>
        <w:br/>
        <w:t>A raíz de todo lo anteriormente expuesto se propuso como objetivo general dilucidar si</w:t>
        <w:br/>
        <w:t>la microbiota de las poblaciones de jabalíes contribuye a mantener un estado libre de</w:t>
        <w:br/>
        <w:br/>
        <w:br/>
        <w:t xml:space="preserve">                                            MARÍA BRAVO SANTILLANA  95</w:t>
        <w:br/>
      </w:r>
    </w:p>
    <w:p>
      <w:r>
        <w:t>Página 96:</w:t>
        <w:br/>
        <w:t>LAB | Capítulo I</w:t>
        <w:br/>
        <w:br/>
        <w:t>TB en fincas localizadas en zonas de alto riesgo de la enfermedad, debido a sus</w:t>
        <w:br/>
        <w:br/>
        <w:t>propiedades para antagonizar la bacteria causante de la enfermedad M. bovis. Para ello,</w:t>
        <w:br/>
        <w:t>en este capítulo I se propusieron los siguientes objetivos específicos:</w:t>
        <w:br/>
        <w:br/>
        <w:br/>
        <w:t xml:space="preserve"> -   Realizar el aislamiento de BAL de la microbiota digestiva de jabalíes en fincas con</w:t>
        <w:br/>
        <w:br/>
        <w:t xml:space="preserve">    diferente situación epidemiológica con relación a la TB.</w:t>
        <w:br/>
        <w:br/>
        <w:br/>
        <w:t xml:space="preserve"> -   Descifrar el papel de las BAL que forman parte de la microbiota comensal en el</w:t>
        <w:br/>
        <w:t xml:space="preserve">    desarrollo de la TB, analizando la capacidad para antagonizar al agente causal de la</w:t>
        <w:br/>
        <w:br/>
        <w:t xml:space="preserve">    misma, M. bovis: por un lado, estudiando los efectos antimicrobianos de las BAL</w:t>
        <w:br/>
        <w:br/>
        <w:t xml:space="preserve">    para inhibir el crecimiento de M. bovis y el origen de las actividades inhibitorias</w:t>
        <w:br/>
        <w:t xml:space="preserve">    encontradas y, por otro, analizando sus propiedades para modular la capacidad</w:t>
        <w:br/>
        <w:br/>
        <w:t xml:space="preserve">     fagocítica de los macrófagos.</w:t>
        <w:br/>
        <w:br/>
        <w:br/>
        <w:br/>
        <w:br/>
        <w:br/>
        <w:t xml:space="preserve"> 96  MARÍA BRAVO SANTILLANA</w:t>
        <w:br/>
      </w:r>
    </w:p>
    <w:p>
      <w:r>
        <w:t>Página 97:</w:t>
        <w:br/>
        <w:t xml:space="preserve">                                          LAB | Capítulo I</w:t>
        <w:br/>
        <w:br/>
        <w:t xml:space="preserve">  MÉTODO</w:t>
        <w:br/>
        <w:br/>
        <w:br/>
        <w:br/>
        <w:t>1.  Selección de fincas de estudio y toma de muestras fecales de jabalíes</w:t>
        <w:br/>
        <w:br/>
        <w:t xml:space="preserve">   Se seleccionaron cuatro fincas situadas en el centro y oeste de España con diferentes</w:t>
        <w:br/>
        <w:t xml:space="preserve">    localizaciones geográficas, todas ellas situadas en zonas calificadas como especial riesgo</w:t>
        <w:br/>
        <w:br/>
        <w:t xml:space="preserve">    (alto) de TB en fauna silvestre. Las fincas 1, 2 y 3 tienen nula prevalencia de TB en jabalíes</w:t>
        <w:br/>
        <w:br/>
        <w:t xml:space="preserve">   pese a estar rodeada de fincas con altas prevalencias de la enfermedad. La finca 4, por</w:t>
        <w:br/>
        <w:t xml:space="preserve">    el contrario, tiene una prevalencia del 20% de TB en la población de jabalíes (Tabla 1.1).</w:t>
        <w:br/>
        <w:br/>
        <w:t xml:space="preserve">   Todas las prevalencias se estimaron a partir de datos recogidos en las historias clínicas</w:t>
        <w:br/>
        <w:t xml:space="preserve">   de las fincas durante los últimos años y están calculadas a partir de lesiones compatibles</w:t>
        <w:br/>
        <w:br/>
        <w:t xml:space="preserve">   con tuberculosis de un porcentaje de animales abatidos en las acciones cinegéticas de</w:t>
        <w:br/>
        <w:t xml:space="preserve">    las mismas (datos no incluidos en este documento).</w:t>
        <w:br/>
        <w:br/>
        <w:br/>
        <w:t xml:space="preserve">   La toma de muestras se realizó mediante hisopo rectal con medio AMIES (DELTALAB) de</w:t>
        <w:br/>
        <w:br/>
        <w:t xml:space="preserve">   37 animales jóvenes menores de un año, incluyendo animales vivos capturados</w:t>
        <w:br/>
        <w:br/>
        <w:t xml:space="preserve">   mediante capturaderos y animales muertos abatidos en monterías. Los hisopos rectales</w:t>
        <w:br/>
        <w:t xml:space="preserve">   fueron transportados al laboratorio y conservados a 4 ºC durante un máximo de dos días</w:t>
        <w:br/>
        <w:br/>
        <w:t xml:space="preserve">   hasta su procesamiento. Tras la toma de muestras, los animales vivos fueron liberados</w:t>
        <w:br/>
        <w:t xml:space="preserve">   inmediatamente a su hábitat natural.</w:t>
        <w:br/>
        <w:br/>
        <w:br/>
        <w:br/>
        <w:t xml:space="preserve">                    Tabla 1.1. Información general sobre las fincas incluidas en el estudio</w:t>
        <w:br/>
        <w:br/>
        <w:br/>
        <w:t xml:space="preserve">                                                            Fincas del estudio</w:t>
        <w:br/>
        <w:br/>
        <w:t xml:space="preserve">                            1               2                3               4</w:t>
        <w:br/>
        <w:br/>
        <w:t xml:space="preserve">         Localización         Cuenca           Badajoz         Ciudad Real         Cáceres</w:t>
        <w:br/>
        <w:br/>
        <w:t xml:space="preserve">                            (40° 7’ 53.77’’N    (38° 58’ 44.6’’N /     (39° 2’ 8.35’’N/   (39º 48’ 28.84’’ N/</w:t>
        <w:br/>
        <w:t xml:space="preserve">                              / 2° 31’ 2.9’’O)       5°8’ 53.37’’O)      4° 10’ 27.89’’O)     5°55’ 59,88’’ O)</w:t>
        <w:br/>
        <w:br/>
        <w:t xml:space="preserve">         Área (Ha)           800              500             2500            4900</w:t>
        <w:br/>
        <w:br/>
        <w:t xml:space="preserve">      Vallado perimetral    Cerramiento       Cerramiento       Cerramiento          Abierta</w:t>
        <w:br/>
        <w:t xml:space="preserve">                              cinegético          cinegético          cinegético</w:t>
        <w:br/>
        <w:br/>
        <w:t xml:space="preserve">     Densidad (jabalíes        45               75               35              15</w:t>
        <w:br/>
        <w:t xml:space="preserve">            / Km2)</w:t>
        <w:br/>
        <w:br/>
        <w:br/>
        <w:br/>
        <w:t xml:space="preserve">                                               MARÍA BRAVO SANTILLANA  97</w:t>
        <w:br/>
      </w:r>
    </w:p>
    <w:p>
      <w:r>
        <w:t>Página 98:</w:t>
        <w:br/>
        <w:t xml:space="preserve">  LAB | Capítulo I</w:t>
        <w:br/>
        <w:br/>
        <w:br/>
        <w:t xml:space="preserve">                                                        Fincas del estudio</w:t>
        <w:br/>
        <w:br/>
        <w:t xml:space="preserve">                            1               2                3               4</w:t>
        <w:br/>
        <w:br/>
        <w:t xml:space="preserve">        Alimentación        Recursos      Recursos naturales      Recursos      Recursos naturales</w:t>
        <w:br/>
        <w:t xml:space="preserve">                              naturales y      y suplementación      naturales y</w:t>
        <w:br/>
        <w:t xml:space="preserve">                         suplementación   con maíz y pienso   suplementación</w:t>
        <w:br/>
        <w:br/>
        <w:t xml:space="preserve">                         con pienso      especial para jabalí     con suero</w:t>
        <w:br/>
        <w:t xml:space="preserve">                              especial para                             lácteo, pienso</w:t>
        <w:br/>
        <w:t xml:space="preserve">                                 jabalí y cereal                            especial para</w:t>
        <w:br/>
        <w:br/>
        <w:t xml:space="preserve">                        en siembras                                jabalí y cereal</w:t>
        <w:br/>
        <w:br/>
        <w:t xml:space="preserve">        Ración de la       Ad libitum        0.7 kg / animal      Ad libitum              Sin</w:t>
        <w:br/>
        <w:t xml:space="preserve">      suplementación                                                          suplementación</w:t>
        <w:br/>
        <w:br/>
        <w:t xml:space="preserve">        Cohábitat con         Corzo          Ciervo común       Ciervo común      Ciervo común</w:t>
        <w:br/>
        <w:t xml:space="preserve">       otros ungulados       (Capreolus      (Cervus elaphus) y        (Cervus        (Cervus elaphus)</w:t>
        <w:br/>
        <w:t xml:space="preserve">                              capreolus)      muflón europeo        elaphus),</w:t>
        <w:br/>
        <w:br/>
        <w:t xml:space="preserve">                                                 (Ovis musimon)    muflón europeo</w:t>
        <w:br/>
        <w:t xml:space="preserve">                                                                      (Ovis musimon)</w:t>
        <w:br/>
        <w:t xml:space="preserve">                                                                  y corzo</w:t>
        <w:br/>
        <w:t xml:space="preserve">                                                                    (Capreolus</w:t>
        <w:br/>
        <w:br/>
        <w:t xml:space="preserve">                                                                      capreolus)</w:t>
        <w:br/>
        <w:br/>
        <w:t xml:space="preserve">        Prevalencia de          0               0                0               20</w:t>
        <w:br/>
        <w:t xml:space="preserve">      lesiones de TB (%)</w:t>
        <w:br/>
        <w:br/>
        <w:t xml:space="preserve">            Otras        No se detecta       Chlamydia         Salmonella       Sin información</w:t>
        <w:br/>
        <w:t xml:space="preserve">       enfermedades                       Mal rojo           cholerasuis,</w:t>
        <w:br/>
        <w:t xml:space="preserve">                                                     (Erysipelothrix      Escherichia coli,</w:t>
        <w:br/>
        <w:br/>
        <w:t xml:space="preserve">                                                rhusiopathiae)        Pasteurella</w:t>
        <w:br/>
        <w:t xml:space="preserve">                                                                 multocida B</w:t>
        <w:br/>
        <w:br/>
        <w:br/>
        <w:br/>
        <w:t>2.  Aislamiento y selección de bacterias ácido-lácticas con potencial antimicrobiano</w:t>
        <w:br/>
        <w:br/>
        <w:t xml:space="preserve">   En el laboratorio de microbiología, se introdujeron los hisopos en 10 mililitros (mL) de</w:t>
        <w:br/>
        <w:t xml:space="preserve">   agua de peptona (Oxoid) y se realizaron diluciones seriadas que fueron sembradas en</w:t>
        <w:br/>
        <w:br/>
        <w:t xml:space="preserve">   medio MRS agar (de Man, Rogosa and Sharpe, Oxoid), selectivo para el aislamiento de</w:t>
        <w:br/>
        <w:br/>
        <w:t xml:space="preserve">   BAL. Tras la incubación de las placas en microaerofilia a 37 ºC durante 48-60 horas (h)</w:t>
        <w:br/>
        <w:t xml:space="preserve">   se seleccionaron las placas que tuvieran un número aproximado de 20 a 100 colonias.</w:t>
        <w:br/>
        <w:br/>
        <w:t xml:space="preserve">   De estas placas se inocularon 70 colonias diferentes morfológicamente en una</w:t>
        <w:br/>
        <w:br/>
        <w:br/>
        <w:br/>
        <w:br/>
        <w:t xml:space="preserve">    98  MARÍA BRAVO SANTILLANA</w:t>
        <w:br/>
      </w:r>
    </w:p>
    <w:p>
      <w:r>
        <w:t>Página 99:</w:t>
        <w:br/>
        <w:t xml:space="preserve">                                          LAB | Capítulo I</w:t>
        <w:br/>
        <w:br/>
        <w:t xml:space="preserve">   microplaca de 96 pocillos (Thermo Scientific™ Nunc™ MicroWell™) con caldo MRS y se</w:t>
        <w:br/>
        <w:br/>
        <w:t xml:space="preserve">   incubaron a 37ºC durante 48 h en microaerofilia.</w:t>
        <w:br/>
        <w:br/>
        <w:br/>
        <w:t xml:space="preserve">   Se utilizaron dos bacterias indicadoras de actividad antimicrobiana para realizar una</w:t>
        <w:br/>
        <w:t xml:space="preserve">   primera selección de BAL con potencial inhibitorio. Por un lado, se usó Mycobacterium</w:t>
        <w:br/>
        <w:t xml:space="preserve">   smegmatis mc2155, que es una micobacteria no patógena de rápido crecimiento que ha</w:t>
        <w:br/>
        <w:t xml:space="preserve">    sido utilizada previamente para un cribado rápido de actividad antimicobacteriana</w:t>
        <w:br/>
        <w:br/>
        <w:t xml:space="preserve">   (Stedman et al., 2018) y, por otro, se utilizó Micrococcus luteus ATCC4698, una bacteria</w:t>
        <w:br/>
        <w:t xml:space="preserve">   altamente sensible a la actividad antimicrobiana del pH, de las bacteriocinas y otros</w:t>
        <w:br/>
        <w:br/>
        <w:t xml:space="preserve">   compuestos secretados (Stedman et al., 2020). M. smegmatis se cultivó en caldo TSB</w:t>
        <w:br/>
        <w:br/>
        <w:t xml:space="preserve">    (Oxoid) suplementado con 0,05 % de Tween 80 (Sigma) durante 37 ºC durante 48 h a</w:t>
        <w:br/>
        <w:t xml:space="preserve">   200 rpm en un agitador orbital y M. luteus se cultivó en las mismas condiciones, pero en</w:t>
        <w:br/>
        <w:br/>
        <w:t xml:space="preserve">   TSB sin suplementar. Los aislados crecidos en MRS fueron inoculados mediante un</w:t>
        <w:br/>
        <w:t xml:space="preserve">    replicador (Scienceware® 96-well replicator, Sigma-Aldrich) en el medio agar Triptona</w:t>
        <w:br/>
        <w:br/>
        <w:t xml:space="preserve">    Soja (TSA, Oxoid) con la bacteria indicadora previamente sembrada de forma masiva.</w:t>
        <w:br/>
        <w:t xml:space="preserve">   Las placas se incubaron 37 ºC durante 48 h y las colonias que mostraron actividad</w:t>
        <w:br/>
        <w:br/>
        <w:t xml:space="preserve">    antimicrobiana, detectada mediante la presencia de halos de inhibición, se identificaron</w:t>
        <w:br/>
        <w:t xml:space="preserve">   mediante tinción de Gram, pruebas bioquímicas de catalasa y oxidasa y secuenciación</w:t>
        <w:br/>
        <w:br/>
        <w:t xml:space="preserve">    del gen 16S de ARN ribosómico (ARNr, LGC Genomics). Se realizó una primera selección</w:t>
        <w:br/>
        <w:br/>
        <w:t xml:space="preserve">    diferentes especies de bacterias con distinta morfología y características tintoriales de</w:t>
        <w:br/>
        <w:t xml:space="preserve">    los  animales  pertenecientes a  las  diferentes  fincas.  Las BAL  seleccionadas  se</w:t>
        <w:br/>
        <w:br/>
        <w:t xml:space="preserve">   conservaron con glicerol al 15 % a -80ºC.</w:t>
        <w:br/>
        <w:br/>
        <w:br/>
        <w:br/>
        <w:t>3.  Cocultivos de bacterias ácido-lácticas con M. bovis BCG y determinación de la tasa de</w:t>
        <w:br/>
        <w:br/>
        <w:t xml:space="preserve">   supervivencia</w:t>
        <w:br/>
        <w:br/>
        <w:t xml:space="preserve">   Para la confirmación de la actividad antimicrobiana frente a micobacterias, se realizaron</w:t>
        <w:br/>
        <w:br/>
        <w:t xml:space="preserve">    cocultivos de las BAL seleccionadas y dos cepas de M. bovis BCG: BCG Pasteur y BCG</w:t>
        <w:br/>
        <w:t xml:space="preserve">   ΔleuD pASOriMXF (Brosch et al., 2000; Stedman, 2017). Ambas cepas se cultivaron en</w:t>
        <w:br/>
        <w:br/>
        <w:t xml:space="preserve">   caldo Middlebrook 7H9 (Difco) suplementado con 10 % Ácido Oleico-Albúmina-Dextrosa</w:t>
        <w:br/>
        <w:br/>
        <w:t xml:space="preserve">   (OADC, Sigma-Aldrich), 0,05 % de Tween 80 (Sigma-Aldrich), 0,2 % glicerol y 40 µg/mL</w:t>
        <w:br/>
        <w:t xml:space="preserve">   kanamicina a 37 ºC en agitador orbital a 225 rpm durante 5-7 días. BCG ΔleuD pASOriMXF</w:t>
        <w:br/>
        <w:br/>
        <w:br/>
        <w:t xml:space="preserve">                                               MARÍA BRAVO SANTILLANA  99</w:t>
        <w:br/>
      </w:r>
    </w:p>
    <w:p>
      <w:r>
        <w:t>Página 100:</w:t>
        <w:br/>
        <w:t xml:space="preserve">  LAB | Capítulo I</w:t>
        <w:br/>
        <w:br/>
        <w:t xml:space="preserve">   expresa la proteína verde fluorescente (Green Fluorescent Protein, GFP) de manera que</w:t>
        <w:br/>
        <w:br/>
        <w:t xml:space="preserve">   su crecimiento puede monitorizarse mediante la medición de la fluorescencia (Borsuk</w:t>
        <w:br/>
        <w:t xml:space="preserve">    et al., 2007).</w:t>
        <w:br/>
        <w:br/>
        <w:br/>
        <w:t xml:space="preserve">   Las BAL de forma individual y las cepas de BCG se cocultivaron en medio Mueller Hinton</w:t>
        <w:br/>
        <w:br/>
        <w:t xml:space="preserve">   (MH) suplementado con 10 % Ácido Oleico-Albúmina-Dextrosa (OADC, Sigma-Aldrich),</w:t>
        <w:br/>
        <w:t xml:space="preserve">   0,05 % de Tween 80 (Sigma-Aldrich) y 0,2 % de glicerol, a una concentración inicial de 5</w:t>
        <w:br/>
        <w:t xml:space="preserve">      · 108 unidades formadoras de colonias (ufc)/ mL y 5 · 106 ufc/mL, respectivamente. Estas</w:t>
        <w:br/>
        <w:t xml:space="preserve">   condiciones son óptimas para el crecimiento de ambos tipos de bacterias, sin perjudicar</w:t>
        <w:br/>
        <w:br/>
        <w:t xml:space="preserve">   a ninguna de ellas (Stedman et  al., 2018). Los cocultivos y sus correspondientes</w:t>
        <w:br/>
        <w:br/>
        <w:t xml:space="preserve">    controles (monocultivos) se incubaron a 37 ºC durante 48 h y se tomaron muestras a</w:t>
        <w:br/>
        <w:t xml:space="preserve">   tiempo 0, 24 y 48 h para determinar la tasa de supervivencia de M. bovis.</w:t>
        <w:br/>
        <w:br/>
        <w:br/>
        <w:t xml:space="preserve">   La tasa de supervivencia de M. bovis BCG en los cocultivos se determinó de forma</w:t>
        <w:br/>
        <w:br/>
        <w:t xml:space="preserve">    directa, mediante recuento de bacterias en medio selectivo, y de forma indirecta,</w:t>
        <w:br/>
        <w:t xml:space="preserve">   mediante medición de la expresión de GFP. El medio selectivo utilizado fue Middlebrook</w:t>
        <w:br/>
        <w:br/>
        <w:t xml:space="preserve">   7H10 (Difco) suplementado con 5 % OADC y 0,2 % de glicerol, que permite el crecimiento</w:t>
        <w:br/>
        <w:t xml:space="preserve">   de micobacterias e inhibe el crecimiento de BAL. También se realizaron recuentos de</w:t>
        <w:br/>
        <w:br/>
        <w:t xml:space="preserve">   BAL para monitorear su crecimiento en medio MRS. Los resultados se expresaron como</w:t>
        <w:br/>
        <w:br/>
        <w:t xml:space="preserve">    log10 de las ufc/mL. La expresión de fluorescencia en los cocultivos se midió a 485/535</w:t>
        <w:br/>
        <w:t xml:space="preserve">   nanómetros (nm) en el lector DTX 880 Multimode Detector (Beckman Coulter) y la</w:t>
        <w:br/>
        <w:br/>
        <w:t xml:space="preserve">   expresión de GFP se indicó mediante unidades de fluorescencia (Fluorescence Units,</w:t>
        <w:br/>
        <w:t xml:space="preserve">    FU).</w:t>
        <w:br/>
        <w:br/>
        <w:br/>
        <w:br/>
        <w:t>4.  Evaluación del efecto de determinados parámetros sobre la actividad encontrada</w:t>
        <w:br/>
        <w:t xml:space="preserve">    frente a M. bovis BCG</w:t>
        <w:br/>
        <w:br/>
        <w:t xml:space="preserve">   Se midió el pH de los cocultivos mediante un pH-metro (Hanna) a tiempo inicial (0 h) y</w:t>
        <w:br/>
        <w:t xml:space="preserve">    final (48 h) para determinar el efecto del pH en la tasa de supervivencia de M. bovis.</w:t>
        <w:br/>
        <w:br/>
        <w:t xml:space="preserve">   Además, con este mismo  objetivo, se monitorizó  la tasa de supervivencia del</w:t>
        <w:br/>
        <w:br/>
        <w:t xml:space="preserve">   monocultivo de M. bovis BCG en el mismo medio MH-OADC-TW80-Gly a pH7 y pH4,5.</w:t>
        <w:br/>
        <w:br/>
        <w:br/>
        <w:br/>
        <w:t xml:space="preserve">    100  MARÍA BRAVO SANTILLANA</w:t>
        <w:br/>
      </w:r>
    </w:p>
    <w:p>
      <w:r>
        <w:t>Página 101:</w:t>
        <w:br/>
        <w:t xml:space="preserve">                                          LAB | Capítulo I</w:t>
        <w:br/>
        <w:br/>
        <w:t xml:space="preserve">   Para determinar el efecto de los metabolitos producidos por las BAL que mostraron</w:t>
        <w:br/>
        <w:t xml:space="preserve">    actividad, la cepa BCG ΔleuD pASOriMXF se cultivó a una concentración de 5 · 108 ufc/mL</w:t>
        <w:br/>
        <w:t xml:space="preserve">   en los sobrenadantes obtenidos a partir de los cultivos de dichas BAL, libres de células</w:t>
        <w:br/>
        <w:br/>
        <w:t xml:space="preserve">   microbianas, que fueron propagadas en el medio MH-OADC-TW80-Gly. Esta misma cepa</w:t>
        <w:br/>
        <w:t xml:space="preserve">   fue también cultivada en los sobrenadantes del cocultivo entre las BAL que mostraron</w:t>
        <w:br/>
        <w:br/>
        <w:t xml:space="preserve">    actividad y M. bovis BCG, para comprobar si la presencia del patógeno puede potenciar</w:t>
        <w:br/>
        <w:t xml:space="preserve">    la producción de componentes antimicrobianos por parte de las BAL. El sobrenadante</w:t>
        <w:br/>
        <w:br/>
        <w:t xml:space="preserve">   se utilizó a dos concentraciones: directamente obtenido del cocultivo sin diluir y</w:t>
        <w:br/>
        <w:t xml:space="preserve">   también diluido en proporción 1:1 en el mismo medio indicado. Por último, para</w:t>
        <w:br/>
        <w:br/>
        <w:t xml:space="preserve">   detectar un posible efecto inductor de los metabolitos de M. bovis BCG sobre la</w:t>
        <w:br/>
        <w:br/>
        <w:t xml:space="preserve">   producción de metabolitos con capacidad antimicobacteriana, se cultivó M. bovis BCG</w:t>
        <w:br/>
        <w:t xml:space="preserve">   en sobrenadantes obtenidos del cultivo de  las BAL que mostraron actividad en</w:t>
        <w:br/>
        <w:br/>
        <w:t xml:space="preserve">   sobrenadantes del monocultivo de BCG en el mismo medio indicado, sin diluir y diluido</w:t>
        <w:br/>
        <w:t xml:space="preserve">    1:1 y bajo las condiciones descritas anteriormente.</w:t>
        <w:br/>
        <w:br/>
        <w:br/>
        <w:t xml:space="preserve">   Todos estos experimentos fueron realizados con ajuste de pH a 7 y 4.5 para determinar</w:t>
        <w:br/>
        <w:br/>
        <w:t xml:space="preserve">   un posible efecto sinérgico entre el pH y los metabolitos antimicrobianos. Todos los</w:t>
        <w:br/>
        <w:t xml:space="preserve">   sobrenadantes se obtuvieron mediante centrifugación a 5000 rpm. La tasa de</w:t>
        <w:br/>
        <w:br/>
        <w:t xml:space="preserve">   supervivencia se calculó de la misma manera indicada anteriormente, mediante la</w:t>
        <w:br/>
        <w:br/>
        <w:t xml:space="preserve">   emisión de fluorescencia (GFP) y se expresó en FU.</w:t>
        <w:br/>
        <w:br/>
        <w:br/>
        <w:br/>
        <w:t>5.  Secuenciación completa del genoma y confirmación de las especies</w:t>
        <w:br/>
        <w:br/>
        <w:t xml:space="preserve">   Las BAL con actividad antimicrobiana potencial en el procedimiento de cribado frente a</w:t>
        <w:br/>
        <w:t xml:space="preserve">   M. smegmatis y frente a M. luteus que fueron seleccionadas de ambos grupos de</w:t>
        <w:br/>
        <w:br/>
        <w:t xml:space="preserve">    estudio, fueron enviadas a MicrobesNG, de la Universidad de Birmingham (Reino Unido)</w:t>
        <w:br/>
        <w:t xml:space="preserve">   para la secuenciación completa del genoma mediante la plataforma Illumina MiSeq, tras</w:t>
        <w:br/>
        <w:br/>
        <w:t xml:space="preserve">    la extracción del ADN con el kit EZNA® (Omega Bio-Tek, USA). El ADN de cada aislado fue</w:t>
        <w:br/>
        <w:t xml:space="preserve">   secuenciado utilizando lecturas de de 2 x 250 pares de bases (bp) (paired-end, desde</w:t>
        <w:br/>
        <w:br/>
        <w:t xml:space="preserve">   ambos extremos). La calidad de  las  lecturas generadas se evaluó mediante  la</w:t>
        <w:br/>
        <w:br/>
        <w:t xml:space="preserve">   herramienta Trimmomatic. Los genomas fueron ensamblados a partir de las lecturas</w:t>
        <w:br/>
        <w:t xml:space="preserve">    utilizando Shovill versión 1.0.4 con SPAdes 3.13.0 (Bankevich et al., 2012). La calidad del</w:t>
        <w:br/>
        <w:br/>
        <w:br/>
        <w:t xml:space="preserve">                                               MARÍA BRAVO SANTILLANA  101</w:t>
        <w:br/>
      </w:r>
    </w:p>
    <w:p>
      <w:r>
        <w:t>Página 102:</w:t>
        <w:br/>
        <w:t xml:space="preserve">  LAB | Capítulo I</w:t>
        <w:br/>
        <w:br/>
        <w:t xml:space="preserve">   ensamblaje se evaluó mediante N50 y L50 utilizando Quast versión 4.5 (Gurevich et al.,</w:t>
        <w:br/>
        <w:br/>
        <w:t xml:space="preserve">   2013) y las anotaciones se generaron mediante Prokka versión 1.13 (Seemann, 2014).</w:t>
        <w:br/>
        <w:t xml:space="preserve">   La confirmación de la identificación de las especies bacterianas se realizó mediante las</w:t>
        <w:br/>
        <w:br/>
        <w:t xml:space="preserve">   herramientas online StrainSeeker y ANItools (Han et al., 2016; Roosaare et al., 2017),</w:t>
        <w:br/>
        <w:t xml:space="preserve">   que permite una identificación rápida y fiable que especies mediante comparación de</w:t>
        <w:br/>
        <w:br/>
        <w:t xml:space="preserve">    los genomas con cepas bacterianas relacionadas.</w:t>
        <w:br/>
        <w:br/>
        <w:br/>
        <w:br/>
        <w:t>6.  Identificación  de  genes  que  codifican  para  la  producción  de  metabolitos</w:t>
        <w:br/>
        <w:br/>
        <w:t xml:space="preserve">   antimicrobianos y moléculas inmunomoduladoras</w:t>
        <w:br/>
        <w:br/>
        <w:t xml:space="preserve">   La identificación de clústeres de genes asociados a la producción de bacteriocinas se</w:t>
        <w:br/>
        <w:br/>
        <w:t xml:space="preserve">    realizó mediante el software online BAGEL4 (van Heel et al., 2018). Este software</w:t>
        <w:br/>
        <w:br/>
        <w:t xml:space="preserve">   permite una identificación rápida y fiable de todo tipo de clústeres de bacteriocinas, que</w:t>
        <w:br/>
        <w:t xml:space="preserve">   frecuentemente están compuestos por genes que codifican para un precursor (pre-</w:t>
        <w:br/>
        <w:br/>
        <w:t xml:space="preserve">    bacteriocina),  proteínas encargadas  del  transporte y procesamiento de  la  pre-</w:t>
        <w:br/>
        <w:t xml:space="preserve">    bacteriocina  a  bacteriocina   activa,  enzimas  encargadas  de  modificaciones</w:t>
        <w:br/>
        <w:br/>
        <w:t xml:space="preserve">   postraduccionales y proteínas inmunitarias. Además, la anotación de los genomas se</w:t>
        <w:br/>
        <w:t xml:space="preserve">    utilizó para detectar la presencia o ausencia fructosa-6-fosfato aldolasa y fosfocetolasa,</w:t>
        <w:br/>
        <w:br/>
        <w:t xml:space="preserve">   dos enzimas que participan en las dos rutas metabólicas glucolíticas principales: la ruta</w:t>
        <w:br/>
        <w:t xml:space="preserve">   Embden-Meyerhof (EMP) y la ruta de la fosfocetolasa (PKP) (Papagianni, 2012). Las BAL</w:t>
        <w:br/>
        <w:br/>
        <w:t xml:space="preserve">   homofermentativas convierten los azúcares en ácido láctico mediante la ruta EMP,</w:t>
        <w:br/>
        <w:br/>
        <w:t xml:space="preserve">   mientras que las heterofermentativas producen ácido láctico, ácido acético, etanol y</w:t>
        <w:br/>
        <w:t xml:space="preserve">    dióxido de carbono (CO2) mediante la ruta PKP. Las anotaciones se utilizaron también</w:t>
        <w:br/>
        <w:br/>
        <w:t xml:space="preserve">   para identificar genes asociados con la producción de peróxido de hidrógeno (H2O2),</w:t>
        <w:br/>
        <w:t xml:space="preserve">   incluyendo genes que codifican para la piruvato oxidasa (Pox), lactato oxidasa (Lox) y</w:t>
        <w:br/>
        <w:br/>
        <w:t xml:space="preserve">  NADH oxidasas, y también genes que codifican para NADH peroxidasas.</w:t>
        <w:br/>
        <w:br/>
        <w:br/>
        <w:t xml:space="preserve">   Las anotaciones de los genomas también permitieron la búsqueda de componentes</w:t>
        <w:br/>
        <w:t xml:space="preserve">   microbianos de la pared bacteriana y la membrana celular previamente relacionados</w:t>
        <w:br/>
        <w:br/>
        <w:t xml:space="preserve">   con  la activación de macrófagos mediante TLR y/o receptores fagocíticos como</w:t>
        <w:br/>
        <w:br/>
        <w:t xml:space="preserve">    exopolisacáridos (EPS), precursores fimbriales, ácido teicoico y lipoteicoico (WTA, LTA)</w:t>
        <w:br/>
        <w:t xml:space="preserve">   y adhesinas (Hevia et al., 2015; Sengupta et al., 2013; Van Tassell y Miller, 2011).</w:t>
        <w:br/>
        <w:br/>
        <w:br/>
        <w:t xml:space="preserve">    102  MARÍA BRAVO SANTILLANA</w:t>
        <w:br/>
      </w:r>
    </w:p>
    <w:p>
      <w:r>
        <w:t>Página 103:</w:t>
        <w:br/>
        <w:t xml:space="preserve">                                          LAB | Capítulo I</w:t>
        <w:br/>
        <w:br/>
        <w:t>7.  Nivel de expresión de genes relacionados con precursores de bacteriocinas</w:t>
        <w:br/>
        <w:br/>
        <w:t xml:space="preserve">   Se determinó el nivel de expresión de genes que codifican para precursores de</w:t>
        <w:br/>
        <w:t xml:space="preserve">    bacteriocinas en los aislados que mostraron actividad antimicrobiana frente a M. bovis</w:t>
        <w:br/>
        <w:br/>
        <w:t xml:space="preserve">   BCG. El ARN total se extrajo de los aislados de BAL en monocultivo y en cocultivo con</w:t>
        <w:br/>
        <w:t xml:space="preserve">   BCG a diferentes concentraciones (106 y 107 ufc/mL) utilizando el kit High Pure RNA</w:t>
        <w:br/>
        <w:br/>
        <w:t xml:space="preserve">    Isolation (Roche Diagnostics Limited). Las muestras se tomaron durante la fase de</w:t>
        <w:br/>
        <w:t xml:space="preserve">   crecimiento exponencial a una densidad óptica medida a 600 nm (OD600nm) de 0,6. El</w:t>
        <w:br/>
        <w:br/>
        <w:t xml:space="preserve">   ARN se trató con TURBO DNasa (Ambion) para eliminar posibles contaminaciones de</w:t>
        <w:br/>
        <w:t xml:space="preserve">  ADN genómico y se realizó la reacción en cadena de la polimerasa con transcriptasa</w:t>
        <w:br/>
        <w:br/>
        <w:t xml:space="preserve">    inversa (RT-PCR) mediante  el  SuperScript®   III  First-Strand  Synthesis System de</w:t>
        <w:br/>
        <w:br/>
        <w:t xml:space="preserve">    Invitrogen. Los análisis se llevaron a cabo en el sistema QuantStudio 7 Flex Real-Time</w:t>
        <w:br/>
        <w:t xml:space="preserve">   PCR (Applied Biosystems) utilizando la SYBR Master Mix (Applied Biosystems) y los</w:t>
        <w:br/>
        <w:br/>
        <w:t xml:space="preserve">   cebadores específicos que se muestran en el apéndice IA.</w:t>
        <w:br/>
        <w:br/>
        <w:br/>
        <w:t xml:space="preserve">   Los transcritos de ARN se amplificaron en placa de 96 pocillos utilizando tres réplicas</w:t>
        <w:br/>
        <w:t xml:space="preserve">    técnicas obtenidas de al menos dos réplicas biológicas. Se utilizó el método ΔΔCT para</w:t>
        <w:br/>
        <w:br/>
        <w:t xml:space="preserve">    el cálculo de la cuantificación relativa de la expresión de ARN mensajero (ARNm) en los</w:t>
        <w:br/>
        <w:t xml:space="preserve">   monocultivos de BAL y en los cocultivos a diferentes concentraciones de M. bovis BCG.</w:t>
        <w:br/>
        <w:br/>
        <w:t xml:space="preserve">    El nivel de expresión génica se normalizó utilizando los transcritos constitutivos gyrA y</w:t>
        <w:br/>
        <w:br/>
        <w:t xml:space="preserve">   dnaG, como ha sido recomendado previamente (Rocha et al., 2015). Los resultados se</w:t>
        <w:br/>
        <w:t xml:space="preserve">   expresaron en log2.</w:t>
        <w:br/>
        <w:br/>
        <w:br/>
        <w:br/>
        <w:t>8. Ensayo de fagocitosis con células sanguíneas porcinas</w:t>
        <w:br/>
        <w:br/>
        <w:t xml:space="preserve">   Se realizó la toma de muestras de sangre completa en tubos heparinizados de cerdos</w:t>
        <w:br/>
        <w:br/>
        <w:t xml:space="preserve">   sanos del Pirbright Institute (Reino Unido), que tiene licencia para la realización de este</w:t>
        <w:br/>
        <w:t xml:space="preserve">    tipo de procedimiento animal (UK Home Office, Animal Scientific Procedures Act1986).</w:t>
        <w:br/>
        <w:t xml:space="preserve">   100 µL de sangre con una cantidad estimada de 106 leucocitos se diluyeron en</w:t>
        <w:br/>
        <w:t xml:space="preserve">   proporción 1:1 con 10 mM de EDTA (EDTA-PBS) y fueron expuestos a M. bovis BCG ΔleuD</w:t>
        <w:br/>
        <w:t xml:space="preserve">   pASOriMXF en combinación con cada una de las BAL. La multiplicidad de la infección (MOI)</w:t>
        <w:br/>
        <w:br/>
        <w:t xml:space="preserve">   fue de 10 bacterias por cada célula sanguínea. Se utilizaron monocultivos de todas las</w:t>
        <w:br/>
        <w:br/>
        <w:br/>
        <w:br/>
        <w:t xml:space="preserve">                                               MARÍA BRAVO SANTILLANA  103</w:t>
        <w:br/>
      </w:r>
    </w:p>
    <w:p>
      <w:r>
        <w:t>Página 104:</w:t>
        <w:br/>
        <w:t xml:space="preserve">  LAB | Capítulo I</w:t>
        <w:br/>
        <w:br/>
        <w:t xml:space="preserve">    bacterias como controles. El cocultivo de células sanguíneas y las bacterias se incubó en</w:t>
        <w:br/>
        <w:br/>
        <w:t xml:space="preserve">   un agitador orbital a 37ºC durante 30 minutos y después de esta incubación se lisaron</w:t>
        <w:br/>
        <w:t xml:space="preserve">    las células mediante la solución de lisis RBC (Biologend) 1 x seguida de incubación a</w:t>
        <w:br/>
        <w:br/>
        <w:t xml:space="preserve">   temperatura ambiente durante 15 minutos. Las células se lavaron dos veces con EDTA-</w:t>
        <w:br/>
        <w:t xml:space="preserve">   PBS, fueron resuspendidas en PBS y procesadas por el citómetro de flujo BD FACS</w:t>
        <w:br/>
        <w:br/>
        <w:t xml:space="preserve">    Celesta. Se midieron diferentes parámetros: la dispersión frontal (FSC) y la dispersión</w:t>
        <w:br/>
        <w:t xml:space="preserve">    lateral (SSC) fueron utilizados para distinguir las principales poblaciones sanguíneas en</w:t>
        <w:br/>
        <w:br/>
        <w:t xml:space="preserve">   función de su tamaño y granularidad (por ejemplo, linfocitos vs. fagocitos), mientras que</w:t>
        <w:br/>
        <w:t xml:space="preserve">    el canal FITC permite medir diferentes intensidades de fluorescencia emitida (GFP) en</w:t>
        <w:br/>
        <w:br/>
        <w:t xml:space="preserve">    las células sanguíneas que se unen (ej. linfocitos) y/o fagocitan (ej. fagocitos como</w:t>
        <w:br/>
        <w:br/>
        <w:t xml:space="preserve">   monocitos y polimorfonucleares tales como neutrófilos) a la micobacteria. El diagrama</w:t>
        <w:br/>
        <w:t xml:space="preserve">    resultante SCC/GFP se utilizó para evaluar la influencia de las BAL en la fagocitosis.</w:t>
        <w:br/>
        <w:br/>
        <w:br/>
        <w:br/>
        <w:t>9.  Estudio estadístico</w:t>
        <w:br/>
        <w:br/>
        <w:t xml:space="preserve">    El análisis estadístico se realizó utilizando GraphPad Prism versión 8.00 para Windows</w:t>
        <w:br/>
        <w:br/>
        <w:t xml:space="preserve">   (GraphPad Software, La  Jolla  California USA, www.graphpad.com). Los datos se</w:t>
        <w:br/>
        <w:t xml:space="preserve">   muestran con la media ± DE (desviación estándar) y representan tres réplicas biológicas.</w:t>
        <w:br/>
        <w:br/>
        <w:t xml:space="preserve">   Las diferencias entre aislados se analizaron mediante ANOVA de una vía y la prueba LSD</w:t>
        <w:br/>
        <w:t xml:space="preserve">    (Least Significant Difference) de Fisher.</w:t>
        <w:br/>
        <w:br/>
        <w:br/>
        <w:br/>
        <w:br/>
        <w:br/>
        <w:t xml:space="preserve">    104  MARÍA BRAVO SANTILLANA</w:t>
        <w:br/>
      </w:r>
    </w:p>
    <w:p>
      <w:r>
        <w:t>Página 105:</w:t>
        <w:br/>
        <w:t xml:space="preserve">                                           LAB | Capítulo I</w:t>
        <w:br/>
        <w:br/>
        <w:t>Figura resumen del método</w:t>
        <w:br/>
        <w:br/>
        <w:br/>
        <w:br/>
        <w:br/>
        <w:br/>
        <w:t xml:space="preserve">                                                MARÍA BRAVO SANTILLANA  105</w:t>
        <w:br/>
      </w:r>
    </w:p>
    <w:p>
      <w:r>
        <w:t>Página 106:</w:t>
        <w:br/>
        <w:t>LAB | Capítulo I</w:t>
        <w:br/>
        <w:br/>
        <w:t>RESULTADOS</w:t>
        <w:br/>
        <w:br/>
        <w:br/>
        <w:br/>
        <w:t>Jabalíes con diferente situación epidemiológica con relación a  la TB muestran</w:t>
        <w:br/>
        <w:br/>
        <w:t>diferentes perfiles de BAL comensales y actividad antimicobacteriana</w:t>
        <w:br/>
        <w:br/>
        <w:t>Se obtuvieron un total de 30 BAL aisladas de hisopos rectales de jabalíes con capacidad</w:t>
        <w:br/>
        <w:t>para inhibir el crecimiento de M. smegmatis mc2155 y/o M. luteus (Figura 1.1, Tabla 1.2).</w:t>
        <w:br/>
        <w:br/>
        <w:t>La identificación de los aislados mediante 16S ARNr arrojó 7 especies diferentes:</w:t>
        <w:br/>
        <w:t>Lactiplantibacillus plantarum, Ligilactobacillus salivarius, Lacticaseibacillus paracasei,</w:t>
        <w:br/>
        <w:br/>
        <w:t>Pediococcus acidilactici, Enterococcus faecalis, Pediococcus lolii y Escherichia coli. Se</w:t>
        <w:br/>
        <w:t>encontraron dos perfiles muy diferenciados, que fueron divididos en grupo 1 y grupo 2.</w:t>
        <w:br/>
        <w:br/>
        <w:t>El grupo 1 se corresponde con un perfil predominante de lactobacilos (bacterias que</w:t>
        <w:br/>
        <w:t>anteriormente pertenecían al género Lactobacillus, recientemente reclasificado), e</w:t>
        <w:br/>
        <w:br/>
        <w:t>incluye a las fincas 1, 2 y 3, que están libres de TB. Por el contrario, en el grupo 2 se ha</w:t>
        <w:br/>
        <w:t>encontrado un perfil predominante de enterococos, que se corresponde con la finca 4,</w:t>
        <w:br/>
        <w:br/>
        <w:t>con una alta prevalencia de TB. Los pediococos se encontraron en ambos grupos. Los</w:t>
        <w:br/>
        <w:br/>
        <w:t>resultados se muestran resumidos de forma gráfica en la figura 1.2.</w:t>
        <w:br/>
        <w:t xml:space="preserve">              A                               B</w:t>
        <w:br/>
        <w:br/>
        <w:br/>
        <w:br/>
        <w:br/>
        <w:br/>
        <w:t>Figura 1.1. Cribado de actividad antimicrobiana. La placa madre o placa primaria muestra las BAL aisladas</w:t>
        <w:br/>
        <w:t>(A) y el ensayo de actividad frente a M. smegmatis muestra algunos aislados con actividad antimicrobiana</w:t>
        <w:br/>
        <w:t>(halos de inhibición, B).</w:t>
        <w:br/>
        <w:br/>
        <w:br/>
        <w:br/>
        <w:br/>
        <w:t xml:space="preserve"> 106  MARÍA BRAVO SANTILLANA</w:t>
        <w:br/>
      </w:r>
    </w:p>
    <w:p>
      <w:r>
        <w:t>Página 107:</w:t>
        <w:br/>
        <w:t xml:space="preserve">                                       LAB | Capítulo I</w:t>
        <w:br/>
        <w:br/>
        <w:br/>
        <w:t>Tabla 1.2. Identificación mediante secuenciación del gen 16S de ARNr de las 30 cepas de 4 poblaciones</w:t>
        <w:br/>
        <w:t xml:space="preserve">                                    de jabalíes</w:t>
        <w:br/>
        <w:br/>
        <w:t xml:space="preserve">           Población de jabalíes     Cepa</w:t>
        <w:br/>
        <w:br/>
        <w:t xml:space="preserve">                   Finca 1               Lactiplantibacillus plantarum strain TMW 1.1623</w:t>
        <w:br/>
        <w:br/>
        <w:t xml:space="preserve">                   Finca 1               Ligilactobacillus salivarius strain JCM1046</w:t>
        <w:br/>
        <w:br/>
        <w:t xml:space="preserve">                   Finca 1               Lacticaseibacillus paracasei strain IIA</w:t>
        <w:br/>
        <w:br/>
        <w:t xml:space="preserve">                   Finca 1             Pediococcus acidilactici strain BCC1</w:t>
        <w:br/>
        <w:br/>
        <w:t xml:space="preserve">                   Finca 1             Pediococcus acidilactici strain ZPA017</w:t>
        <w:br/>
        <w:br/>
        <w:t xml:space="preserve">                   Finca 1               Lactiplantibacillus plantarum strain TMW</w:t>
        <w:br/>
        <w:br/>
        <w:t xml:space="preserve">                   Finca 1               Ligilactobacillus salivarius strain CICC 23174</w:t>
        <w:br/>
        <w:br/>
        <w:t xml:space="preserve">                   Finca 1               Ligilactobacillus salivarius strain CICC 23174</w:t>
        <w:br/>
        <w:br/>
        <w:t xml:space="preserve">                   Finca 1               Ligilactobacillus salivarius strain 32</w:t>
        <w:br/>
        <w:br/>
        <w:t xml:space="preserve">                   Finca 1               Ligilactobacillus salivarius strain 32</w:t>
        <w:br/>
        <w:br/>
        <w:t xml:space="preserve">                   Finca 1               Ligilactobacillus salivarius strain CICC 23174</w:t>
        <w:br/>
        <w:br/>
        <w:t xml:space="preserve">                   Finca 1             Pediococcus acidilactici strain BCC1</w:t>
        <w:br/>
        <w:br/>
        <w:t xml:space="preserve">                   Finca 1               Ligilactobacillus salivarius strain CICC 23174</w:t>
        <w:br/>
        <w:br/>
        <w:t xml:space="preserve">                   Finca 1               Ligilactobacillus salivarius strain CICC 23174</w:t>
        <w:br/>
        <w:br/>
        <w:t xml:space="preserve">                   Finca 1             Pediococcus acidilactici strain BCC1</w:t>
        <w:br/>
        <w:br/>
        <w:t xml:space="preserve">                   Finca 1               Ligilactobacillus salivarius strain CICC 23174</w:t>
        <w:br/>
        <w:br/>
        <w:t xml:space="preserve">                   Finca 2               Lactiplantibacillus plantarum strain TMW</w:t>
        <w:br/>
        <w:br/>
        <w:t xml:space="preserve">                   Finca 2               Lactiplantibacillus plantarum strain TMW 1.1623</w:t>
        <w:br/>
        <w:br/>
        <w:t xml:space="preserve">                   Finca 3               Lactiplantibacillus plantarum strain TMW 1.1623</w:t>
        <w:br/>
        <w:br/>
        <w:t xml:space="preserve">                   Finca 3               Lacticaseibacillus paracasei strain IIA</w:t>
        <w:br/>
        <w:br/>
        <w:t xml:space="preserve">                   Finca 4             Enterococcus faecalis strain sorialis</w:t>
        <w:br/>
        <w:br/>
        <w:t xml:space="preserve">                   Finca 4             Enterococcus faecalis strain NCIM5025</w:t>
        <w:br/>
        <w:br/>
        <w:t xml:space="preserve">                   Finca 4             Enterococcus faecalis strain Cp5 16S</w:t>
        <w:br/>
        <w:br/>
        <w:t xml:space="preserve">                   Finca 4             Enterococcus faecalis strain NCIM5025</w:t>
        <w:br/>
        <w:br/>
        <w:t xml:space="preserve">                   Finca 4             Enterococcus faecalis strain NCIM5025</w:t>
        <w:br/>
        <w:br/>
        <w:t xml:space="preserve">                   Finca 4             Pediococcus lolii strain CJ66</w:t>
        <w:br/>
        <w:br/>
        <w:t xml:space="preserve">                   Finca 4              Escherichia coli isolate RAD07 16S</w:t>
        <w:br/>
        <w:br/>
        <w:t xml:space="preserve">                   Finca 4             Enterococcus spp. strain Y-52</w:t>
        <w:br/>
        <w:br/>
        <w:t xml:space="preserve">                   Finca 4             Enterococcus faecalis strain NRIC 0111</w:t>
        <w:br/>
        <w:br/>
        <w:t xml:space="preserve">                   Finca 4             Enterococcus faecalis strain NCIM5025</w:t>
        <w:br/>
        <w:br/>
        <w:br/>
        <w:br/>
        <w:br/>
        <w:br/>
        <w:t xml:space="preserve">                                           MARÍA BRAVO SANTILLANA  107</w:t>
        <w:br/>
      </w:r>
    </w:p>
    <w:p>
      <w:r>
        <w:t>Página 108:</w:t>
        <w:br/>
        <w:t>LAB | Capítulo I</w:t>
        <w:br/>
        <w:br/>
        <w:br/>
        <w:br/>
        <w:br/>
        <w:br/>
        <w:t>Figura 1.2. Localización geográfica de las 4 fincas de estudio (puntos), la prevalencia de lesiones</w:t>
        <w:br/>
        <w:t>compatibles con TB se muestra al lado de cada punto y el perfil de BAL encontrado se indica mediante</w:t>
        <w:br/>
        <w:t>una imagen de las bacterias predominantes. Las regiones coloreadas en el mapa muestran la clasificación</w:t>
        <w:br/>
        <w:t>del riesgo de TB en fauna silvestre en las comarcas de España (Ministerio de Agricultura, Pesca y</w:t>
        <w:br/>
        <w:t>Alimentación, datos de 2020). Todas las fincas muestreadas se encuentran en zonas con alto riesgo de TB</w:t>
        <w:br/>
        <w:t>para la fauna silvestre, siendo el perfil predominante de lactobacilos en los jabalíes que habitan en fincas</w:t>
        <w:br/>
        <w:t>con estado libre de la enfermedad.</w:t>
        <w:br/>
        <w:br/>
        <w:br/>
        <w:t>Tras la primera selección de las especies de bacterias con actividad antimicrobiana</w:t>
        <w:br/>
        <w:t>potencial en el estudio de cribado con distinta morfología y características tintoriales</w:t>
        <w:br/>
        <w:br/>
        <w:t>(Figura 1.3, Tabla 1.3), se seleccionó una representación de las diferentes especies</w:t>
        <w:br/>
        <w:br/>
        <w:t>identificadas mediante secuenciación parcial del gen 16S que incluyese aislados que</w:t>
        <w:br/>
        <w:t>proviniesen de diferentes animales y fincas para  el estudio de  las propiedades</w:t>
        <w:br/>
        <w:br/>
        <w:t>antimicobacterianas y la secuenciación completa del genoma. La mayoría de las especies</w:t>
        <w:br/>
        <w:t>se confirmaron mediante secuenciación complete del genoma, a excepción de R91 que</w:t>
        <w:br/>
        <w:br/>
        <w:t>fue finalmente P. acidilactici y R95 que fue E. casseliflavus. La selección final de cepas se</w:t>
        <w:br/>
        <w:t>encuentra en la tabla 1.3.</w:t>
        <w:br/>
        <w:br/>
        <w:br/>
        <w:br/>
        <w:br/>
        <w:br/>
        <w:t xml:space="preserve"> 108  MARÍA BRAVO SANTILLANA</w:t>
        <w:br/>
      </w:r>
    </w:p>
    <w:p>
      <w:r>
        <w:t>Página 109:</w:t>
        <w:br/>
        <w:t xml:space="preserve">                                        LAB | Capítulo I</w:t>
        <w:br/>
        <w:br/>
        <w:br/>
        <w:t xml:space="preserve">                              Tabla 1.3. Selección final de aislados</w:t>
        <w:br/>
        <w:br/>
        <w:t xml:space="preserve">       Grupo                   Finca             Identificación              Especie</w:t>
        <w:br/>
        <w:br/>
        <w:t xml:space="preserve">   Fincas libres de TB             1                C1           Lactiplantibacillus plantarum</w:t>
        <w:br/>
        <w:br/>
        <w:t xml:space="preserve">                              1                C2             Ligilactobacillus salivarius</w:t>
        <w:br/>
        <w:br/>
        <w:t xml:space="preserve">                              1                C12            Ligilactobacillus salivarius</w:t>
        <w:br/>
        <w:br/>
        <w:t xml:space="preserve">                              1                C5            Pediococcus acidilactici</w:t>
        <w:br/>
        <w:br/>
        <w:t xml:space="preserve">                              2              EML1          Lactiplantibacillus plantarum</w:t>
        <w:br/>
        <w:br/>
        <w:t xml:space="preserve">                              3                SA3           Lactiplantibacillus plantarum</w:t>
        <w:br/>
        <w:br/>
        <w:t xml:space="preserve">                              3                SA5           Lacticaseibacillus paracasei</w:t>
        <w:br/>
        <w:br/>
        <w:t xml:space="preserve">     Finca con alta               4               A1             Enterococcus faecalis</w:t>
        <w:br/>
        <w:t xml:space="preserve">   prevalencia de TB             4                R8             Enterococcus faecalis</w:t>
        <w:br/>
        <w:br/>
        <w:t xml:space="preserve">                              4                R91            Pediococcus acidilactici</w:t>
        <w:br/>
        <w:br/>
        <w:t xml:space="preserve">                              4                R95          Enterococcus casseliflavus</w:t>
        <w:br/>
        <w:br/>
        <w:br/>
        <w:t xml:space="preserve">             A                                 B</w:t>
        <w:br/>
        <w:br/>
        <w:br/>
        <w:br/>
        <w:br/>
        <w:br/>
        <w:t xml:space="preserve">               C                             D</w:t>
        <w:br/>
        <w:br/>
        <w:br/>
        <w:br/>
        <w:br/>
        <w:br/>
        <w:t>Figura 1.3. Tinción de Gram y observación al microscopio de inmersión de las especies L. plantarum (A),</w:t>
        <w:br/>
        <w:t xml:space="preserve">                                 L. paracasei (B), P. acidilactici (C) y E. faecalis (D).</w:t>
        <w:br/>
        <w:br/>
        <w:br/>
        <w:t xml:space="preserve">                                           MARÍA BRAVO SANTILLANA  109</w:t>
        <w:br/>
      </w:r>
    </w:p>
    <w:p>
      <w:r>
        <w:t>Página 110:</w:t>
        <w:br/>
        <w:t>LAB | Capítulo I</w:t>
        <w:br/>
        <w:br/>
        <w:t>Las bacterias ácido-lácticas de los jabalíes que habitan en fincas libres de TB inhiben</w:t>
        <w:br/>
        <w:br/>
        <w:t>M. bovis y poseen genes que codifican la producción de metabolitos antimicrobianos,</w:t>
        <w:br/>
        <w:t>incluidas bacteriocinas</w:t>
        <w:br/>
        <w:br/>
        <w:t>Las 11 cepas seleccionadas se cocultivaron con M. bovis BCG Pasteur y la cepa ΔleuD</w:t>
        <w:br/>
        <w:t>pASOriMXF que expresa la proteína fluorescente GFP. Los lactobacilos del grupo 1, fincas</w:t>
        <w:br/>
        <w:br/>
        <w:t>libres de TB, redujeron significativamente la emisión de GFP (Figuras 1.4A y 1.4B) y esta</w:t>
        <w:br/>
        <w:t>reducción se correlacionó positivamente con los recuentos de la micobacteria (Apéndice</w:t>
        <w:br/>
        <w:br/>
        <w:t>IB). Por el contrario, los enterococos del grupo 2, finca con alta prevalencia de TB,</w:t>
        <w:br/>
        <w:t>mostraron un efecto antimicobacteriano mucho más limitado, con una reducción hasta</w:t>
        <w:br/>
        <w:br/>
        <w:t>dos veces menor a que la observada por los lactobacilos. Es muy interesante que esta</w:t>
        <w:br/>
        <w:br/>
        <w:t>diferencia antimicrobiana por grupos también se diese en el caso de los pediococos, que</w:t>
        <w:br/>
        <w:t>fueron encontrados en ambos. El aislado P. acidilactici C5 proveniente del grupo de</w:t>
        <w:br/>
        <w:br/>
        <w:t>fincas libres de TB mostró una gran capacidad inhibitoria frente a la micobacteria,</w:t>
        <w:br/>
        <w:t>mientras que la misma especie bacteriana aislada de la finca con alta prevalencia de TB</w:t>
        <w:br/>
        <w:br/>
        <w:t>mostró una inhibición significativamente menor (p&lt;0.0001).</w:t>
        <w:br/>
        <w:br/>
        <w:br/>
        <w:t>Para tratar de correlacionar el efecto antimicobacteriano de los aislados con su</w:t>
        <w:br/>
        <w:t>genotipo, se realizó una búsqueda de compuestos antibacterianos en los genomas</w:t>
        <w:br/>
        <w:br/>
        <w:t>(Figura 1.4C y 1.4D). Las anotaciones del genoma nos permitieron identificar los genes</w:t>
        <w:br/>
        <w:br/>
        <w:t>que codifican para las enzimas fructosa-6-fosfato aldolasa y fosfocetolasa en todos los</w:t>
        <w:br/>
        <w:t>aislados de lactobacilos, demostrando su papel como heterofermentadores facultativos.</w:t>
        <w:br/>
        <w:br/>
        <w:t>Nuestros aislados son capaces de convertir carbohidratos en lactato utilizando la ruta</w:t>
        <w:br/>
        <w:t>EMP y / o producir lactato en combinación con etanol, acetato y dióxido de carbono</w:t>
        <w:br/>
        <w:br/>
        <w:t>como metabolitos antimicrobianos a través de la ruta PKP. Además, todos los aislados</w:t>
        <w:br/>
        <w:t>albergan genes asociados con la producción de H2O2: Pox, Lox y / o NADH oxidasas, así</w:t>
        <w:br/>
        <w:br/>
        <w:t>como NADH peroxidasa. El número de marcadores de H2O2 disminuye progresivamente</w:t>
        <w:br/>
        <w:t>en los pediococos y enterococos. Los aislados de Pediococcus y E. casseliflavus también</w:t>
        <w:br/>
        <w:br/>
        <w:t>son heterofermentadores facultativos, pero sus genomas solo albergan un gen PKP. Por</w:t>
        <w:br/>
        <w:br/>
        <w:t>el contrario, los dos E. faecalis actúan como homofermentadores obligados ya que sus</w:t>
        <w:br/>
        <w:t>genomas solo poseen el gen de la fructosa-6-fosfato aldolasa, que convierte los azúcares</w:t>
        <w:br/>
        <w:br/>
        <w:t>en lactato a través de EMP.</w:t>
        <w:br/>
        <w:br/>
        <w:br/>
        <w:br/>
        <w:t xml:space="preserve"> 110  MARÍA BRAVO SANTILLANA</w:t>
        <w:br/>
      </w:r>
    </w:p>
    <w:p>
      <w:r>
        <w:t>Página 111:</w:t>
        <w:br/>
        <w:t xml:space="preserve">                                        LAB | Capítulo I</w:t>
        <w:br/>
        <w:br/>
        <w:t>El análisis del genoma de BAGEL4 identificó grupos de genes implicados en la síntesis de</w:t>
        <w:br/>
        <w:br/>
        <w:t>bacteriocinas de clase II y III, incluidas bacteriocinas de un solo péptido en L. salivarius</w:t>
        <w:br/>
        <w:t>C12 (Apéndice IC); bacteriocinas de dos péptidos en todas las cepas de L. plantarum y L.</w:t>
        <w:br/>
        <w:br/>
        <w:t>paracasei SA5 (Apéndice ID), y bacteriolisinas en todos los aislados de lactobacilos</w:t>
        <w:br/>
        <w:t>(Apéndice IE). Los dos precursores de bacteriocina de un solo péptido identificados en</w:t>
        <w:br/>
        <w:t>el genoma de  L. salivarius (Ta, Tb) muestran una homología muy alta con dos</w:t>
        <w:br/>
        <w:br/>
        <w:t>bacteriocinas de clase  II de L. salivarius BGH01 (Busarcevic y Dalgalarrondo, 2012),</w:t>
        <w:br/>
        <w:br/>
        <w:t>mientras que los dos precursores los genomas de los aislados de L. plantarum (plnE,</w:t>
        <w:br/>
        <w:t>plnF) son idénticos a los genes precursores de plantaricina plnE y plnF de L. plantarum</w:t>
        <w:br/>
        <w:br/>
        <w:t>C11 (Anderssen et al., 1998). Los precursores de bacteriocina de dos péptidos que se</w:t>
        <w:br/>
        <w:t>encuentran en el genoma de L. paracasei SA5 (A, B) también fueron idénticos a dos</w:t>
        <w:br/>
        <w:br/>
        <w:t>bacteriocinas hipotéticas de clase II de L. paracasei DPC6800 (Stefanovic et al., 2016) y</w:t>
        <w:br/>
        <w:t>L. paracasei UCD174 (Broadbent et  al., 2012). Por otro lado,  los genes de  las</w:t>
        <w:br/>
        <w:br/>
        <w:t>bacteriolisinas que identificamos en todos los genomas de los lactobacilos codifican</w:t>
        <w:br/>
        <w:br/>
        <w:t>enzimas que  hidrolizan  los peptidoglicanos de  la pared  celular entre ácido N-</w:t>
        <w:br/>
        <w:t>acetilmurámico y N-acetil-D-glucosamida, o entre N-acetilmuramoílo y residuos L-aa.</w:t>
        <w:br/>
        <w:br/>
        <w:t>Estas enzimas normalmente tienen un sitio de reconocimiento de diana y un dominio</w:t>
        <w:br/>
        <w:t>catalítico que muestra homología con endopeptidasas, muramidasas o amidasas (Cotter</w:t>
        <w:br/>
        <w:br/>
        <w:t>et  al., 2005). Además, a diferencia de los grupos de bacteriocina de clase  II, las</w:t>
        <w:br/>
        <w:t>bacteriolisinas no tienen genes de inmunidad específicos que acompañen a los genes</w:t>
        <w:br/>
        <w:br/>
        <w:t>precursores de bacteriocina, ya que dependen de modificaciones de la pared celular</w:t>
        <w:br/>
        <w:t>productora para  inferir  resistencia. Las  bacteriolisinas  identificadas fueron muy</w:t>
        <w:br/>
        <w:br/>
        <w:t>abundantes en L. salivarius C2, seguidas de L. salivarius C12 y L. paracasei SA5 (Apéndice</w:t>
        <w:br/>
        <w:br/>
        <w:t>IE). Las cepas de L. plantarum solo comparten dos de ellas con el resto de los aislados.</w:t>
        <w:br/>
        <w:br/>
        <w:br/>
        <w:br/>
        <w:br/>
        <w:br/>
        <w:t xml:space="preserve">                                            MARÍA BRAVO SANTILLANA  111</w:t>
        <w:br/>
      </w:r>
    </w:p>
    <w:p>
      <w:r>
        <w:t>Página 112:</w:t>
        <w:br/>
        <w:t>LAB | Capítulo I</w:t>
        <w:br/>
        <w:br/>
        <w:br/>
        <w:br/>
        <w:br/>
        <w:br/>
        <w:t>Figura 1.4. Las BAL aisladas de jabalíes libres de TB muestran una fuerte actividad antimicobacteriana y</w:t>
        <w:br/>
        <w:t>sus genomas contienen genes que codifican bacteriocinas y una gran variedad de metabolitos</w:t>
        <w:br/>
        <w:t>antimicrobianos secundarios. (A) Reducción en las unidades de fluorescencia (FU) emitidas por M. bovis</w:t>
        <w:br/>
        <w:t>BCG en cocultivos con las BAL tras 48 h de incubación. La reducción de la FU se calculó utilizando al menos</w:t>
        <w:br/>
        <w:t>2 réplicas biológicas y fue normalizada con la FU de M. bovis BCG en monocultivo. (B) Reducción en el</w:t>
        <w:br/>
        <w:t>recuento de colonias de M. bovis BCG en monocultivo (izquierda) con respecto al cocultivo (derecha) con</w:t>
        <w:br/>
        <w:t>un aislado de lactobacilo. (C) Clústeres de bacteriocinas de clase II identificadas en el genoma de los</w:t>
        <w:br/>
        <w:t>lactobacilos. La nomenclatura para los grupos de bacteriocina sigue recomendaciones específicas (Diep</w:t>
        <w:br/>
        <w:t>et al., 2009; O’Shea et al., 2011) y representa: las bacteriocinas precursoras (verde), las enzimas de</w:t>
        <w:br/>
        <w:t>modificación postraduccional (azul), las proteínas de transporte / inmunidad (rojo) y otras proteínas</w:t>
        <w:br/>
        <w:t>hipotéticas (gris). (D) Genes asociados con la producción y acumulación de H2O2 (verde y naranja) y otros</w:t>
        <w:br/>
        <w:t>metabolitos secundarios como lactato, acetato, etanol y CO2 (azul) en los aislados. Se muestra la</w:t>
        <w:br/>
        <w:t>proporción en la barra y el número de genes encontrados en blanco.</w:t>
        <w:br/>
        <w:br/>
        <w:br/>
        <w:br/>
        <w:br/>
        <w:br/>
        <w:t xml:space="preserve"> 112  MARÍA BRAVO SANTILLANA</w:t>
        <w:br/>
      </w:r>
    </w:p>
    <w:p>
      <w:r>
        <w:t>Página 113:</w:t>
        <w:br/>
        <w:t xml:space="preserve">                                        LAB | Capítulo I</w:t>
        <w:br/>
        <w:br/>
        <w:br/>
        <w:br/>
        <w:t>Los metabolitos producidos por los lactobacilos reducen la tasa de supervivencia de</w:t>
        <w:br/>
        <w:br/>
        <w:t>BCG a pH ácido</w:t>
        <w:br/>
        <w:br/>
        <w:t>Se monitorizó el pH de los cocultivos y se observó que los lactobacilos disminuían el pH</w:t>
        <w:br/>
        <w:br/>
        <w:t>hasta 4,5, más que los enterococos. Debido a esto y a que el pH de los monocultivos</w:t>
        <w:br/>
        <w:t>apenas descendió de 7 a 6,8 se realizaron los diferentes experimentos para demostrar</w:t>
        <w:br/>
        <w:br/>
        <w:t>si el pH ácido de este grupo de bacterias podría tener una influencia sobre la actividad</w:t>
        <w:br/>
        <w:t>encontrada. Sin embargo, la viabilidad de BCG no se alteró al ser cultivada a pH 4,5, es</w:t>
        <w:br/>
        <w:br/>
        <w:t>decir, no se observó una reducción en los recuentos bacterianos ni en la emisión de GFP.</w:t>
        <w:br/>
        <w:br/>
        <w:t>Estos experimentos confirman que el pH ácido es insuficiente para explicar el efecto</w:t>
        <w:br/>
        <w:t>negativo sobre la supervivencia de BCG.</w:t>
        <w:br/>
        <w:br/>
        <w:br/>
        <w:t>Para comprobar si el efecto antimicrobiano encontrado en los lactobacilos se debe a la</w:t>
        <w:br/>
        <w:br/>
        <w:t>acumulación de metabolitos tóxicos, se monitorizó la tasa de supervivencia de M. bovis</w:t>
        <w:br/>
        <w:t>BCG en sobrenadantes obtenidos a partir de monocultivos de lactobacilos y de cocultivo</w:t>
        <w:br/>
        <w:br/>
        <w:t>entre lactobacilos y BCG, tras 24 h de incubación. Para estos experimentos, la tasa de</w:t>
        <w:br/>
        <w:t>supervivencia se registró únicamente como emisión de GFP, ya se observó una</w:t>
        <w:br/>
        <w:br/>
        <w:t>correlación positiva muy significativa entre los recuentos bacterianos totales y la</w:t>
        <w:br/>
        <w:t>emisión de GFP (Apéndice IB). Se recogieron sobrenadantes libres de células tanto de</w:t>
        <w:br/>
        <w:br/>
        <w:t>monocultivos de lactobacilos como de cocultivos de lactobacilos y M. bovis BCG para</w:t>
        <w:br/>
        <w:br/>
        <w:t>determinar si la presencia de M. bovis puede actuar como un inductor de la producción</w:t>
        <w:br/>
        <w:t>de compuestos antimicrobianos por parte de los lactobacilos. Se realizó la toma de</w:t>
        <w:br/>
        <w:br/>
        <w:t>muestras de sobrenadante a las 24 h, ya que los lactobacilos experimentaron un</w:t>
        <w:br/>
        <w:t>aumento logarítmico significativo en los recuentos bacterianos durante este tiempo</w:t>
        <w:br/>
        <w:br/>
        <w:t>(Figura 1.5). No se encontraron diferencias significativas en los recuentos bacterianos ni</w:t>
        <w:br/>
        <w:t>en los pH de los cultivos de lactobacilos, tanto monocultivos como cocultivos. Como se</w:t>
        <w:br/>
        <w:br/>
        <w:t>ilustra en la Figura 1.6, se observaron reducciones muy significativas con todos los</w:t>
        <w:br/>
        <w:t>sobrenadantes de cultivo, ya sea de monocultivos o cocultivos con BCG, especialmente</w:t>
        <w:br/>
        <w:br/>
        <w:t>después de 48 h. Esto demostró que la actividad antimicobacteriana de los lactobacilos</w:t>
        <w:br/>
        <w:br/>
        <w:t>en cocultivos podría deberse al efecto combinado del pH ácido y la acumulación de</w:t>
        <w:br/>
        <w:t>metabolitos antimicrobianos derivados de los lactobacilos.</w:t>
        <w:br/>
        <w:br/>
        <w:t xml:space="preserve">                                           MARÍA BRAVO SANTILLANA  113</w:t>
        <w:br/>
      </w:r>
    </w:p>
    <w:p>
      <w:r>
        <w:t>Página 114:</w:t>
        <w:br/>
        <w:t>LAB | Capítulo I</w:t>
        <w:br/>
        <w:br/>
        <w:br/>
        <w:br/>
        <w:br/>
        <w:br/>
        <w:t>Figura 1.5. Recuentos bacterianos de los aislados de L. plantarum (A) y de L. salivarius y L. paracasei (B)</w:t>
        <w:br/>
        <w:t>como monocultivos (barras negras) y cocultivos con BCG (barras grises) tras una incubación de 0, 24 y 48</w:t>
        <w:br/>
        <w:t>h en caldo MH con OADC (10%), Tween 80 (0,1%) y glicerol (0,2%). Los recuentos bacterianos se expresan</w:t>
        <w:br/>
        <w:t>como log10 (CFU / mL)</w:t>
        <w:br/>
        <w:br/>
        <w:br/>
        <w:br/>
        <w:br/>
        <w:br/>
        <w:t>Figura 1.6. Tasa de supervivencia de M. bovis BCG después de 48 horas (h) de incubación en</w:t>
        <w:br/>
        <w:t>sobrenadantes ácidos (pH 4,5) libres de células obtenidos a partir de de monocultivos de lactobacilos</w:t>
        <w:br/>
        <w:t>(izquierda) o cocultivos de M. bovis BCG con lactobacilos (derecha) en caldo MH con OADC (10%), Tween</w:t>
        <w:br/>
        <w:t>80 (0,1%) y glicerol (0,2%). La tasa de supervivencia de M. bovis BCG para ambas condiciones se calculó a</w:t>
        <w:br/>
        <w:t>partir de la expresión de GFP (FU, barras grises) y se comparó con sus correspondientes controles (barras</w:t>
        <w:br/>
        <w:br/>
        <w:t xml:space="preserve"> 114  MARÍA BRAVO SANTILLANA</w:t>
        <w:br/>
      </w:r>
    </w:p>
    <w:p>
      <w:r>
        <w:t>Página 115:</w:t>
        <w:br/>
        <w:t xml:space="preserve">                                        LAB | Capítulo I</w:t>
        <w:br/>
        <w:br/>
        <w:t>negras). Los controles se cultivaron con BCG en sobrenadantes libres de células obtenidos de un caldo MH</w:t>
        <w:br/>
        <w:t>incubado durante 24 h con OADC (10%), Tween 80 (0,1%) y glicerol (0,2%) (lado izquierdo) y monocultivos</w:t>
        <w:br/>
        <w:t>de BCG de 24 h en caldo MH con OADC (10%), Tween 80 (0,1%) y glicerol (0,2%) (lado derecho), ambos a</w:t>
        <w:br/>
        <w:t>pH 4,5. Los datos son media±DE con análisis estadístico (prueba t de Student, **p &lt;0,01, ***p&lt;0.005,</w:t>
        <w:br/>
        <w:t>****p&lt;0.001) y son representativos de 3 réplicas biológicas cada uno.</w:t>
        <w:br/>
        <w:br/>
        <w:t>(A) Tasa de supervivencia de M. bovis BCG tras 0, 24 y 48 h de incubación en sobrenadantes de</w:t>
        <w:br/>
        <w:t>monocultivos de L. plantarum C1, EML1, SA3 (izquierda) o cocultivos de M. bovis BCG con las cepas de L.</w:t>
        <w:br/>
        <w:t>plantarum (derecha). (B) Tasa de supervivencia de M. bovis BCG después de 0, 24 y 48 h de incubación en</w:t>
        <w:br/>
        <w:t>sobrenadantes de monocultivos de L. salivarius C2 y C12 y L. paracasei SA5 (izquierda) o cocultivos de M.</w:t>
        <w:br/>
        <w:t>bovis BCG con las cepas de L. salivarius y L. paracasei (derecha).</w:t>
        <w:br/>
        <w:br/>
        <w:br/>
        <w:t>Los metabolitos de los cocultivos de L. plantarum con M. bovis BCG reducen la tasa de</w:t>
        <w:br/>
        <w:t>supervivencia de M. bovis independientemente del pH y la suplementación de</w:t>
        <w:br/>
        <w:br/>
        <w:t>nutrientes</w:t>
        <w:br/>
        <w:br/>
        <w:t>Para confirmar el efecto antimicobacteriano de los metabolitos producidos por los</w:t>
        <w:br/>
        <w:br/>
        <w:t>lactobacilos, realizamos los mismos experimentos descritos anteriormente con los</w:t>
        <w:br/>
        <w:t>sobrenadantes, tanto en monocultivos como en cocultivos con M. bovis BCG, pero a pH</w:t>
        <w:br/>
        <w:br/>
        <w:t>7, para excluir el efecto antimicrobiano del pH ácido. También incluimos una tercera</w:t>
        <w:br/>
        <w:t>condición experimental al diluir los sobrenadantes en medios de cocultivo frescos para</w:t>
        <w:br/>
        <w:br/>
        <w:t>determinar la influencia de la alteración de nutrientes causada por el metabolismo de</w:t>
        <w:br/>
        <w:t>los lactobacilos. En el caso de los aislados de L. plantarum, no se observaron reducciones</w:t>
        <w:br/>
        <w:br/>
        <w:t>significativas en la supervivencia de M. bovis BCG usando los sobrenadantes obtenidos</w:t>
        <w:br/>
        <w:br/>
        <w:t>a partir de sus monocultivos (Figura 1.7). Sin embargo, la reducción fue muy significativa</w:t>
        <w:br/>
        <w:t>cuando utilizamos los sobrenadantes obtenidos a partir de los cocultivos de las 3 cepas</w:t>
        <w:br/>
        <w:br/>
        <w:t>de L. plantarum con BCG. Estos resultados sugieren que nuestras cepas de L. plantarum</w:t>
        <w:br/>
        <w:t>producen ciertos metabolitos antimicobacterianos en mayor cantidad en presencia de</w:t>
        <w:br/>
        <w:br/>
        <w:t>M. bovis BCG, que actuaría como inductor. Además, esta actividad antimicrobiana</w:t>
        <w:br/>
        <w:t>inducida parece ser estable a diferentes rangos de pH y con distinta composición de</w:t>
        <w:br/>
        <w:br/>
        <w:t>nutrientes.</w:t>
        <w:br/>
        <w:br/>
        <w:br/>
        <w:br/>
        <w:br/>
        <w:br/>
        <w:t xml:space="preserve">                                           MARÍA BRAVO SANTILLANA  115</w:t>
        <w:br/>
      </w:r>
    </w:p>
    <w:p>
      <w:r>
        <w:t>Página 116:</w:t>
        <w:br/>
        <w:t>LAB | Capítulo I</w:t>
        <w:br/>
        <w:br/>
        <w:br/>
        <w:br/>
        <w:br/>
        <w:br/>
        <w:t>Figura 1.7. Tasa de supervivencia de M. bovis BCG después de 48 h de incubación en sobrenadantes libres</w:t>
        <w:br/>
        <w:t>de células neutralizados (pH 7) obtenidos a partir de monocultivos de 24h de L. plantarum C1, EML1 y SA3</w:t>
        <w:br/>
        <w:t>(izquierda) o de co-cultivos de M. bovis BCG con las cepas de L. plantarum (derecha) en caldo MH con</w:t>
        <w:br/>
        <w:t>OADC (10%), Tween 80 (0,1%) y glicerol (0,2%). La tasa de supervivencia de M. bovis BCG para ambas</w:t>
        <w:br/>
        <w:t>condiciones se monitorizó mediante la expresión de GFP (FU, barras grises) y se comparó con sus controles</w:t>
        <w:br/>
        <w:t>correspondientes (barras negras), con o sin suplementación de nutrientes. Los controles de M. bovis BCG</w:t>
        <w:br/>
        <w:t>se incubaron en sobrenadantes libres de células obtenidos de caldo MH incubado durante 24 h con OADC</w:t>
        <w:br/>
        <w:t>(10%), Tween 80 (0,1%) y glicerol (0,2%) (izquierda) y monocultivos de M. bovis BCG incubados durante</w:t>
        <w:br/>
        <w:t>24 h en caldo MH con OADC (10%), Tween 80 (0,1%) y glicerol (0,2%) (derecha), ambos a pH 7. Los datos</w:t>
        <w:br/>
        <w:t>se expresan como media ± DE con análisis estadístico (prueba t de Student, * p&lt;0,05, ** p &lt;0,01) y</w:t>
        <w:br/>
        <w:t>representan 3 réplicas biológicas cada uno.</w:t>
        <w:br/>
        <w:br/>
        <w:t>(A) Tasa de supervivencia de M. bovis BCG tras 0, 24 y 48 h de incubación en sobrenadantes de</w:t>
        <w:br/>
        <w:t>monocultivos de L. plantarum C1, EML1, SA3 (izquierda) y cocultivos de M. bovis BCG con las cepas de L.</w:t>
        <w:br/>
        <w:t>plantarum (derecha). (B) Tasa de supervivencia de M. bovis BCG después de 0, 24 y 48 h de incubación en</w:t>
        <w:br/>
        <w:t>sobrenadantes de monocultivos de L. plantarum (izquierda) y cocultivos de M. bovis BCG con las cepas de</w:t>
        <w:br/>
        <w:t>L. plantarum (derecha) suplementados con caldo MH con OADC (10%), Tween 80 (0,1%) y glicerol (0,2%)</w:t>
        <w:br/>
        <w:t>en una proporción de 1: 1. Los sobrenadantes de los controles también se suplementaron con caldo MH</w:t>
        <w:br/>
        <w:t>con OADC (10%), Tween 80 (0,1%) y glicerol (0,2%) en la misma proporción.</w:t>
        <w:br/>
        <w:br/>
        <w:br/>
        <w:t xml:space="preserve"> 116  MARÍA BRAVO SANTILLANA</w:t>
        <w:br/>
      </w:r>
    </w:p>
    <w:p>
      <w:r>
        <w:t>Página 117:</w:t>
        <w:br/>
        <w:t xml:space="preserve">                                        LAB | Capítulo I</w:t>
        <w:br/>
        <w:br/>
        <w:t>El efecto antimicobacteriano de los metabolitos de L. salivarius y L. paracasei depende</w:t>
        <w:br/>
        <w:t>del pH y, en el caso de L. paracasei, de la presencia del inductor</w:t>
        <w:br/>
        <w:br/>
        <w:t>Igual que en el caso anterior, no se encontraron reducciones significativas en la</w:t>
        <w:br/>
        <w:t>supervivencia de M. bovis BCG utilizando los sobrenadantes obtenidos de monocultivos</w:t>
        <w:br/>
        <w:br/>
        <w:t>de L. salivarius y L. paracasei a pH 7, con o sin suplementación de nutrientes (Figura 1.8).</w:t>
        <w:br/>
        <w:t>De hecho, la supervivencia de BCG aumentó en los sobrenadantes que provenían de los</w:t>
        <w:br/>
        <w:br/>
        <w:t>monocultivos de L. salivarius sin suplementación y los sobrenadantes recogidos de los</w:t>
        <w:br/>
        <w:t>cocultivos de L. salivarius y BCG, lo que confirma que el efecto antimicobacteriano de</w:t>
        <w:br/>
        <w:br/>
        <w:t>las cepas de L. salivarius es dependiente del pH. Por el contrario, la tasa de supervivencia</w:t>
        <w:br/>
        <w:t>de BCG disminuyó ligeramente en los sobrenadantes derivados de cocultivos de L.</w:t>
        <w:br/>
        <w:br/>
        <w:t>paracasei y BCG, lo que sugiere un papel de BCG como inductor de la producción de</w:t>
        <w:br/>
        <w:t>compuestos antimicrobianos en L. paracasei. No obstante, esta inducción parece tener</w:t>
        <w:br/>
        <w:br/>
        <w:t>un efecto significativamente menor que la observada con L. plantarum.</w:t>
        <w:br/>
        <w:br/>
        <w:br/>
        <w:br/>
        <w:br/>
        <w:br/>
        <w:t>Figura 1.8. Tasa de supervivencia de M. bovis BCG después de 48 h de incubación en sobrenadantes libres</w:t>
        <w:br/>
        <w:t>de células neutralizados (pH 7) y obtenidos a partir de monocultivos de 24 h de L. salivarius C2, y C12 y L.</w:t>
        <w:br/>
        <w:t xml:space="preserve">                                           MARÍA BRAVO SANTILLANA  117</w:t>
        <w:br/>
      </w:r>
    </w:p>
    <w:p>
      <w:r>
        <w:t>Página 118:</w:t>
        <w:br/>
        <w:t>LAB | Capítulo I</w:t>
        <w:br/>
        <w:br/>
        <w:t>paracasei SA5 (izquierda) o de cocultivos de M. bovis BCG con las cepas de L. salivarius C2, y C12 y L.</w:t>
        <w:br/>
        <w:t>paracasei SA5 en caldo MH con OADC (10%), Tween 80 (0,1%) y glicerol (0,2%). La tasa de supervivencia</w:t>
        <w:br/>
        <w:t>de M. bovis BCG para ambas condiciones se monitorizó mediante la expresión de GFP (FU, barras grises</w:t>
        <w:br/>
        <w:t>claro para L. salivarius y gris oscuro para L. paracasei) y se comparó con sus controles correspondientes</w:t>
        <w:br/>
        <w:t>(barras negras), con o sin suplementación de nutrientes. Los controles de M. bovis BCG se incubaron en</w:t>
        <w:br/>
        <w:t>sobrenadantes libres de células obtenidos de caldo MH incubado durante 24 h con OADC (10%), Tween</w:t>
        <w:br/>
        <w:t>80 (0,1%) y glicerol (0,2%) (izquierda) y monocultivos de M. bovis BCG incubados durante 24 h en caldo</w:t>
        <w:br/>
        <w:t>MH con OADC (10%), Tween 80 (0,1%) y glicerol (0,2%) (derecha), ambos a pH 7. Los datos se expresan</w:t>
        <w:br/>
        <w:t>como media±DE con análisis estadístico (prueba t de Student, * p&lt;0,05, ** p &lt;0,01) y representan 3</w:t>
        <w:br/>
        <w:t>réplicas biológicas cada uno.</w:t>
        <w:br/>
        <w:br/>
        <w:t>(A) Tasa de supervivencia de M. bovis BCG tras 0, 24 y 48 h de incubación en sobrenadantes de</w:t>
        <w:br/>
        <w:t>monocultivos de L. salivarius y L. paracasei (izquierda) y cocultivos de M. bovis BCG con las cepas de L.</w:t>
        <w:br/>
        <w:t>salivarius y L. paracasei (derecha). (B) Tasa de supervivencia de M. bovis BCG después de 0, 24 y 48 h de</w:t>
        <w:br/>
        <w:t>incubación en sobrenadantes de monocultivos de L. salivarius y L. paracasei (izquierda) y cocultivos de M.</w:t>
        <w:br/>
        <w:t>bovis BCG con las cepas de L. salivarius y L. paracasei (derecha) suplementados con caldo MH con OADC</w:t>
        <w:br/>
        <w:t>(10%), Tween 80 (0,1%) y glicerol (0,2%) en una proporción de 1: 1. Los sobrenadantes de los controles</w:t>
        <w:br/>
        <w:t>también se suplementaron con caldo MH con OADC (10%), Tween 80 (0,1%) y glicerol (0,2%) en la misma</w:t>
        <w:br/>
        <w:t>proporción.</w:t>
        <w:br/>
        <w:br/>
        <w:br/>
        <w:br/>
        <w:t>Los metabolitos de BCG no influyen en la actividad antimicrobiana de L. plantarum y</w:t>
        <w:br/>
        <w:t>L. paracasei</w:t>
        <w:br/>
        <w:br/>
        <w:t>Para probar si el efecto inductor comentado anteriormente, dependía de la producción</w:t>
        <w:br/>
        <w:t>de metabolitos por parte de M. bovis BCG, en lugar de depender simplemente de las</w:t>
        <w:br/>
        <w:br/>
        <w:t>células  microbianas,  monitorizamos  la  tasa de  supervivencia de M.  bovis en</w:t>
        <w:br/>
        <w:br/>
        <w:t>sobrenadantes sin células derivados de cultivos de L. plantarum y L. paracasei que se</w:t>
        <w:br/>
        <w:t>propagaron durante 24 h en sobrenadantes M. bovis BCG. También incluimos dos</w:t>
        <w:br/>
        <w:br/>
        <w:t>condiciones experimentales adicionales al complementar los sobrenadantes con medios</w:t>
        <w:br/>
        <w:t>de cocultivo frescos, pero también al hacer crecer los lactobacilos en caldo de cocultivo</w:t>
        <w:br/>
        <w:br/>
        <w:t>fresco completo para considerar la posible influencia negativa de la alteración de</w:t>
        <w:br/>
        <w:t>nutrientes en  el crecimiento de  los  lactobacilos. No se  registraron  diferencias</w:t>
        <w:br/>
        <w:br/>
        <w:t>significativas en los recuentos bacterianos registrados para los 3 tipos diferentes de</w:t>
        <w:br/>
        <w:t>cultivos de lactobacilos (Figura 1.9). El pH de los sobrenadantes de los cultivos de</w:t>
        <w:br/>
        <w:br/>
        <w:t>lactobacilos propagados en los sobrenadantes de M. bovis BCG fue ligeramente superior</w:t>
        <w:br/>
        <w:t>a 4,5 pero no se observaron diferencias significativas en comparación con los otros</w:t>
        <w:br/>
        <w:br/>
        <w:t>cultivos de lactobacilos. Como se ilustra en la Fig. S4, no se observaron reducciones</w:t>
        <w:br/>
        <w:br/>
        <w:t>significativas en la supervivencia de M. bovis usando los sobrenadantes obtenidos de los</w:t>
        <w:br/>
        <w:t>cultivos de L. plantarum desarrollados en sobrenadantes de cultivos de M. bovis BCG,</w:t>
        <w:br/>
        <w:br/>
        <w:t xml:space="preserve"> 118  MARÍA BRAVO SANTILLANA</w:t>
        <w:br/>
      </w:r>
    </w:p>
    <w:p>
      <w:r>
        <w:t>Página 119:</w:t>
        <w:br/>
        <w:t xml:space="preserve">                                        LAB | Capítulo I</w:t>
        <w:br/>
        <w:br/>
        <w:t>con o sin suplementación de nutrientes. Estos datos sugieren que los metabolitos de M.</w:t>
        <w:br/>
        <w:br/>
        <w:t>bovis BCG no tienen ningún efecto inductor sobre la actividad antimicobacteriana de L.</w:t>
        <w:br/>
        <w:br/>
        <w:t>plantarum y L. paracasei, este efecto se debe a la presencia de las propias células</w:t>
        <w:br/>
        <w:t>microbianas de la micobacteria.</w:t>
        <w:br/>
        <w:br/>
        <w:br/>
        <w:br/>
        <w:br/>
        <w:t xml:space="preserve">              1 0                 C 1                                              1 0                E M L 1</w:t>
        <w:br/>
        <w:br/>
        <w:br/>
        <w:br/>
        <w:t xml:space="preserve">    )L   8                                  )L   8</w:t>
        <w:br/>
        <w:t xml:space="preserve">         /m                                                                       /m</w:t>
        <w:br/>
        <w:t xml:space="preserve">    U                                    U</w:t>
        <w:br/>
        <w:t xml:space="preserve">    F                                    F</w:t>
        <w:br/>
        <w:t xml:space="preserve">           0(C1                                                                                        0(C1</w:t>
        <w:br/>
        <w:t xml:space="preserve">    g                                    g</w:t>
        <w:br/>
        <w:t xml:space="preserve">    o    L   6                                  oL   6</w:t>
        <w:br/>
        <w:br/>
        <w:br/>
        <w:br/>
        <w:br/>
        <w:t xml:space="preserve">               4                                                                                4</w:t>
        <w:br/>
        <w:t xml:space="preserve">                                0                            2 4                                                  0                            2 4</w:t>
        <w:br/>
        <w:br/>
        <w:t xml:space="preserve">                              H o u rs                                                    H o u rs</w:t>
        <w:br/>
        <w:br/>
        <w:br/>
        <w:br/>
        <w:br/>
        <w:t xml:space="preserve">              1 0                     S A 3                                             1 0                     S A 5</w:t>
        <w:br/>
        <w:br/>
        <w:br/>
        <w:br/>
        <w:t xml:space="preserve">    )L   8                                  )L   8</w:t>
        <w:br/>
        <w:t xml:space="preserve">         /m                                                                       /m</w:t>
        <w:br/>
        <w:t xml:space="preserve">    U                                    U</w:t>
        <w:br/>
        <w:t xml:space="preserve">    F                                    F</w:t>
        <w:br/>
        <w:t xml:space="preserve">           0(C1                                                                                        0(C1</w:t>
        <w:br/>
        <w:t xml:space="preserve">    g                                    g</w:t>
        <w:br/>
        <w:t xml:space="preserve">    o    L   6                                  oL   6</w:t>
        <w:br/>
        <w:br/>
        <w:br/>
        <w:br/>
        <w:br/>
        <w:t xml:space="preserve">               4                                                                                4</w:t>
        <w:br/>
        <w:t xml:space="preserve">                                0                            2 4                                                  0                            2 4</w:t>
        <w:br/>
        <w:br/>
        <w:t xml:space="preserve">                              H o u rs                                                    H o u rs</w:t>
        <w:br/>
        <w:br/>
        <w:br/>
        <w:br/>
        <w:t>Figura 1.9. Recuentos bacterianos de cultivos de cepas de L. plantarum C1, EML1 y SA3 y L. paracasei SA5</w:t>
        <w:br/>
        <w:t>tras una incubación de 0 y 24 h en: (i) sobrenadantes obtenidos a partir de un cultivo de M. bovis BCG</w:t>
        <w:br/>
        <w:t>(barras negras); (ii) sobrenadantes obtenidos a partir de un cultivo de M. bovis BCG suplementado con</w:t>
        <w:br/>
        <w:t>caldo MH con OADC (10%), Tween 80 (0,1%) y glicerol (0,2%) en una proporción de 1: 1 (barras de color</w:t>
        <w:br/>
        <w:t>gris oscuro); y (iii) caldo MH con OADC (10%), Tween 80 (0,1%) y glicerol (0,2%) (barras de color gris claro).</w:t>
        <w:br/>
        <w:t>Los recuentos bacterianos están expresados como log10 (CFU / mL).</w:t>
        <w:br/>
        <w:br/>
        <w:br/>
        <w:br/>
        <w:br/>
        <w:br/>
        <w:t xml:space="preserve">                                           MARÍA BRAVO SANTILLANA  119</w:t>
        <w:br/>
      </w:r>
    </w:p>
    <w:p>
      <w:r>
        <w:t>Página 120:</w:t>
        <w:br/>
        <w:t>LAB | Capítulo I</w:t>
        <w:br/>
        <w:br/>
        <w:br/>
        <w:br/>
        <w:br/>
        <w:t>Los genes que codifican las bacteriocinas de dos péptidos de L. plantarum y L.</w:t>
        <w:br/>
        <w:br/>
        <w:t>paracasei se sobreexpresan en presencia de células de M. bovis.</w:t>
        <w:br/>
        <w:br/>
        <w:t>Para determinar si la presencia de células de M. bovis puede regular el nivel de expresión</w:t>
        <w:br/>
        <w:t>de las bacteriocinas de clase II identificadas, realizamos una RT-PCR para cuantificar la</w:t>
        <w:br/>
        <w:br/>
        <w:t>cantidad de transcripciones derivadas de los genes precursores de bacteriocinas en L.</w:t>
        <w:br/>
        <w:t>plantarum C1, EML1 y SA3, L. salivarius C2 y L. paracasei SA5 (indicadas en verde en la</w:t>
        <w:br/>
        <w:br/>
        <w:t>parte superior de la figura 1.10). El ARN se obtuvo de cultivos de lactobacilos expuestos</w:t>
        <w:br/>
        <w:t>a concentraciones crecientes de células de M. bovis BCG durante la fase de crecimiento</w:t>
        <w:br/>
        <w:br/>
        <w:t>exponencial. Como se ilustra en la figura 1.11, el nivel de expresión de los genes plnE y</w:t>
        <w:br/>
        <w:t>plnF depende de la cantidad de células de M. bovis, puesto que se observa un aumento</w:t>
        <w:br/>
        <w:br/>
        <w:t>muy significativo de la expresión en comparación con los monocultivos de L. plantarum.</w:t>
        <w:br/>
        <w:t>Observamos resultados similares con los genes A / B de L. paracasei SA5 aunque el</w:t>
        <w:br/>
        <w:br/>
        <w:t>aumento en la expresión génica fue mucho menor. Por el contrario, la expresión de los</w:t>
        <w:br/>
        <w:t>genes Ta/ Tben L. salivarius C2 no se vio afectada por la presencia de células de M.</w:t>
        <w:br/>
        <w:br/>
        <w:t>bovis (Figura 1.10). Estos datos confirman, no solo el efecto inductor de las células de</w:t>
        <w:br/>
        <w:t>M. bovis BCG sobre la actividad antimicrobiana mostrada por  L. plantarum y  L.</w:t>
        <w:br/>
        <w:br/>
        <w:t>paracasei, sino también el posible papel de las bacteriocinas de dos péptidos en dicha</w:t>
        <w:br/>
        <w:br/>
        <w:t>actividad antimicobacteriana.</w:t>
        <w:br/>
        <w:br/>
        <w:br/>
        <w:br/>
        <w:br/>
        <w:br/>
        <w:t xml:space="preserve"> 120  MARÍA BRAVO SANTILLANA</w:t>
        <w:br/>
      </w:r>
    </w:p>
    <w:p>
      <w:r>
        <w:t>Página 121:</w:t>
        <w:br/>
        <w:t xml:space="preserve">                                                                        LAB | Capítulo I</w:t>
        <w:br/>
        <w:br/>
        <w:br/>
        <w:t xml:space="preserve">                   C1                                  SA5                                 C2</w:t>
        <w:br/>
        <w:br/>
        <w:t xml:space="preserve">        W    V   U    T    S      H         G       E F                           A B   C  AT    D    E       F  G                         T2 T3T4TaTIM1TbTIM2TIP TK     TR   orf1     orf2 orf3   orf4 orf5      orf6</w:t>
        <w:br/>
        <w:br/>
        <w:t xml:space="preserve">              2,000 bp                                                                                                                         2,000 bp                                                                                      2,000 bp</w:t>
        <w:br/>
        <w:t xml:space="preserve">        3                                                                 3                                                                 3</w:t>
        <w:br/>
        <w:br/>
        <w:br/>
        <w:br/>
        <w:br/>
        <w:br/>
        <w:t xml:space="preserve">  l                                l                                l</w:t>
        <w:br/>
        <w:t xml:space="preserve">  e                                e                                e</w:t>
        <w:br/>
        <w:t xml:space="preserve">  v</w:t>
        <w:br/>
        <w:t xml:space="preserve">    le  2                              vle  2                              vle  2</w:t>
        <w:br/>
        <w:br/>
        <w:t xml:space="preserve">  n                                n                                n</w:t>
        <w:br/>
        <w:t xml:space="preserve">    io                                                               io                                                                io</w:t>
        <w:br/>
        <w:t xml:space="preserve">  s                                s                                s</w:t>
        <w:br/>
        <w:t xml:space="preserve">  s                                s                                s</w:t>
        <w:br/>
        <w:t xml:space="preserve">  e  r  1                              er  1                              er  1</w:t>
        <w:br/>
        <w:t xml:space="preserve">  p                                p                                p</w:t>
        <w:br/>
        <w:t xml:space="preserve">  x                                x                                x</w:t>
        <w:br/>
        <w:t xml:space="preserve">  e                                e                                e</w:t>
        <w:br/>
        <w:br/>
        <w:t xml:space="preserve">  e                                e                                e</w:t>
        <w:br/>
        <w:t xml:space="preserve">  n                                n                                n</w:t>
        <w:br/>
        <w:t xml:space="preserve">  e  0                              e  0                              e  0</w:t>
        <w:br/>
        <w:t xml:space="preserve">  G                                G                                G</w:t>
        <w:br/>
        <w:br/>
        <w:br/>
        <w:t xml:space="preserve">        -1                                                                   -1                                                                   -1</w:t>
        <w:br/>
        <w:t xml:space="preserve">                 plnE               plnF                        A         B                                      Talpha              Tbeta</w:t>
        <w:br/>
        <w:br/>
        <w:br/>
        <w:br/>
        <w:t>Figura 1.10. Clústeres de genes de bacteriocinas de clase II identificados en el genoma de las cepas de lactobacilos y nivel de expresión de genes que codifican los precursores</w:t>
        <w:br/>
        <w:t>de bacteriocinas en cultivos de lactobacilos expuestos a diferentes concentraciones crecientes de células M. bovis BCG. La nomenclatura para los grupos de bacteriocina sigue</w:t>
        <w:br/>
        <w:t>recomendaciones específicas (Diep et al., 2009; O’Shea et al., 2011) y representa: las bacteriocinas precursoras (verde), las enzimas de modificación postraduccional (azul),</w:t>
        <w:br/>
        <w:t>las proteínas de transporte / inmunidad (rojo) y otras proteínas hipotéticas (gris).</w:t>
        <w:br/>
        <w:br/>
        <w:t>C1. Clúster de la bacteriocina de dos péptidos de L. plantarum C1 (en representación de todas las cepas de L. plantarum) y el nivel de expresión de sus genes de la bacteriocina</w:t>
        <w:br/>
        <w:t>precursora correspondiente plnE y plnF en cultivos expuestos a células de M. bovis BCG a 106 UFC / ml (barras de color gris claro) y 107 UFC / mL (barras grises oscuro).</w:t>
        <w:br/>
        <w:br/>
        <w:t>SA5. Clúster de la bacteriocina de dos péptidos de L. paracasei SA5 y el nivel de expresión de los de la bacteriocina precursora correspondiente A y B en cultivos expuestos a</w:t>
        <w:br/>
        <w:t>células de M. bovis BCG a 106 UFC / ml (barras de color gris claro) y 107 UFC / mL (barras grises oscuro).</w:t>
        <w:br/>
        <w:br/>
        <w:t>C2. Clúster de la bacteriocina de péptido único de L. salivarius C2 y el nivel de expresión de los genes de la bacteriocina precursora correspondiente Tay Tben cultivos</w:t>
        <w:br/>
        <w:t>expuestos a células de M. bovis BCG a 106 UFC / ml (barras de color gris claro) y 107 UFC / mL (barras grises oscuro).</w:t>
        <w:br/>
        <w:br/>
        <w:br/>
        <w:br/>
        <w:t xml:space="preserve">                                                                                                                         121</w:t>
        <w:br/>
      </w:r>
    </w:p>
    <w:p>
      <w:r>
        <w:t>Página 122:</w:t>
        <w:br/>
        <w:t>LAB | Capítulo I</w:t>
        <w:br/>
        <w:br/>
        <w:br/>
        <w:br/>
        <w:t>Las especies de lactobacilos influyen de forma diferente en la fagocitosis de M. bovis</w:t>
        <w:br/>
        <w:br/>
        <w:t>BCG</w:t>
        <w:br/>
        <w:br/>
        <w:t>En la figura 1.11A se ilustra el gráfico FSC-SSC que indica la presencia de linfocitos,</w:t>
        <w:br/>
        <w:br/>
        <w:t>monocitos y PMN (neutrófilos) en sangre porcina. A diferencia de lo que ocurre con las</w:t>
        <w:br/>
        <w:t>cepas M. bovis BCG y L. salivarius, la presencia de L. plantarum y L. paracasei altera</w:t>
        <w:br/>
        <w:br/>
        <w:t>significativamente el perfil de dispersión sanguínea, lo que complicó la identificación de</w:t>
        <w:br/>
        <w:t>monocitos y neutrófilos. Sin embargo, la distribución de linfocitos y fagocitos que</w:t>
        <w:br/>
        <w:br/>
        <w:t>observamos en los gráficos de SCC-GFP, nos permite distinguir entre las células</w:t>
        <w:br/>
        <w:br/>
        <w:t>sanguíneas que se han unido a la micobacteria o que la han fagocitado, en función de la</w:t>
        <w:br/>
        <w:t>intensidad de emisión de fluorescencia (GFP) (Figura 1.11B). Se encontraron tanto</w:t>
        <w:br/>
        <w:br/>
        <w:t>linfocitos como fagocitos positivos para GFP, pero la mayor intensidad fluorescencia se</w:t>
        <w:br/>
        <w:t>observó en las células fagocíticas. L. salivarius no tuvo un efecto significativo sobre la</w:t>
        <w:br/>
        <w:br/>
        <w:t>unión de M. bovis BCG (Figura 1.11C) ni sobre la respuesta fagocítica (Figura 1.11D) sin</w:t>
        <w:br/>
        <w:t>embargo, estos parámetros  sí se alteraron significativamente en presencia de  L.</w:t>
        <w:br/>
        <w:br/>
        <w:t>plantarum y L. paracasei. Aunque ambos lactobacilos aumentaron la unión entre M.</w:t>
        <w:br/>
        <w:t>bovis BCG y los fagocitos (Figura 1.11C) su efecto sobre la respuesta fagocítica fue</w:t>
        <w:br/>
        <w:br/>
        <w:t>completamente diferente (Figura 1.11D): L. plantarum disminuyó la fagocitosis de la</w:t>
        <w:br/>
        <w:t>micobacteria, mientras que L. paracasei la aumentó. Los datos fueron consistentes entre</w:t>
        <w:br/>
        <w:br/>
        <w:t>las diferentes especies, pero en los gráficos solo se muestra una representación de cada</w:t>
        <w:br/>
        <w:br/>
        <w:t>especie para facilitar su interpretación.</w:t>
        <w:br/>
        <w:br/>
        <w:br/>
        <w:br/>
        <w:br/>
        <w:br/>
        <w:t xml:space="preserve"> 122  MARÍA BRAVO SANTILLANA</w:t>
        <w:br/>
      </w:r>
    </w:p>
    <w:p>
      <w:r>
        <w:t>Página 123:</w:t>
        <w:br/>
        <w:t xml:space="preserve">                                        LAB | Capítulo I</w:t>
        <w:br/>
        <w:br/>
        <w:br/>
        <w:br/>
        <w:br/>
        <w:br/>
        <w:t>Figura 1.11. Los lactobacilos interactúan con las células sanguíneas porcinas, interfiriendo con la</w:t>
        <w:br/>
        <w:t>fagocitosis de M. bovis BCG de una manera diferente según la especie.</w:t>
        <w:br/>
        <w:br/>
        <w:t>(A) El gráfico SSC/FSC representa las áreas correspondientes a las células sanguíneas porcinas y el gráfico</w:t>
        <w:br/>
        <w:t>SSC/GFP muestra sus áreas correspondientes en condiciones normales (mock) y cuando se exponen a M.</w:t>
        <w:br/>
        <w:t>bovis BCG, L. salivarius C12, L. plantarum C1 y L. paracasei SA5. Las células sanguíneas se indican en verde</w:t>
        <w:br/>
        <w:t>(linfocitos), naranja (monocitos) y rojo (polimorfonucleares). (B) El gráfico SSC/GFP muestra la respuesta</w:t>
        <w:br/>
        <w:t>de las células sanguíneas porcinas a BCG-GFP solo (-) o en combinación con L. salivarius C12, L. plantarum</w:t>
        <w:br/>
        <w:t>C1 y L. paracasei SA5. Las áreas SSC/FSC para cada una de las condiciones se incluyen arriba y la intensidad</w:t>
        <w:br/>
        <w:t>GFP emitida por los fagocitos se indica en el control de BCG-GFP: negativa (-), positiva (+) y muy positiva</w:t>
        <w:br/>
        <w:t>(++). (C) Porcentaje de fagocitos que se unen a M. bovis BCG solos (barra negra) o en combinación con L.</w:t>
        <w:br/>
        <w:t>salivarius C12, L. plantarum C1 y L. paracasei SA5 (barras grises). Los datos se expresan como media±DE</w:t>
        <w:br/>
        <w:t>con el análisis estadístico de la prueba t de Student (*** p &lt;0,001). (D) Porcentaje de fagocitos que</w:t>
        <w:br/>
        <w:t>fagocitan M. bovis BCG solos (barra negra) o en combinación con L. salivarius C12, L. plantarum C1 y L.</w:t>
        <w:br/>
        <w:t>paracasei SA5 (barras grises). Los datos se expresan como media±DE con el análisis estadístico de la</w:t>
        <w:br/>
        <w:t>prueba t de Student (*** p &lt;0,001).</w:t>
        <w:br/>
        <w:br/>
        <w:br/>
        <w:br/>
        <w:br/>
        <w:br/>
        <w:t xml:space="preserve">                                           MARÍA BRAVO SANTILLANA  123</w:t>
        <w:br/>
      </w:r>
    </w:p>
    <w:p>
      <w:r>
        <w:t>Página 124:</w:t>
        <w:br/>
        <w:t>LAB | Capítulo I</w:t>
        <w:br/>
        <w:br/>
        <w:t>DISCUSIÓN</w:t>
        <w:br/>
        <w:br/>
        <w:br/>
        <w:t>En este estudio, se encontraron BAL comensales con importantes propiedades para</w:t>
        <w:br/>
        <w:t>antagonizar a la bacteria M. bovis en jabalíes de tres fincas geográficamente dispersas,</w:t>
        <w:br/>
        <w:br/>
        <w:t>pero que tienen como característica común la prevalencia baja o nula de TB pese a estar</w:t>
        <w:br/>
        <w:t>rodeadas de áreas con un historial clínico significativo de la enfermedad y estar</w:t>
        <w:br/>
        <w:br/>
        <w:t>localizadas en áreas de alto riesgo de TB en fauna salvaje (Real Decreto 138/2020, de 28</w:t>
        <w:br/>
        <w:br/>
        <w:t>de enero, por el que se establece la normativa básica en materia de actuaciones</w:t>
        <w:br/>
        <w:t>sanitarias en especies cinegéticas que actúan como reservorio de la tuberculosis</w:t>
        <w:br/>
        <w:br/>
        <w:t>(Complejo Mycobacterium Tuberculosis)., 2020). En este primer grupo de estudio, las</w:t>
        <w:br/>
        <w:t>BAL comensales mostraron un perfil de lactobacilos predominante que redujeron</w:t>
        <w:br/>
        <w:br/>
        <w:t>significativamente la supervivencia de M. bovis, el agente causal de la TB en el jabalí. Por</w:t>
        <w:br/>
        <w:t>el contrario, el segundo grupo de estudio, que está formado por jabalíes que habitan en</w:t>
        <w:br/>
        <w:br/>
        <w:t>una finca con elevadas prevalencias de la enfermedad, mostró un perfil de BAL</w:t>
        <w:br/>
        <w:t>comensales completamente diferente, puesto que albergan enterococos, que no</w:t>
        <w:br/>
        <w:br/>
        <w:t>disponen de esas propiedades antagonizantes, pese a que en un estudio previo los</w:t>
        <w:br/>
        <w:t>autores demostraron el efecto antimicobacteriano de algunos enterococos (Fellag et al.,</w:t>
        <w:br/>
        <w:br/>
        <w:t>2020). Curiosamente, esta tendencia antimicobacteriana por grupos se mantiene en el</w:t>
        <w:br/>
        <w:br/>
        <w:t>caso de los pediococos, que fueron encontrados en ambos grupos. El aislado P.</w:t>
        <w:br/>
        <w:t>acidilactici C5 del grupo libre de TB mostró una gran actividad inhibitoria frente a la</w:t>
        <w:br/>
        <w:br/>
        <w:t>micobacteria, mientras que el P. acidilactici de la finca con alta prevalencia de TB no</w:t>
        <w:br/>
        <w:t>afectó la supervivencia de esta. Es muy probable que estas bacterias comensales con</w:t>
        <w:br/>
        <w:br/>
        <w:t>propiedades antimicobacterianas contribuyan a mantener el buen estado de salud de</w:t>
        <w:br/>
        <w:t>los  jabalíes.  La  composición de  la  microbiota  intestinal  se ha  correlacionado</w:t>
        <w:br/>
        <w:br/>
        <w:t>previamente con la tuberculosis en humanos (Dumas et al., 2018; Fellag et al., 2020; Hu</w:t>
        <w:br/>
        <w:t>et al., 2019; Luo et al., 2017; Winglee et al., 2014), aunque hasta la fecha no se han</w:t>
        <w:br/>
        <w:br/>
        <w:t>realizado estudios  similares en animales. Nuestros resultados refuerzan nuestra</w:t>
        <w:br/>
        <w:br/>
        <w:t>hipótesis del papel beneficioso de las BAL comensales en la protección del huésped</w:t>
        <w:br/>
        <w:t>frente a la TB.</w:t>
        <w:br/>
        <w:br/>
        <w:br/>
        <w:br/>
        <w:br/>
        <w:br/>
        <w:t xml:space="preserve"> 124  MARÍA BRAVO SANTILLANA</w:t>
        <w:br/>
      </w:r>
    </w:p>
    <w:p>
      <w:r>
        <w:t>Página 125:</w:t>
        <w:br/>
        <w:t xml:space="preserve">                                        LAB | Capítulo I</w:t>
        <w:br/>
        <w:br/>
        <w:t>En este estudio se describe, por primera vez, lactobacilos aislados de jabalíes con</w:t>
        <w:br/>
        <w:br/>
        <w:t>actividad antimicobacteriana, concretamente L. plantarum, L. salivarius y L. paracasei.</w:t>
        <w:br/>
        <w:br/>
        <w:t>Nuestros resultados son consistentes con estudios previos que encontraron que M.</w:t>
        <w:br/>
        <w:t>bovis BCG y M. bovis son inhibidos por lactobacilos aislados de heces de tejón o</w:t>
        <w:br/>
        <w:br/>
        <w:t>presentes en productos lácteos fermentados (Macuamule et al., 2016; Mariam, 2009;</w:t>
        <w:br/>
        <w:t>Stedman et al., 2018). Otros estudios previos que describen aislados de BAL en jabalíes,</w:t>
        <w:br/>
        <w:br/>
        <w:t>se centran en describir los perfiles de resistencias antimicrobianas en lactobacilos y</w:t>
        <w:br/>
        <w:t>enterococos (Klose et al., 2014; Poeta et al., 2007) y serán tratados en el siguiente</w:t>
        <w:br/>
        <w:br/>
        <w:t>capítulo de esta tesis doctoral.</w:t>
        <w:br/>
        <w:br/>
        <w:br/>
        <w:t>Inicialmente sospechamos que la actividad antimicrobiana que mostraban nuestros</w:t>
        <w:br/>
        <w:t>aislados podía deberse al pH ácido, sin embargo, de acuerdo con nuestros resultados y</w:t>
        <w:br/>
        <w:br/>
        <w:t>otros estudios (De la Rua-Domenech, 2006; Stedman et al., 2018) la acidificación del pH</w:t>
        <w:br/>
        <w:br/>
        <w:t>resulta insuficiente para disminuir la supervivencia de la micobacteria. De hecho, la</w:t>
        <w:br/>
        <w:t>especie M. bovis muestra cierta resistencia al pH ácido debido a su capacidad natural</w:t>
        <w:br/>
        <w:br/>
        <w:t>para adoptar homeostasis intracelular (Rao et al., 2001). En general, los aislados de</w:t>
        <w:br/>
        <w:t>lactobacilos que hemos obtenido en este estudio parecen producir metabolitos que</w:t>
        <w:br/>
        <w:br/>
        <w:t>muestran una actividad antimicrobiana muy significativa contra M. bovis BCG, pero solo</w:t>
        <w:br/>
        <w:t>a pH ácido, lo que sugiere un efecto sinérgico de estos metabolitos y la acidificación del</w:t>
        <w:br/>
        <w:br/>
        <w:t>pH. Todos nuestros aislados de lactobacilos contienen genes asociados con la síntesis de</w:t>
        <w:br/>
        <w:t>lactato y acetato, que inhiben el transporte activo de otras especies bacterianas al</w:t>
        <w:br/>
        <w:br/>
        <w:t>causar interferencia en  el potencial de membrana;  así como otros compuestos</w:t>
        <w:br/>
        <w:br/>
        <w:t>antimicrobianos adicionales (etanol, CO2 y H2O2) que pueden prevenir el crecimiento</w:t>
        <w:br/>
        <w:t>bacteriano al crear un ambiente hostil (Pessione, 2012). El número de marcadores de</w:t>
        <w:br/>
        <w:br/>
        <w:t>H2O2 es menor en los pediococos y enterococos. Los aislados de Pediococcus y E.</w:t>
        <w:br/>
        <w:t>casseliflavus también son heterofermentadores facultativos, pero sus genomas solo</w:t>
        <w:br/>
        <w:br/>
        <w:t>albergan  un  gen  PKP.  Por  el  contrario,  los  dos  E.  faecalis  actúan como</w:t>
        <w:br/>
        <w:t>homofermentadores obligados, produciendo solo lactato (Papagianni, 2012).</w:t>
        <w:br/>
        <w:br/>
        <w:br/>
        <w:t>La actividad antibacteriana mostrada por los lactobacilos es multifactorial y se deriva</w:t>
        <w:br/>
        <w:br/>
        <w:t>tanto de la disminución del pH como de la producción simultánea de ácido láctico y otros</w:t>
        <w:br/>
        <w:br/>
        <w:t>metabolitos (Fayol-Messaoudi et al., 2005). De hecho, estas sustancias antimicrobianas</w:t>
        <w:br/>
        <w:br/>
        <w:t xml:space="preserve">                                           MARÍA BRAVO SANTILLANA  125</w:t>
        <w:br/>
      </w:r>
    </w:p>
    <w:p>
      <w:r>
        <w:t>Página 126:</w:t>
        <w:br/>
        <w:t>LAB | Capítulo I</w:t>
        <w:br/>
        <w:br/>
        <w:t>actúan forma sinérgica, ya que el ácido láctico permeabiliza la membrana externa de las</w:t>
        <w:br/>
        <w:br/>
        <w:t>bacterias, permitiendo que el resto de metabolitos penetren en las células bacterianas</w:t>
        <w:br/>
        <w:br/>
        <w:t>(Alakomi et  al., 2000). Los resultados de nuestro estudio demuestran este efecto</w:t>
        <w:br/>
        <w:t>sinérgico, puesto que la actividad antimicobacteriana de los lactobacilos desapareció al</w:t>
        <w:br/>
        <w:br/>
        <w:t>neutralizar el pH, es decir, los metabolitos producidos por los lactobacilos son activos a</w:t>
        <w:br/>
        <w:t>pH ácido. Una de las razones por las cuales los metabolitos producidos por los</w:t>
        <w:br/>
        <w:br/>
        <w:t>lactobacilos no muestran actividad frente a M. bovis a pH neutro podría deberse que</w:t>
        <w:br/>
        <w:t>algunas bacteriocinas solo son completamente funcionales en condiciones ácidas. El</w:t>
        <w:br/>
        <w:br/>
        <w:t>genoma de todos los aislados de lactobacilos mostró genes relacionados con  la</w:t>
        <w:br/>
        <w:t>biosíntesis de bacteriocinas de clase III conocidas como «bacteriolisinas», especialmente</w:t>
        <w:br/>
        <w:br/>
        <w:t>en L. salivarius. Las bacteriolisinas son enzimas adaptadas al ambiente ácido en el</w:t>
        <w:br/>
        <w:t>hospedador, con una actividad bactericida óptima que oscila entre valores de pH de 4 a</w:t>
        <w:br/>
        <w:br/>
        <w:t>6 (Ribelles et al., 2012; Sable y Lortal, 1995). Esto también podría explicar la ausencia de</w:t>
        <w:br/>
        <w:br/>
        <w:t>actividad antimicrobiana encontrada en metabolitos de todos los cocultivos de L.</w:t>
        <w:br/>
        <w:t>salivarius a pH 7. Por el contrario, la actividad antimicobacteriana observada con los</w:t>
        <w:br/>
        <w:br/>
        <w:t>metabolitos derivados de cocultivos de M. bovis BCG con L. plantarum y L. paracasei no</w:t>
        <w:br/>
        <w:t>desapareció  a pH  neutro.  Esto  sugiere  que,  en  primer  lugar,  la  actividad</w:t>
        <w:br/>
        <w:br/>
        <w:t>antimicobacteriana depende de las especies de lactobacilos y no siempre está asociada</w:t>
        <w:br/>
        <w:t>a pH bajos; y, segundo, M. bovis BCG puede inducir un efecto bactericida. Curiosamente,</w:t>
        <w:br/>
        <w:br/>
        <w:t>encontramos que las cepas de L. plantarum y L. paracasei portan grupos de genes</w:t>
        <w:br/>
        <w:t>asociados con la producción de bacteriocinas de clase IIb, que están formadas por dos</w:t>
        <w:br/>
        <w:br/>
        <w:t>péptidos diferentes que ejercen una actividad antimicrobiana óptima cuando ambos</w:t>
        <w:br/>
        <w:br/>
        <w:t>están presentes en cantidades iguales y que es muy estable en un rango muy amplio de</w:t>
        <w:br/>
        <w:t>pH (1-11) (Nissen-Meyer et al., 2010). Los genes que codifican los dos péptidos están</w:t>
        <w:br/>
        <w:br/>
        <w:t>uno al lado del otro en el mismo operón donde se encuentran otros genes asociados con</w:t>
        <w:br/>
        <w:t>el procesamiento, el transporte y la inmunidad.</w:t>
        <w:br/>
        <w:br/>
        <w:br/>
        <w:t>Los genes que codifican la bacteriocina de dos péptidos que identificamos en el genoma</w:t>
        <w:br/>
        <w:br/>
        <w:t>de las tres cepas de L. plantarum son idénticos a los dos genes del operón plnEF. Los</w:t>
        <w:br/>
        <w:t>genes plnE y plnF permiten la expresión de dos péptidos, denominados plantaricinas E y</w:t>
        <w:br/>
        <w:br/>
        <w:t>F, que interactúan entre sí para formar una estructura de hélice-hélice que se une a una</w:t>
        <w:br/>
        <w:br/>
        <w:t>proteína de membrana  específica de  la  bacteria  diana,  presumiblemente un</w:t>
        <w:br/>
        <w:t xml:space="preserve"> 126  MARÍA BRAVO SANTILLANA</w:t>
        <w:br/>
      </w:r>
    </w:p>
    <w:p>
      <w:r>
        <w:t>Página 127:</w:t>
        <w:br/>
        <w:t xml:space="preserve">                                        LAB | Capítulo I</w:t>
        <w:br/>
        <w:br/>
        <w:t>transportador de la superfamilia APC, lo que ocasiona la destrucción de la membrana y,</w:t>
        <w:br/>
        <w:br/>
        <w:t>como consecuencia, la muerte celular (Ekblad et al., 2016; Oppegård et al., 2016). El</w:t>
        <w:br/>
        <w:br/>
        <w:t>resto de los genes que detectamos en los genomas de L. plantarum son idénticos al</w:t>
        <w:br/>
        <w:t>operón plnWVUTSHG, que participan en el transporte, procesamiento y autoprotección</w:t>
        <w:br/>
        <w:br/>
        <w:t>(Diep et al., 2009). Los operones plnEF y plnWVUTSHG se encuentran de forma frecuente</w:t>
        <w:br/>
        <w:t>en muchas cepas de L. plantarum junto con otros grupos de bacteriocinas de dos</w:t>
        <w:br/>
        <w:br/>
        <w:t>péptidos como plantaricina JK, aunque en algunos casos se ha detectado de forma</w:t>
        <w:br/>
        <w:t>aislada (Sáenz et al., 2009; Tai et al., 2015). Asimismo, detectamos un clúster de genes</w:t>
        <w:br/>
        <w:br/>
        <w:t>implicados en la síntesis hipotética de una nueva bacteriocina de dos péptidos en L.</w:t>
        <w:br/>
        <w:t>paracasei. El clúster está compuesto por dos genes que codifican para dos bacteriocinas</w:t>
        <w:br/>
        <w:br/>
        <w:t>que muestran cierta similitud con la termofilina A (Ward y Somkuti, 1995) y la carnocina</w:t>
        <w:br/>
        <w:t>CP51 (Herbin et al., 1997), seguidos de un gen de galactósido O-acetiltransferasa y dos</w:t>
        <w:br/>
        <w:br/>
        <w:t>genes adicionales implicados en la inmunidad y el transporte. La carnocina CP51 se</w:t>
        <w:br/>
        <w:br/>
        <w:t>expresa con  el  péptido complementario  carnocina CP52 en Carnobacterium y</w:t>
        <w:br/>
        <w:t>termofilina A glicosilada, como ocurre con algunas plantaricinas (Diep et al., 2009).</w:t>
        <w:br/>
        <w:br/>
        <w:br/>
        <w:t>Un hecho muy interesante que observamos es que los dos operones que codifican las</w:t>
        <w:br/>
        <w:br/>
        <w:t>bacteriocinas de dos péptidos en los aislados de  L. plantarum y  L. paracasei se</w:t>
        <w:br/>
        <w:t>sobreexpresan en presencia de células de M. bovis BCG en función de la concentración</w:t>
        <w:br/>
        <w:br/>
        <w:t>de  estas.  Estos  resultados podrían  explicar  la  actividad  antimicrobiana de  los</w:t>
        <w:br/>
        <w:t>metabolitos obtenidos a partir cocultivos de M. bovis BCG con L. plantarum y L.</w:t>
        <w:br/>
        <w:br/>
        <w:t>paracasei. Esta actividad no se detectó cuando se utilizaban los metabolitos del</w:t>
        <w:br/>
        <w:br/>
        <w:t>monocultivo o de estos dos lactobacilos propagados en sobrenadantes libres de células,</w:t>
        <w:br/>
        <w:t>pero con metabolitos liberados al medio por M. bovis. De hecho, la regulación de la</w:t>
        <w:br/>
        <w:br/>
        <w:t>producción de plantaricina en cocultivos de L. plantarum ha sido descrita previamente</w:t>
        <w:br/>
        <w:t>(Maldonado, Ruiz-Barba, et al., 2004; Maldonado-Barragán et al., 2013). De forma</w:t>
        <w:br/>
        <w:br/>
        <w:t>similar a nuestros resultados, un trabajo anterior describe la inducción del operón de la</w:t>
        <w:br/>
        <w:t>plantaricina NC8 en presencia de otras bacterias grampositivas o de células de otras</w:t>
        <w:br/>
        <w:br/>
        <w:t>bacterias inductoras inactivadas por calor (Maldonado, Jiménez-Díaz, et al., 2004). Está</w:t>
        <w:br/>
        <w:t>descrito que las plantaricinas tienen un espectro de inhibición microbiana bastante</w:t>
        <w:br/>
        <w:br/>
        <w:t>estrecho, limitado a inhibir otras especies de lactobacilos y algunas especies Gram +</w:t>
        <w:br/>
        <w:br/>
        <w:t>relacionadas (Diep et al., 2009), por ello, nuestros resultados no son suficientes para</w:t>
        <w:br/>
        <w:br/>
        <w:t xml:space="preserve">                                           MARÍA BRAVO SANTILLANA  127</w:t>
        <w:br/>
      </w:r>
    </w:p>
    <w:p>
      <w:r>
        <w:t>Página 128:</w:t>
        <w:br/>
        <w:t>LAB | Capítulo I</w:t>
        <w:br/>
        <w:br/>
        <w:t>confirmar que el efecto antimicobacteriano de L. plantarum se deba exclusivamente a</w:t>
        <w:br/>
        <w:br/>
        <w:t>la producción de plantaricina. No obstante, el efecto antimicobacteriano encontrado es</w:t>
        <w:br/>
        <w:br/>
        <w:t>muy prometedor debido a que  las plantaricinas contribuyen a  la funcionalidad</w:t>
        <w:br/>
        <w:t>probiótica una vez se produce la colonización en el intestino (Maldonado-Barragán et</w:t>
        <w:br/>
        <w:br/>
        <w:t>al., 2013), y a que las bacteriocinas de clase II tienen actividad antimicrobiana contra M.</w:t>
        <w:br/>
        <w:t>tuberculosis (Sosunov et al., 2007).</w:t>
        <w:br/>
        <w:br/>
        <w:br/>
        <w:t>A diferencia de las bacteriocinas de dos péptidos, las dos bacteriocinas de péptido único</w:t>
        <w:br/>
        <w:br/>
        <w:t>identificadas de L. salivarius no mostraron regulación positiva en presencia de células</w:t>
        <w:br/>
        <w:t>de M. bovis BCG, lo que concuerda con el hecho de que los metabolitos de L. salivarius</w:t>
        <w:br/>
        <w:br/>
        <w:t>no afectaron a la supervivencia de M. bovis BCG a pH 7. Las dos bacteriocinas que</w:t>
        <w:br/>
        <w:t>encontramos en  el genoma de  L.  salivarius muestran  similitudes con múltiples</w:t>
        <w:br/>
        <w:br/>
        <w:t>bacteriocinas de clase IIb previamente descritas en otras cepas de L. salivarius (O’Shea</w:t>
        <w:br/>
        <w:br/>
        <w:t>et al., 2011) pero también con bacteriocinas blp1α / blp1β de L. salivarius BGHO1</w:t>
        <w:br/>
        <w:t>(Busarcevic y Dalgalarrondo, 2012) y ThmA / ThmB (termofilina 13) de Streptococcus</w:t>
        <w:br/>
        <w:br/>
        <w:t>thermophilus (Marciset et  al., 1997). Nuestras dos bacteriocinas de  L. salivarius</w:t>
        <w:br/>
        <w:t>contienen la secuencia líder de tipo doble glicina de las bacteriocinas de clase II pero, a</w:t>
        <w:br/>
        <w:br/>
        <w:t>diferencia de las bacteriocinas de dos péptidos (clase IIb), sus operones portan genes de</w:t>
        <w:br/>
        <w:t>inmunidad para cada uno de los precursores. Como estas bacteriocinas también carecen</w:t>
        <w:br/>
        <w:br/>
        <w:t>de la secuencia de consenso YGNGV-C de las bacteriocinas de clase IIa, se clasificaron</w:t>
        <w:br/>
        <w:t>como una bacteriocina de péptido único (clase IId). La evidencia de que las bacteriocinas</w:t>
        <w:br/>
        <w:br/>
        <w:t>blp1α / blp1β se producen en medio de cultivo muy selectivo y que las bacteriocinas</w:t>
        <w:br/>
        <w:br/>
        <w:t>ThmA / ThmB ejercen su función sin un receptor de membrana bacteriano también</w:t>
        <w:br/>
        <w:t>podrían  explicar  la ausencia de actividad antimicobacteriana observada con  los</w:t>
        <w:br/>
        <w:br/>
        <w:t>metabolitos de L. salivarius a pH neutro.</w:t>
        <w:br/>
        <w:br/>
        <w:br/>
        <w:t>Otro aspecto importante es el hecho de que la privación de nutrientes causada por el</w:t>
        <w:br/>
        <w:t>metabolismo de los lactobacilos parece no tener influencia en la supervivencia de M.</w:t>
        <w:br/>
        <w:br/>
        <w:t>bovis BCG. La viabilidad de M. bovis BCG registrada tras la incubación en sobrenadantes</w:t>
        <w:br/>
        <w:t>de monocultivos de lactobacilos ajustados a pH 7 no se vio afectada. Además, los</w:t>
        <w:br/>
        <w:br/>
        <w:t>lactobacilos crecen bien en presencia de metabolitos de BCG, lo que sugiere que las vías</w:t>
        <w:br/>
        <w:br/>
        <w:t>metabólicas de los lactobacilos y M. bovis no tienen interferencia cruzada. Los</w:t>
        <w:br/>
        <w:t xml:space="preserve"> 128  MARÍA BRAVO SANTILLANA</w:t>
        <w:br/>
      </w:r>
    </w:p>
    <w:p>
      <w:r>
        <w:t>Página 129:</w:t>
        <w:br/>
        <w:t xml:space="preserve">                                        LAB | Capítulo I</w:t>
        <w:br/>
        <w:br/>
        <w:t>lactobacilos, como muchas otras bacterias ácido-lácticas, tienen un metabolismo</w:t>
        <w:br/>
        <w:br/>
        <w:t>relativamente simple que convierte los azúcares en piruvato a través de la vía glucolítica,</w:t>
        <w:br/>
        <w:br/>
        <w:t>generando energía (Papagianni, 2012), mientras que las micobacterias muestran un</w:t>
        <w:br/>
        <w:t>metabolismo central de carbono muy complejo, pero flexible, que genera energía a</w:t>
        <w:br/>
        <w:br/>
        <w:t>partir de la glucólisis, gluconeogénesis, la vía de la pentosa fosfato y la vía del TCA</w:t>
        <w:br/>
        <w:t>dependiendo de los recursos disponibles (Cumming y Steyn, 2015). Estos hechos</w:t>
        <w:br/>
        <w:br/>
        <w:t>metabólicos,  junto  con  la  evidencia  de  que  el pH  ácido  no  tiene  efecto</w:t>
        <w:br/>
        <w:t>antimicobacteriano in vitro, refuerzan nuestra hipótesis de que los lactobacilos ejercen</w:t>
        <w:br/>
        <w:br/>
        <w:t>actividad antimicrobiana contra M. bovis BCG a través de mecanismos sinérgicos que</w:t>
        <w:br/>
        <w:t>incluyen combinación la del pH ácido con diferentes metabolitos como ácidos orgánicos,</w:t>
        <w:br/>
        <w:br/>
        <w:t>peróxido de hidrógeno, etanol y bacteriocinas.</w:t>
        <w:br/>
        <w:br/>
        <w:br/>
        <w:t>Finalmente, determinamos  la respuesta  fagocítica a M. bovis BCG expuestos a</w:t>
        <w:br/>
        <w:br/>
        <w:t>lactobacilos.  Los  aislados de  L. plantarum  y  L.  paracasei  tuvieron un  efecto</w:t>
        <w:br/>
        <w:t>significativamente opuesto, mientras que L. plantarum disminuyó la fagocitosis de M.</w:t>
        <w:br/>
        <w:br/>
        <w:t>bovis BCG, L. paracasei aumentó la respuesta fagocítica. Por ello, estas dos especies de</w:t>
        <w:br/>
        <w:t>lactobacilos podrían ser reconocidas por diferentes receptores fagocíticos que, en</w:t>
        <w:br/>
        <w:br/>
        <w:t>mayor o menor medida, también podrían estar implicados en el reconocimiento de M.</w:t>
        <w:br/>
        <w:t>bovis BCG. La internalización por los fagocitos es claramente beneficiosa para la</w:t>
        <w:br/>
        <w:br/>
        <w:t>supervivencia de las especies del complejo M. tuberculosis (el ya mencionado CMT), que</w:t>
        <w:br/>
        <w:t>pueden ingresar a los macrófagos a través de diferentes moléculas receptoras, incluidos</w:t>
        <w:br/>
        <w:br/>
        <w:t>los receptores del complemento involucrados en las vías clásicas y alternativas, como</w:t>
        <w:br/>
        <w:br/>
        <w:t>los receptores C1 y receptores de lectina de tipo C (Marakalala et al., 2018; Pieters,</w:t>
        <w:br/>
        <w:t>2008). En este sentido, estudios muy recientes han descrito que los lactobacilos son</w:t>
        <w:br/>
        <w:br/>
        <w:t>capaces de expresar adhesinas que se unen a receptores de lectina de tipo C (Bene et</w:t>
        <w:br/>
        <w:t>al., 2017). Curiosamente, los genomas de nuestros aislados de  L. plantarum han</w:t>
        <w:br/>
        <w:br/>
        <w:t>revelado la presencia de cna, un gen que codifica una adhesina de colágeno (cna) y que</w:t>
        <w:br/>
        <w:t>no se ha encontrado en el genoma de L. paracasei. Esta proteína también bloquea la</w:t>
        <w:br/>
        <w:br/>
        <w:t>activación del complemento dependiente de C1 (Kang et al., 2013), por lo que el</w:t>
        <w:br/>
        <w:t>antagonismo de los aislados de L. plantarum frente a la fagocitosis de M. bovis podría</w:t>
        <w:br/>
        <w:br/>
        <w:t>ser causado por la competencia, no solo por los receptores de lectina, sino también por</w:t>
        <w:br/>
        <w:br/>
        <w:t>la vía clásica de activación del complemento.</w:t>
        <w:br/>
        <w:br/>
        <w:t xml:space="preserve">                                           MARÍA BRAVO SANTILLANA  129</w:t>
        <w:br/>
      </w:r>
    </w:p>
    <w:p>
      <w:r>
        <w:t>Página 130:</w:t>
        <w:br/>
        <w:t>LAB | Capítulo I</w:t>
        <w:br/>
        <w:br/>
        <w:br/>
        <w:br/>
        <w:t>La razón por la que L. paracasei aumenta la fagocitosis de M. bovis BCG podría deberse</w:t>
        <w:br/>
        <w:br/>
        <w:t>a muchos factores diferentes, incluida la expresión de spaD, un gen de proteína fimbrial</w:t>
        <w:br/>
        <w:t>que hemos identificado en su genoma. Las fimbrias de los lactobacilos facilitan la</w:t>
        <w:br/>
        <w:br/>
        <w:t>fagocitosis por los macrófagos a través de la integrina CD11b / CD18 (García et al., 2015),</w:t>
        <w:br/>
        <w:t>también conocida como receptor del complemento 3 (CR3). Además, CR3 puede actuar</w:t>
        <w:br/>
        <w:br/>
        <w:t>como un regulador negativo de los receptores de lectina de tipo C (Q. Zhang et al., 2018)</w:t>
        <w:br/>
        <w:t>y parece no alterar la progresión de la infección por producida M. tuberculosis (Hu et al.,</w:t>
        <w:br/>
        <w:br/>
        <w:t>2000). Por lo tanto, las fimbrias podrían promover la fagocitosis por los macrófagos a</w:t>
        <w:br/>
        <w:t>través los principales receptores fagocíticos de M. bovis, como las lectinas. Por otro lado,</w:t>
        <w:br/>
        <w:br/>
        <w:t>tanto L. plantarum como L. paracasei contienen el gen de adhesina rica en serina sraP,</w:t>
        <w:br/>
        <w:t>por lo que estos receptores para el reconocimiento de ácido siálico podrían no tener una</w:t>
        <w:br/>
        <w:br/>
        <w:t>influencia significativa en la fagocitosis de M. bovis BCG (Kline et al., 2009).</w:t>
        <w:br/>
        <w:br/>
        <w:br/>
        <w:t>Los aislamientos de L. salivarius no tuvieron efectos significativos sobre la unión ni sobre</w:t>
        <w:br/>
        <w:br/>
        <w:t>la fagocitosis de M. bovis BCG, al contrario que L. plantarum y L. paracasei. Estas dos</w:t>
        <w:br/>
        <w:t>especies de lactobacilos también alteraron significativamente  el  perfil sanguíneo</w:t>
        <w:br/>
        <w:br/>
        <w:t>porcino. Los lactobacilos activan los macrófagos a través de los receptores Toll-like (TLR)</w:t>
        <w:br/>
        <w:t>y nuestras 3 especies de Lactobacillus contienen los genes ltaS1 y ltaS2 involucrados en</w:t>
        <w:br/>
        <w:br/>
        <w:t>la síntesis de ácido lipoteicoico (LTA), un componente principal de la pared celular que</w:t>
        <w:br/>
        <w:t>actúa como estimulador de TLR2 (Sengupta et al., 2013). Sin embargo, L. plantarum y L.</w:t>
        <w:br/>
        <w:br/>
        <w:t>paracasei también albergan genes que codifican otros componentes de la pared celular</w:t>
        <w:br/>
        <w:br/>
        <w:t>y la membrana citoplasmática que no se encontraron en L. salivarius, como la proteína</w:t>
        <w:br/>
        <w:t>fimbrial spaD de L. paracasei y los genes tagBFGH asociados con la biosíntesis de ácidos</w:t>
        <w:br/>
        <w:br/>
        <w:t>teicoicos de la pared celular (WTA) en L. plantarum. Las fimbrias y WTA son capaces de</w:t>
        <w:br/>
        <w:t>activar macrófagos a través de TLR5 y 2, respectivamente (Ganguli et al., 2015; Hevia et</w:t>
        <w:br/>
        <w:br/>
        <w:t>al., 2015; Yu et al., 2015) y, en nuestras condiciones experimentales, su contribución a</w:t>
        <w:br/>
        <w:t>la estimulación de fagocitos podría ser mucho más significativo que LTA. La activación</w:t>
        <w:br/>
        <w:br/>
        <w:t>de TLR podría colaborar con  los receptores fagocíticos y  así tener importantes</w:t>
        <w:br/>
        <w:t>implicaciones posteriores en el proceso de fagocitosis (Gordon, 2016).</w:t>
        <w:br/>
        <w:br/>
        <w:br/>
        <w:br/>
        <w:br/>
        <w:t xml:space="preserve"> 130  MARÍA BRAVO SANTILLANA</w:t>
        <w:br/>
      </w:r>
    </w:p>
    <w:p>
      <w:r>
        <w:t>Página 131:</w:t>
        <w:br/>
        <w:t xml:space="preserve">                                        LAB | Capítulo I</w:t>
        <w:br/>
        <w:br/>
        <w:t>Los resultados de este estudio refuerzan la hipótesis del papel beneficioso de las BAL</w:t>
        <w:br/>
        <w:br/>
        <w:t>comensales en la protección del huésped frente a la TB y resaltan el papel de la</w:t>
        <w:br/>
        <w:br/>
        <w:t>microbiota comensal en la lucha frente a enfermedades infecciosas. Por ello, las</w:t>
        <w:br/>
        <w:t>bacterias aisladas en este capítulo se estudiarán con más detalle en los siguientes</w:t>
        <w:br/>
        <w:br/>
        <w:t>capítulos de esta tesis doctoral para tratar de investigar sobre sus capacidades, tanto</w:t>
        <w:br/>
        <w:t>antimicrobianas frente a otro tipo de patógenos, como inmunomoduladoras; y poder</w:t>
        <w:br/>
        <w:br/>
        <w:t>explotar sus posibles propiedades beneficiosas como probióticos.</w:t>
        <w:br/>
        <w:br/>
        <w:br/>
        <w:br/>
        <w:br/>
        <w:br/>
        <w:t xml:space="preserve">                                           MARÍA BRAVO SANTILLANA  131</w:t>
        <w:br/>
      </w:r>
    </w:p>
    <w:p>
      <w:r>
        <w:t>Página 132:</w:t>
        <w:br/>
        <w:t>LAB | Capítulo I</w:t>
        <w:br/>
        <w:br/>
        <w:br/>
        <w:br/>
        <w:br/>
        <w:br/>
        <w:t xml:space="preserve"> 132  MARÍA BRAVO SANTILLANA</w:t>
        <w:br/>
      </w:r>
    </w:p>
    <w:p>
      <w:r>
        <w:t>Página 133:</w:t>
        <w:br/>
        <w:t xml:space="preserve">                                       LAB | Capítulo II</w:t>
        <w:br/>
        <w:br/>
        <w:br/>
        <w:br/>
        <w:br/>
        <w:t>CAPÍTULO   II:  Evaluación  del  potencial  beneficioso de  los</w:t>
        <w:br/>
        <w:t>aislados: estudios de seguridad, determinación in vitro de la</w:t>
        <w:br/>
        <w:t>acción antimicrobiana frente a patógenos y valoración de su</w:t>
        <w:br/>
        <w:t>capacidad inmunomoduladora</w:t>
        <w:br/>
        <w:br/>
        <w:br/>
        <w:br/>
        <w:br/>
        <w:br/>
        <w:t xml:space="preserve">                                           MARÍA BRAVO SANTILLANA  133</w:t>
        <w:br/>
      </w:r>
    </w:p>
    <w:p>
      <w:r>
        <w:t>Página 134:</w:t>
        <w:br/>
        <w:t>LAB | Capítulo II</w:t>
        <w:br/>
        <w:br/>
        <w:br/>
        <w:br/>
        <w:br/>
        <w:br/>
        <w:t xml:space="preserve"> 134  MARÍA BRAVO SANTILLANA</w:t>
        <w:br/>
      </w:r>
    </w:p>
    <w:p>
      <w:r>
        <w:t>Página 135:</w:t>
        <w:br/>
        <w:t xml:space="preserve">                                        LAB | Capítulo II</w:t>
        <w:br/>
        <w:br/>
        <w:t>INTRODUCCIÓN</w:t>
        <w:br/>
        <w:br/>
        <w:br/>
        <w:br/>
        <w:t>Breve resumen histórico del concepto «probiótico»</w:t>
        <w:br/>
        <w:br/>
        <w:t>La palabra «probiótico» deriva del latín pro «a favor de» y del griego βιοσ «vida»</w:t>
        <w:br/>
        <w:br/>
        <w:t>(Dwivedi et al., 2016) y la definición que se contempla en la actualidad fue la propuesta</w:t>
        <w:br/>
        <w:t>por la Organización Mundial de la Salud (OMS) en 2001 como «microorganismos vivos</w:t>
        <w:br/>
        <w:br/>
        <w:t>que, administrados en cantidades adecuadas, reportan un beneficio para la salud del</w:t>
        <w:br/>
        <w:br/>
        <w:t>hospedador» (FAO/WHO, 2001). Aunque las propiedades beneficiosas para la salud y</w:t>
        <w:br/>
        <w:t>para la conservación de alimentos de ciertos productos fermentados se conocen desde</w:t>
        <w:br/>
        <w:br/>
        <w:t>la Antigüedad, no fue hasta siglos más tarde cuando se le empezó a prestar especial</w:t>
        <w:br/>
        <w:t>atención. El concepto probiótico empezó a ganar popularidad en la comunidad científica</w:t>
        <w:br/>
        <w:br/>
        <w:t>cuando, a raíz de las observaciones de Élie Metchnikoff, científico galardonado con el</w:t>
        <w:br/>
        <w:t>premio Nobel en 1908, se pudo comprobar cómo la consumición de forma regular de</w:t>
        <w:br/>
        <w:br/>
        <w:t>BAL en productos lácteos fermentados estaba asociado con una mejoría de la salud y un</w:t>
        <w:br/>
        <w:t>aumento de la longevidad. Años más tarde, primero Werner Kollath en 1953 y después</w:t>
        <w:br/>
        <w:br/>
        <w:t>Lilly y Stillwell en 1965, propusieron el término «probiótico» en diferentes contextos,</w:t>
        <w:br/>
        <w:t>siempre bajo la designación de sustancias o productos de fermentación con propiedades</w:t>
        <w:br/>
        <w:br/>
        <w:t>beneficiosas. En 1989, Füller modificó ligeramente esta definición, especificando que</w:t>
        <w:br/>
        <w:br/>
        <w:t>dichos productos eran microorganismos  vivos, más concretamente  bacterias  y</w:t>
        <w:br/>
        <w:t>levaduras. En 1998 el International Life Science Institute incluyó los términos «salud y</w:t>
        <w:br/>
        <w:br/>
        <w:t>bienestar», sentando las bases para el concepto de lo que actualmente conocemos</w:t>
        <w:br/>
        <w:t>como probióticos (Gasbarrini et al., 2016; López et al., 2007).</w:t>
        <w:br/>
        <w:br/>
        <w:br/>
        <w:br/>
        <w:t>Seguridad de los microorganismos destinados a alimentos y piensos</w:t>
        <w:br/>
        <w:br/>
        <w:t>En la actualidad, existe una normativa relativamente amplia sobre la seguridad de las</w:t>
        <w:br/>
        <w:br/>
        <w:t>cepas de microorganismos que estén destinados a emplearse como aditivos en</w:t>
        <w:br/>
        <w:t>alimentos y piensos. La Autoridad Europea de Seguridad Alimentaria se estableció en</w:t>
        <w:br/>
        <w:br/>
        <w:t>2002 bajo la cobertura de la Ley General de Alimentación de la Unión Europea</w:t>
        <w:br/>
        <w:br/>
        <w:t>(Regulation 178/2002) con el objetivo de proporcionar un asesoramiento científico</w:t>
        <w:br/>
        <w:br/>
        <w:t xml:space="preserve">                                           MARÍA BRAVO SANTILLANA  135</w:t>
        <w:br/>
      </w:r>
    </w:p>
    <w:p>
      <w:r>
        <w:t>Página 136:</w:t>
        <w:br/>
        <w:t>LAB | Capítulo II</w:t>
        <w:br/>
        <w:br/>
        <w:t>independiente sobre los riesgos relacionados con los alimentos. Bajo el amparo de la</w:t>
        <w:br/>
        <w:br/>
        <w:t>EFSA, La Comisión Técnica de Aditivos y Productos o Sustancias utilizados en los Piensos</w:t>
        <w:br/>
        <w:br/>
        <w:t>para Animales (FEEDAP) proporciona asesoramiento científico sobre la seguridad o la</w:t>
        <w:br/>
        <w:t>eficacia de los aditivos y los productos o sustancias que se emplean en la alimentación</w:t>
        <w:br/>
        <w:br/>
        <w:t>animal. La Comisión Técnica evalúa la seguridad y/o la eficacia que estos suponen para</w:t>
        <w:br/>
        <w:t>las especies objetivo, el usuario, los consumidores de los productos de origen animal y</w:t>
        <w:br/>
        <w:br/>
        <w:t>el medio ambiente. Asimismo, analiza la eficacia de los productos/sustancias biológicas</w:t>
        <w:br/>
        <w:t>y  químicos  que  se  utilizan  deliberadamente  en  los  piensos  para  animales</w:t>
        <w:br/>
        <w:br/>
        <w:t>(https://www.efsa.europa.eu/es/panels/feedap).</w:t>
        <w:br/>
        <w:br/>
        <w:br/>
        <w:t>En el año 2007 se introdujo el sistema de evaluación basado en el concepto QPS</w:t>
        <w:br/>
        <w:t>«Presunción Cualificada de Seguridad» para acelerar el proceso de evaluación de</w:t>
        <w:br/>
        <w:br/>
        <w:t>microorganismos que se sabe que carecen de riesgo para los consumidores, siempre</w:t>
        <w:br/>
        <w:br/>
        <w:t>como aditivos para alimentos y piensos y no con fines terapéuticos (European Food</w:t>
        <w:br/>
        <w:t>Safety Authority (EFSA), 2007). Ese mismo año se publica una lista de microorganismos</w:t>
        <w:br/>
        <w:br/>
        <w:t>propuestos para la obtención de QPS que se actualizaba anualmente hasta 2014, cuando</w:t>
        <w:br/>
        <w:t>pasó a actualizarse de forma periódica cada tres años. Actualmente los criterios de un</w:t>
        <w:br/>
        <w:br/>
        <w:t>microorganismo para ser incluido en esa lista son los siguientes: deben tener una</w:t>
        <w:br/>
        <w:t>identidad taxonómica bien definida, se debe disponer de un conocimiento científico</w:t>
        <w:br/>
        <w:br/>
        <w:t>suficiente para garantizar su seguridad, debe demostrarse la ausencia de propiedades</w:t>
        <w:br/>
        <w:t>patógenas y debe describirse claramente su uso previsto.</w:t>
        <w:br/>
        <w:br/>
        <w:br/>
        <w:t>En el año 2008 la Comisión Técnica de Factores de Peligro Biológicos (BIOHAZ) publicó</w:t>
        <w:br/>
        <w:t>los criterios actualizados de resistencia a los antimicrobianos, por el que todas las cepas</w:t>
        <w:br/>
        <w:br/>
        <w:t>bacterianas que pretendan utilizarse en la producción de alimentos o piensos deben</w:t>
        <w:br/>
        <w:t>someterse a pruebas para detectar la resistencia a antibióticos utilizados en medicina</w:t>
        <w:br/>
        <w:br/>
        <w:t>humana y veterinaria. En el caso de que se detectaran resistencias, el reglamento exige</w:t>
        <w:br/>
        <w:t>que deba establecerse su base genética y la probabilidad de que se transfiera a otros</w:t>
        <w:br/>
        <w:br/>
        <w:t>microorganismos, por lo que no se contemplan como aditivos para piensos las cepas de</w:t>
        <w:br/>
        <w:t>microorganismos que hayan adquirido resistencia a uno o varios antimicrobianos, salvo</w:t>
        <w:br/>
        <w:br/>
        <w:t>que pueda demostrarse que dicha resistencia es el resultado de una o varias mutaciones</w:t>
        <w:br/>
        <w:br/>
        <w:t>cromosómicas y que es intransferible (REGLAMENTO (CE) No 429/2008 DE LA COMISIÓN</w:t>
        <w:br/>
        <w:t xml:space="preserve"> 136  MARÍA BRAVO SANTILLANA</w:t>
        <w:br/>
      </w:r>
    </w:p>
    <w:p>
      <w:r>
        <w:t>Página 137:</w:t>
        <w:br/>
        <w:t xml:space="preserve">                                        LAB | Capítulo II</w:t>
        <w:br/>
        <w:br/>
        <w:t>de 25 de Abril de 2008 Obre Normas de Desarrollo Para La Aplicación Del Reglamento</w:t>
        <w:br/>
        <w:br/>
        <w:t>(CE) No 1831/2003 Del Parlamento Europeo y Del Consejo Por Lo Que Se Refiere a La</w:t>
        <w:br/>
        <w:br/>
        <w:t>Preparación y Presentación de Solicitudes y a La Evaluación y Autorización de Aditivos</w:t>
        <w:br/>
        <w:t>Para Piensos, 2008). En este sentido, en el año 2012, la FEEDAP publicó un documento</w:t>
        <w:br/>
        <w:br/>
        <w:t>de orientación sobre la evaluación de la susceptibilidad de los aislados bacterianos a los</w:t>
        <w:br/>
        <w:t>antimicrobianos de importancia en medicina humana y veterinaria, que incluye los</w:t>
        <w:br/>
        <w:br/>
        <w:t>criterios para categorizar las cepas en sensibles o resistentes y propone la detección de</w:t>
        <w:br/>
        <w:t>la base genética de  la resistencia cuando se superen los valores de referencia</w:t>
        <w:br/>
        <w:br/>
        <w:t>establecidos (EFSA Panel on Additives and Products or Substances used in Animal Feed</w:t>
        <w:br/>
        <w:t>(FEEDAP), 2012).</w:t>
        <w:br/>
        <w:br/>
        <w:br/>
        <w:br/>
        <w:t>Efecto antimicrobiano de las bacterias ácido-lácticas</w:t>
        <w:br/>
        <w:br/>
        <w:t>Una de las propiedades más explotadas de las BAL para su uso como probióticos es</w:t>
        <w:br/>
        <w:br/>
        <w:t>debido a su capacidad para producir un efecto antimicrobiano frente a bacterias,</w:t>
        <w:br/>
        <w:br/>
        <w:t>principalmente, aunque también se han descrito frente a hongos (Matevosyan et al.,</w:t>
        <w:br/>
        <w:t>2019). El efecto antimicrobiano primario de las BAL se debe a la competencia por los</w:t>
        <w:br/>
        <w:br/>
        <w:t>nutrientes del sustrato o del nicho ecológico donde estén establecidas, como un</w:t>
        <w:br/>
        <w:t>mecanismo evolutivo de selección natural, para lo cual han desarrollado mecanismos de</w:t>
        <w:br/>
        <w:br/>
        <w:t>competencia que incluyen la producción de sustancias antibacterianas. Muchas de estas</w:t>
        <w:br/>
        <w:t>sustancias se producen fruto del metabolismo fermentativo de estas bacterias y, por</w:t>
        <w:br/>
        <w:br/>
        <w:t>tanto, la capacidad antimicrobiana de una especie o cepa en cuestión, depende de que</w:t>
        <w:br/>
        <w:t>el tipo de fermentación se produzca a través de alguna de las dos vías metabólicas</w:t>
        <w:br/>
        <w:br/>
        <w:t>glucolíticas principales: la ruta Embden-Meyerhof (EMP) y la ruta de la fosfocetolasa</w:t>
        <w:br/>
        <w:br/>
        <w:t>(PKP) (Papagianni, 2012). Las BAL homofermentativas convierten las hexosas en ácido</w:t>
        <w:br/>
        <w:t>láctico mediante la ruta EMP, mientras que las heterofermentativas además de generar</w:t>
        <w:br/>
        <w:br/>
        <w:t>ácido láctico también producen cantidades significantes de ácido acético, etanol y</w:t>
        <w:br/>
        <w:t>dióxido de carbono (CO2) mediante la ruta PKP. La formación de ácidos orgánicos (ácido</w:t>
        <w:br/>
        <w:br/>
        <w:t>láctico y ácido acético, principalmente) tiene como consecuencia un descenso del pH</w:t>
        <w:br/>
        <w:t>que dificulta el desarrollo de un gran número de microorganismos y, por el contrario,</w:t>
        <w:br/>
        <w:br/>
        <w:t>favorece el crecimiento de las BAL, que son tolerantes a pH ácidos. Todas estas</w:t>
        <w:br/>
        <w:br/>
        <w:br/>
        <w:t xml:space="preserve">                                           MARÍA BRAVO SANTILLANA  137</w:t>
        <w:br/>
      </w:r>
    </w:p>
    <w:p>
      <w:r>
        <w:t>Página 138:</w:t>
        <w:br/>
        <w:t>LAB | Capítulo II</w:t>
        <w:br/>
        <w:br/>
        <w:t>moléculas, así como otros componentes de bajo peso molecular como los metabolitos</w:t>
        <w:br/>
        <w:br/>
        <w:t>del oxígeno, por ejemplo, peróxido de hidrógeno, radicales libres y anión superóxido</w:t>
        <w:br/>
        <w:br/>
        <w:t>(Vásquez et al., 2009), pueden ejercer una actividad antimicrobiana en mayor o menor</w:t>
        <w:br/>
        <w:t>medidas.</w:t>
        <w:br/>
        <w:br/>
        <w:br/>
        <w:t>Por otro lado, las bacteriocinas son unas moléculas de naturaleza proteica, sintetizadas</w:t>
        <w:br/>
        <w:br/>
        <w:t>en el ribosoma y que tienen un espectro de inhibición que en ocasiones puede ser muy</w:t>
        <w:br/>
        <w:t>amplio (Alvarez-Sieiro et al., 2016; Cotter et al., 2005; Meade et al., 2020).</w:t>
        <w:br/>
        <w:br/>
        <w:br/>
        <w:br/>
        <w:t>Clasificación de las bacteriocinas y sus mecanismos de acción</w:t>
        <w:br/>
        <w:br/>
        <w:t>En la actualidad no se dispone de un consenso en la comunidad científica entre las</w:t>
        <w:br/>
        <w:br/>
        <w:t>diferentes clasificaciones de las bacteriocinas producidas por las BAL, la que se describe</w:t>
        <w:br/>
        <w:t>a continuación es la propuesta por Álvarez-Siero et al. (2016), puesto que es la que más</w:t>
        <w:br/>
        <w:br/>
        <w:t>se ajusta a este contexto. Esta  clasificación engloba a  las diferentes clases de</w:t>
        <w:br/>
        <w:br/>
        <w:t>bacteriocinas en función de su mecanismo de biosíntesis y su actividad biológica, se</w:t>
        <w:br/>
        <w:t>muestra una ilustración en la Figura 2.1 (Alvarez-Sieiro et al., 2016).</w:t>
        <w:br/>
        <w:br/>
        <w:br/>
        <w:t>La clase I incluye péptidos de pequeño tamaño molecular (&lt; 10 KDa), termoestables y</w:t>
        <w:br/>
        <w:br/>
        <w:t>con modificaciones postraduccionales que generan aminoácidos infrecuentes y se</w:t>
        <w:br/>
        <w:t>subdivide en varias clases. La clase Ia se denominan de forma general «lantipéptidoss»</w:t>
        <w:br/>
        <w:br/>
        <w:t>o «lantibióticos» cuando tienen actividad antimicrobiana, porque su aminoácido es</w:t>
        <w:br/>
        <w:t>lantionina o (metil)lantionina y la bacteriocina más estudiada de este grupo es la nisina.</w:t>
        <w:br/>
        <w:br/>
        <w:t>El mecanismo de acción antimicrobiano de los lantibióticos es doble, puesto que se debe</w:t>
        <w:br/>
        <w:br/>
        <w:t>a su unión al lípido II de la membrana bacteriana, interfiriendo, por tanto, en la síntesis</w:t>
        <w:br/>
        <w:t>de la pared celular y formando un poro que ocasiona una despolarización de la</w:t>
        <w:br/>
        <w:br/>
        <w:t>membrana. La clase Ib y Ic son también péptidos formadores de poro, con diferentes</w:t>
        <w:br/>
        <w:t>mecanismos de acción, y se corresponden, respectivamente, con péptidos cíclicos del</w:t>
        <w:br/>
        <w:br/>
        <w:t>tipo «cabeza-cola» y con los denominados «sactipéptidos» o «sactibióticos» cuando</w:t>
        <w:br/>
        <w:t>tienen actividad antimicrobiana. La clase Id se corresponde con péptidos lineales que</w:t>
        <w:br/>
        <w:br/>
        <w:t>contienen anillos heterocíclicos de tiazoles y oxazoles o sus formas reducidas a tiazolina</w:t>
        <w:br/>
        <w:br/>
        <w:br/>
        <w:t xml:space="preserve"> 138  MARÍA BRAVO SANTILLANA</w:t>
        <w:br/>
      </w:r>
    </w:p>
    <w:p>
      <w:r>
        <w:t>Página 139:</w:t>
        <w:br/>
        <w:t xml:space="preserve">                                        LAB | Capítulo II</w:t>
        <w:br/>
        <w:br/>
        <w:t>y oxazolina; la clase Ie son las glicocinas, que contiene residuos glicosilados; y la clase If</w:t>
        <w:br/>
        <w:br/>
        <w:t>son los denominados «lasopéptidos», que son microcinas que han sido descritas en</w:t>
        <w:br/>
        <w:br/>
        <w:t>enterobacterias. Aunque se han descrito péptidos antimicrobianos de las clases Id, Ie y</w:t>
        <w:br/>
        <w:t>If, su mecanismo de acción necesita ser estudiado con mayor profundidad.</w:t>
        <w:br/>
        <w:br/>
        <w:br/>
        <w:t>La clase  II incluye péptidos de pequeño tamaño molecular (&lt; 10 KDa), también</w:t>
        <w:br/>
        <w:br/>
        <w:t>termoestables, pero sin modificaciones postraduccionales. La clase IIa incluye péptidos</w:t>
        <w:br/>
        <w:t>tipo pediocina que tienen una secuencia consenso en la región N-terminal TGNGVXC</w:t>
        <w:br/>
        <w:br/>
        <w:t>fundamental para el reconocimiento de la membrana y la formación del poro. Estas</w:t>
        <w:br/>
        <w:t>bacteriocinas tienen un amplio espectro de inhibición, especialmente frente a Listeria,</w:t>
        <w:br/>
        <w:br/>
        <w:t>y puede subdividirse a su vez en otros 8 subgrupos. La clase IIb se corresponde con</w:t>
        <w:br/>
        <w:t>bacteriocinas de dos péptidos que forman un complejo para la formación de los poros,</w:t>
        <w:br/>
        <w:br/>
        <w:t>como las plantaricinas EF y JK. La clase IIc son péptidos pequeños que son transportados</w:t>
        <w:br/>
        <w:br/>
        <w:t>por péptidos líderes y, por último, la clase IId son bacteriocinas de péptido único</w:t>
        <w:br/>
        <w:t>diferentes del tipo pediocina. Este es el subgrupo más heterogéneo de esta clase, puesto</w:t>
        <w:br/>
        <w:br/>
        <w:t>que tiene diferentes estructuras y mecanismos de acción, que puede incluir tanto la</w:t>
        <w:br/>
        <w:t>formación de poros como la inhibición en la síntesis de la pared celular mediante unión</w:t>
        <w:br/>
        <w:br/>
        <w:t>al lípido II, como en el caso de la nisina.</w:t>
        <w:br/>
        <w:br/>
        <w:br/>
        <w:t>Por último, las bacteriocinas de clase III se corresponden con péptidos no modificados,</w:t>
        <w:br/>
        <w:t>termolábiles y mayores de 10 kDa, cuya estructura está compuesta por diferentes</w:t>
        <w:br/>
        <w:br/>
        <w:t>dominios.  Su  mecanismo  de  acción  puede  ser  bacteriolítico,  denominadas</w:t>
        <w:br/>
        <w:br/>
        <w:t>«bacteriolisinas», que causan la destrucción de la célula bacteriana mediante la escisión</w:t>
        <w:br/>
        <w:t>de los enlaces del peptidoglicano de la pared; o no lítico, que puede incluir alteración en</w:t>
        <w:br/>
        <w:br/>
        <w:t>el metabolismo de los azúcares o inhibición en la biosíntesis del ADN o las proteínas de</w:t>
        <w:br/>
        <w:t>la bacteria diana.</w:t>
        <w:br/>
        <w:br/>
        <w:br/>
        <w:br/>
        <w:br/>
        <w:br/>
        <w:t xml:space="preserve">                                           MARÍA BRAVO SANTILLANA  139</w:t>
        <w:br/>
      </w:r>
    </w:p>
    <w:p>
      <w:r>
        <w:t>Página 140:</w:t>
        <w:br/>
        <w:t>LAB | Capítulo II</w:t>
        <w:br/>
        <w:br/>
        <w:br/>
        <w:br/>
        <w:br/>
        <w:br/>
        <w:t xml:space="preserve">      Figura 2.1. Mecanismos de acción de las bacteriocinas de clase I, II, III. Fuente: (Tulini, 2014)</w:t>
        <w:br/>
        <w:br/>
        <w:br/>
        <w:br/>
        <w:t>Propiedades inmunomoduladoras de las bacterias ácido-lácticas</w:t>
        <w:br/>
        <w:br/>
        <w:t>Otra de las propiedades de las BAL que más interés está causando durante los últimos</w:t>
        <w:br/>
        <w:t>años es su capacidad para interaccionar con el sistema inmunitario de los organismos</w:t>
        <w:br/>
        <w:br/>
        <w:t>superiores en los que habitan, como parte de la microbiota comensal. Está totalmente</w:t>
        <w:br/>
        <w:t>aceptado por la comunidad científica en general que la microbiota comensal juega un</w:t>
        <w:br/>
        <w:br/>
        <w:t>papel esencial en la defensa natural del hospedador frente a agentes patógenos,</w:t>
        <w:br/>
        <w:t>particularmente los agentes infecciosos (Belkaid y Hand, 2014; Hevia et al., 2015). Las</w:t>
        <w:br/>
        <w:br/>
        <w:t>BAL poseen una amplia variedad de moléculas que se conocen con el nombre de</w:t>
        <w:br/>
        <w:br/>
        <w:t xml:space="preserve"> 140  MARÍA BRAVO SANTILLANA</w:t>
        <w:br/>
      </w:r>
    </w:p>
    <w:p>
      <w:r>
        <w:t>Página 141:</w:t>
        <w:br/>
        <w:t xml:space="preserve">                                        LAB | Capítulo II</w:t>
        <w:br/>
        <w:br/>
        <w:t>«Patrones Moleculares Asociados a Microorganismos» (MAMP, Microbe-Associated</w:t>
        <w:br/>
        <w:br/>
        <w:t>Molecular Patterns), a través de la cual el hospedador distingue la microbiota comensal</w:t>
        <w:br/>
        <w:br/>
        <w:t>de los microorganismos patógenos. El reconocimiento de estos ligandos se lleva a cabo</w:t>
        <w:br/>
        <w:t>mediante Receptores de Reconocimiento de Patrones (PRR, Pattern Recognition</w:t>
        <w:br/>
        <w:br/>
        <w:t>Receptors), fundamentalmente receptores tipo Toll en la superficie celular (TLR, Toll-like</w:t>
        <w:br/>
        <w:t>receptors) y receptores lecitina de tipo C (CLR) o de tipo NOD, en el citoplasma (NLR,</w:t>
        <w:br/>
        <w:br/>
        <w:t>NOD-like receptors) (Dolasia et al., 2018; Hevia et al., 2015).</w:t>
        <w:br/>
        <w:br/>
        <w:br/>
        <w:t>Los TLR  se  localizan en  las membranas  celulares  y  se  asocian a  respuestas</w:t>
        <w:br/>
        <w:t>proinflamatorias. Son los más estudiados y, hasta la fecha, se han podido identificar 10</w:t>
        <w:br/>
        <w:br/>
        <w:t>tipos de TLR, que son activados por diferentes ligandos (Takeuchi y Akira, 2010). Todos</w:t>
        <w:br/>
        <w:t>los TLRs contienen en su dominio ectomembranal repeticiones ricas en leucina y</w:t>
        <w:br/>
        <w:br/>
        <w:t>presentan un receptor Toll/IL1 intracelular (TIR) para la transducción de señales (Yu y</w:t>
        <w:br/>
        <w:br/>
        <w:t>Gao, 2015). Estos receptores se localizan en varios tipos celulares, principalmente en</w:t>
        <w:br/>
        <w:t>células del sistema inmunitario como células dendríticas o macrófagos, pero los</w:t>
        <w:br/>
        <w:br/>
        <w:t>podemos encontrar en otros tipos de células, como en las células epiteliales, y son</w:t>
        <w:br/>
        <w:t>esenciales tanto para la respuesta inmunitaria innata como adaptativa (Hayden et al.,</w:t>
        <w:br/>
        <w:br/>
        <w:t>2006; Pasparakis, 2012). La cascada de señalización que se desencadena cuando se</w:t>
        <w:br/>
        <w:t>produce la unión del ligando con el TLR provoca la dimerización del receptor y el</w:t>
        <w:br/>
        <w:br/>
        <w:t>reclutamiento de moléculas adaptadoras tales como las proteínas MyD88 y TRIF que</w:t>
        <w:br/>
        <w:t>llevan a la activación de rutas de señalización importantes para la respuesta inmunitaria</w:t>
        <w:br/>
        <w:br/>
        <w:t>protectora, como NF-κB o IFN-I, que es inductor de la producción de interferón (IFN) (Yu</w:t>
        <w:br/>
        <w:br/>
        <w:t>y Gao, 2015).</w:t>
        <w:br/>
        <w:br/>
        <w:br/>
        <w:t>La ruta de señalización de NF-κB engloba a factores de transcripción inducibles que</w:t>
        <w:br/>
        <w:t>regulan una extensa cantidad de genes relacionados con distintas funciones y procesos</w:t>
        <w:br/>
        <w:br/>
        <w:t>relacionados con el sistema inmunitario. La activación de NF-κB asociada a TLR se</w:t>
        <w:br/>
        <w:t>produce por dos tipos de señalizaciones, la canónica (o dependiente de MyD88) y la</w:t>
        <w:br/>
        <w:br/>
        <w:t>alternativa (o independiente de MyD88). La proteína MyD88 activa una cascada de</w:t>
        <w:br/>
        <w:t>señalización  que  induce  la  producción  de  citoquinas  proinflamatorias como</w:t>
        <w:br/>
        <w:br/>
        <w:t>interleuquina (IL) 1, IL-8, IL-2 o factor de necrosis tumoral (TNF-alfa) (Moreno y Sanchez-</w:t>
        <w:br/>
        <w:br/>
        <w:t>Ibarrola, 2003). Los TLR3 y TLR4 utilizan una ruta de señalización independiente a MyD88</w:t>
        <w:br/>
        <w:br/>
        <w:t xml:space="preserve">                                           MARÍA BRAVO SANTILLANA  141</w:t>
        <w:br/>
      </w:r>
    </w:p>
    <w:p>
      <w:r>
        <w:t>Página 142:</w:t>
        <w:br/>
        <w:t>LAB | Capítulo II</w:t>
        <w:br/>
        <w:br/>
        <w:t>que se lleva a cabo a través de la proteína TRIF, crucial para la expresión de los genes de</w:t>
        <w:br/>
        <w:br/>
        <w:t>la ruta IFN (Nagai et al., 2006). La vía de activación de IFN mediada por TLR endosomales</w:t>
        <w:br/>
        <w:br/>
        <w:t>promueve el desarrollo de una respuesta inmunitaria eficaz frente a patógenos virales,</w:t>
        <w:br/>
        <w:t>puesto que se sensibilizan todas las células del organismo a la apoptosis, eliminando de</w:t>
        <w:br/>
        <w:br/>
        <w:t>esta forma el nicho del patógeno intracelular (Kawashima et al., 2013; Koyama et al.,</w:t>
        <w:br/>
        <w:t>2008).</w:t>
        <w:br/>
        <w:br/>
        <w:br/>
        <w:t>Los MAMP incluyen una amplia variedad de metabolitos microbianos y componentes</w:t>
        <w:br/>
        <w:br/>
        <w:t>estructurales como exopolisacáridos (EPS), peptidoglicano (en Gram+) o lipopolisacárido</w:t>
        <w:br/>
        <w:t>(en Gram-), lipoproteínas de membrana, ácidos lipoteicoicos y teicoicos (LTA y WTA</w:t>
        <w:br/>
        <w:br/>
        <w:t>respectivamente), pili y fimbrias, entre otros (Hevia et al., 2015; Stedman et al., 2020);</w:t>
        <w:br/>
        <w:t>y también se han descrito metabolitos microbianos secretados al medio como los ácidos</w:t>
        <w:br/>
        <w:br/>
        <w:t>grasos de cadena corta (AGCC) acetato, propionato o butirato y las bacteriocinas,</w:t>
        <w:br/>
        <w:br/>
        <w:t>mencionadas anteriormente (Hegarty et al., 2016; Hevia et al., 2015; Silva et al., 2020;</w:t>
        <w:br/>
        <w:t>Stedman et al., 2020).</w:t>
        <w:br/>
        <w:br/>
        <w:br/>
        <w:t>Estas moléculas tienen la capacidad, por tanto, de actuar como mediadores inmunitarios</w:t>
        <w:br/>
        <w:br/>
        <w:t>(Figura  2.2),  bien  sean  proinflamatorios,  cuando  desencadenen  la  respuesta</w:t>
        <w:br/>
        <w:t>inflamatoria; o antiinflamatorios, cuando medien para el desarrollo de una respuesta</w:t>
        <w:br/>
        <w:br/>
        <w:t>reguladora o tolerogénica, pero son necesarios más estudios que ahonden en el tipo de</w:t>
        <w:br/>
        <w:t>mecanismos que se desencadenan (Suez et al., 2019).</w:t>
        <w:br/>
        <w:br/>
        <w:br/>
        <w:br/>
        <w:br/>
        <w:br/>
        <w:t xml:space="preserve"> 142  MARÍA BRAVO SANTILLANA</w:t>
        <w:br/>
      </w:r>
    </w:p>
    <w:p>
      <w:r>
        <w:t>Página 143:</w:t>
        <w:br/>
        <w:t xml:space="preserve">                                          LAB | Capítulo II</w:t>
        <w:br/>
        <w:br/>
        <w:br/>
        <w:br/>
        <w:br/>
        <w:br/>
        <w:t xml:space="preserve">       Figura 2.2. Interacción de las BAL con los macrófagos para la regulación de las rutas inmunitarias de</w:t>
        <w:br/>
        <w:t xml:space="preserve">                      señalización NF-kB y IFN-I vía TLR. Adaptado de: (J. B. Li et al., 2013).</w:t>
        <w:br/>
        <w:br/>
        <w:br/>
        <w:t xml:space="preserve">    El objetivo general de este capítulo es el de estudiar las propiedades beneficiosas de las</w:t>
        <w:br/>
        <w:br/>
        <w:t xml:space="preserve">    bacterias ácido-lácticas aisladas de la microbiota del jabalí.</w:t>
        <w:br/>
        <w:br/>
        <w:br/>
        <w:t xml:space="preserve">   Para ello, se propusieron como objetivos específicos los siguientes:</w:t>
        <w:br/>
        <w:br/>
        <w:br/>
        <w:t>-   Estudio de la seguridad de los aislados para su posterior utilización para el control de</w:t>
        <w:br/>
        <w:br/>
        <w:t xml:space="preserve">   procesos  infecciosos  mediante:  evaluación de  sus  resistencias  antimicrobianas</w:t>
        <w:br/>
        <w:t xml:space="preserve">    fenotípicas frente a antibióticos de uso común, y genotípicas mediante la búsqueda de</w:t>
        <w:br/>
        <w:br/>
        <w:t xml:space="preserve">   genes de resistencia; búsqueda de genes de virulencia y el análisis bioinformático de la</w:t>
        <w:br/>
        <w:t xml:space="preserve">   proximidad filogenética a otras bacterias ácido-lácticas de diferentes orígenes.</w:t>
        <w:br/>
        <w:br/>
        <w:br/>
        <w:t>-   Caracterización fenotípica de la actividad antimicrobiana frente a patógenos aislados de</w:t>
        <w:br/>
        <w:t xml:space="preserve">   casos clínicos de jabalíes: Escherichia coli como marcador de procesos digestivos,</w:t>
        <w:br/>
        <w:br/>
        <w:br/>
        <w:t xml:space="preserve">                                              MARÍA BRAVO SANTILLANA  143</w:t>
        <w:br/>
      </w:r>
    </w:p>
    <w:p>
      <w:r>
        <w:t>Página 144:</w:t>
        <w:br/>
        <w:t xml:space="preserve">  LAB | Capítulo II</w:t>
        <w:br/>
        <w:br/>
        <w:t xml:space="preserve">    Pasteurella  multocida  como  marcador  de  procesos  respiratorios  y   Listeria</w:t>
        <w:br/>
        <w:br/>
        <w:t xml:space="preserve">   monocytogenes como marcador de procesos sistémicos; y su caracterización genotípica:</w:t>
        <w:br/>
        <w:br/>
        <w:t xml:space="preserve">   genes que  codifican  para  metabolitos  antimicrobianos,  incluidos  clústeres de</w:t>
        <w:br/>
        <w:t xml:space="preserve">    bacteriocinas.</w:t>
        <w:br/>
        <w:br/>
        <w:br/>
        <w:t>-   Determinación de las propiedades de los aislados para modular la respuesta inmunitaria</w:t>
        <w:br/>
        <w:br/>
        <w:t xml:space="preserve">   mediante estudio de su fenotipo: interacción con los fagocitos del hospedador y</w:t>
        <w:br/>
        <w:t xml:space="preserve">   capacidad para activar las rutas NF-kB y IFN-I en macrófagos in vitro; y la evaluación</w:t>
        <w:br/>
        <w:br/>
        <w:t xml:space="preserve">    genotípica de sus marcadores inmunomoduladores.</w:t>
        <w:br/>
        <w:br/>
        <w:br/>
        <w:br/>
        <w:br/>
        <w:br/>
        <w:t xml:space="preserve">    144  MARÍA BRAVO SANTILLANA</w:t>
        <w:br/>
      </w:r>
    </w:p>
    <w:p>
      <w:r>
        <w:t>Página 145:</w:t>
        <w:br/>
        <w:t xml:space="preserve">                                          LAB | Capítulo II</w:t>
        <w:br/>
        <w:br/>
        <w:t xml:space="preserve">  MÉTODO</w:t>
        <w:br/>
        <w:br/>
        <w:br/>
        <w:br/>
        <w:t>1.  Estudios de seguridad de los aislados</w:t>
        <w:br/>
        <w:br/>
        <w:t xml:space="preserve">   Para evaluar la seguridad de las cepas aisladas y seleccionadas del capítulo anterior, se</w:t>
        <w:br/>
        <w:br/>
        <w:t xml:space="preserve">    analizaron  diferentes  parámetros. En  primer  lugar,  se  realizaron  pruebas de</w:t>
        <w:br/>
        <w:t xml:space="preserve">    susceptibilidad antimicrobiana a determinados antibióticos y se realizó un estudio</w:t>
        <w:br/>
        <w:br/>
        <w:t xml:space="preserve">   genotípico de  los  aislados para detectar genes de  resistencia antimicrobiana y</w:t>
        <w:br/>
        <w:br/>
        <w:t xml:space="preserve">   marcadores de virulencia. Además, se realizó un estudio filogenético para comparar las</w:t>
        <w:br/>
        <w:t xml:space="preserve">   secuencias de nuestros aislados con otras secuencias conocidas de bacterias ácido-</w:t>
        <w:br/>
        <w:br/>
        <w:t xml:space="preserve">    lácticas de diferentes orígenes, tanto potencialmente patógenas como beneficiosas.</w:t>
        <w:br/>
        <w:br/>
        <w:br/>
        <w:t xml:space="preserve">   Pruebas de susceptibilidad antimicrobiana fenotípica</w:t>
        <w:br/>
        <w:br/>
        <w:br/>
        <w:t xml:space="preserve">   La susceptibilidad de los aislados de bacterias ácido-lácticas seleccionados se cuantificó</w:t>
        <w:br/>
        <w:t xml:space="preserve">   mediante el ensayo de microdilución en caldo. Los antibióticos seleccionados fueron:</w:t>
        <w:br/>
        <w:br/>
        <w:t xml:space="preserve">    ampicilina,  vancomicina,  gentamicina,  kanamicina,  estreptomicina,  eritromicina,</w:t>
        <w:br/>
        <w:t xml:space="preserve">    tetraciclina y cloranfenicol, siguiendo las recomendaciones del Panel sobre Aditivos y</w:t>
        <w:br/>
        <w:br/>
        <w:t xml:space="preserve">   Productos o Sustancias (FEEDAP) utilizados en Alimentación animal de la EFSA (EFSA</w:t>
        <w:br/>
        <w:br/>
        <w:t xml:space="preserve">   Panel on Additives and Products or Substances used in Animal Feed (FEEDAP), 2012). Se</w:t>
        <w:br/>
        <w:t xml:space="preserve">    realizaron diluciones seriadas en caldo MH de cada uno de los antibióticos frente a una</w:t>
        <w:br/>
        <w:t xml:space="preserve">   concentración bacteriana de 2 x 105 ufc/mL en placas de 96 pocillos Nunc-MicroWell ™</w:t>
        <w:br/>
        <w:t xml:space="preserve">   (Thermo Scientific), que fueron incubadas durante 18 h a 37 ºC. El crecimiento de las</w:t>
        <w:br/>
        <w:br/>
        <w:t xml:space="preserve">   cepas se midió mediante espectrofotometría a una longitud de onda de 620 nm con un</w:t>
        <w:br/>
        <w:t xml:space="preserve">    lector de microplacas (Multimode Detector DTX 880, Beckman Coulter) y se calculó la</w:t>
        <w:br/>
        <w:br/>
        <w:t xml:space="preserve">   concentración inhibitoria mínima (CMI), que se define como la concentración más baja</w:t>
        <w:br/>
        <w:t xml:space="preserve">    del antibiótico que inhibe el crecimiento de la bacteria. Las cepas fueron categorizadas</w:t>
        <w:br/>
        <w:br/>
        <w:t xml:space="preserve">   en sensibles o resistentes para cada antibiótico según los valores de referencia definidos</w:t>
        <w:br/>
        <w:br/>
        <w:t xml:space="preserve">   por el FEEDAP (EFSA Panel on Additives and Products or Substances used in Animal Feed</w:t>
        <w:br/>
        <w:t xml:space="preserve">   (FEEDAP), 2012).</w:t>
        <w:br/>
        <w:br/>
        <w:br/>
        <w:br/>
        <w:t xml:space="preserve">                                              MARÍA BRAVO SANTILLANA  145</w:t>
        <w:br/>
      </w:r>
    </w:p>
    <w:p>
      <w:r>
        <w:t>Página 146:</w:t>
        <w:br/>
        <w:t>LAB | Capítulo II</w:t>
        <w:br/>
        <w:br/>
        <w:br/>
        <w:br/>
        <w:t>Detección genotípica de marcadores de resistencia antimicrobiana y factores de</w:t>
        <w:br/>
        <w:br/>
        <w:t>virulencia</w:t>
        <w:br/>
        <w:br/>
        <w:br/>
        <w:t>A partir de la secuencia de los genomas obtenidas y descritas en el capítulo anterior, se</w:t>
        <w:br/>
        <w:t>realizó      una       exploración      con       Abricate       versión       0.9</w:t>
        <w:br/>
        <w:br/>
        <w:t>(https://github.com/tseemann/abricate) para  detectar  la  presencia de genes de</w:t>
        <w:br/>
        <w:t>resistencia antimicrobiana adquiridos y factores de virulencia putativos. Además, se</w:t>
        <w:br/>
        <w:br/>
        <w:t>identificaron genes de resistencia adicionales utilizando la base de datos de genes de</w:t>
        <w:br/>
        <w:t>referencia de NCBI (https://www.ncbi.nlm.nih.gov/bioproject/PRJNA313047) y las dos</w:t>
        <w:br/>
        <w:br/>
        <w:t>bases de datos Resfinder (Zankari et al., 2012) y PlasmidFinder (Carattoli et al., 2014). La</w:t>
        <w:br/>
        <w:t>base de datos de factores de virulencia VFDB se utilizó de la misma forma para detectar</w:t>
        <w:br/>
        <w:br/>
        <w:t>genes que codifican factores de virulencia como proteinasas, gelatinasas y proteínas</w:t>
        <w:br/>
        <w:br/>
        <w:t>formadoras de biopelículas.</w:t>
        <w:br/>
        <w:br/>
        <w:br/>
        <w:t>Proximidad filogenética a otros aislados de diferentes orígenes</w:t>
        <w:br/>
        <w:br/>
        <w:br/>
        <w:t>Para determinar el origen filogenético de los 11 aislados seleccionados, se realizó un</w:t>
        <w:br/>
        <w:t>estudio de genómica comparada entre estos aislados y otras especies de bacterias ácido-</w:t>
        <w:br/>
        <w:br/>
        <w:t>lácticas aisladas de diferentes orígenes (individuos sanos y enfermos, tanto humanos</w:t>
        <w:br/>
        <w:t>como animales; alimentos y bebidas crudos o fermentados; y medio ambiente,</w:t>
        <w:br/>
        <w:br/>
        <w:t>fundamentalmente). Se descargaron todos los genomas públicos de las especies L.</w:t>
        <w:br/>
        <w:br/>
        <w:t>plantarum, L. salivarius, L. paracasei, Pediococcus spp., E. faecalis y E. casseliflavus, junto</w:t>
        <w:br/>
        <w:t>con sus metadatos, de la base de datos del genoma del NCBI utilizando ncbi-genome-</w:t>
        <w:br/>
        <w:br/>
        <w:t>download versión 0.2. 9 (https://github.com/kblin/ncbi-genome-download). Debido al</w:t>
        <w:br/>
        <w:t>elevado número de genomas disponibles para L. plantarum y E. faecalis, se llevó a cabo</w:t>
        <w:br/>
        <w:br/>
        <w:t>un primer cribado comparativo utilizando perfiles de frecuencia de características de</w:t>
        <w:br/>
        <w:t>purina-pirimidina (FFPry) (Sims et al., 2009) para seleccionar las secuencias del genoma</w:t>
        <w:br/>
        <w:br/>
        <w:t>más cercanas. La comparación del genoma se llevó a cabo utilizando polimorfismos de</w:t>
        <w:br/>
        <w:t>nucleótido  único  del genoma  central,  identificados  por  ParSNP  versión  1.2</w:t>
        <w:br/>
        <w:br/>
        <w:t>(Pornsukarom et al., 2018; Treangen et al., 2014). Los árboles filogenéticos se generaron</w:t>
        <w:br/>
        <w:br/>
        <w:t>con el programa Figtree versión 1.4.2 (http://tree.bio.ed.ac.uk/software/figtree/).</w:t>
        <w:br/>
        <w:t xml:space="preserve"> 146  MARÍA BRAVO SANTILLANA</w:t>
        <w:br/>
      </w:r>
    </w:p>
    <w:p>
      <w:r>
        <w:t>Página 147:</w:t>
        <w:br/>
        <w:t xml:space="preserve">                                          LAB | Capítulo II</w:t>
        <w:br/>
        <w:br/>
        <w:t>2.  Caracterización antimicrobiana de las bacterias ácido-lácticas</w:t>
        <w:br/>
        <w:br/>
        <w:t xml:space="preserve">   Se realizó una caracterización antimicrobiana de los 11 aislados seleccionados que</w:t>
        <w:br/>
        <w:br/>
        <w:t xml:space="preserve">   mostraron potencial antimicrobiano, especialmente frente a micobacterias, en los</w:t>
        <w:br/>
        <w:t xml:space="preserve">   ensayos anteriores descritos en el capítulo I. Para estos ensayos se seleccionaron tres</w:t>
        <w:br/>
        <w:br/>
        <w:t xml:space="preserve">   especies diferentes para tratar de abarcar un amplio espectro de bacterias Gram + y</w:t>
        <w:br/>
        <w:t xml:space="preserve">   Gram – y patógenos que afectan a diferentes aparatos o sistemas: Escherichia coli como</w:t>
        <w:br/>
        <w:br/>
        <w:t xml:space="preserve">   marcador de procesos digestivos, Pasteurella multocida como marcador de procesos</w:t>
        <w:br/>
        <w:t xml:space="preserve">    respiratorios y Listeria monocytogenes como marcador de procesos sistémicos. Todas</w:t>
        <w:br/>
        <w:br/>
        <w:t xml:space="preserve">    las cepas patógenas han sido aisladas de casos clínicos en jabalíes diagnosticados por la</w:t>
        <w:br/>
        <w:t xml:space="preserve">   empresa INGULADOS S.L. y han sido identificadas mediante pruebas microbiológicas</w:t>
        <w:br/>
        <w:br/>
        <w:t xml:space="preserve">    básicas y moleculares. Los métodos de elección para evaluar la actividad antibacteriana</w:t>
        <w:br/>
        <w:t xml:space="preserve">   de los aislados de LAB incluyeron tres tipos de técnicas diferentes que fueron</w:t>
        <w:br/>
        <w:br/>
        <w:t xml:space="preserve">   optimizadas para cada patógeno: cocultivos, ensayo de microdilución en caldo y</w:t>
        <w:br/>
        <w:br/>
        <w:t xml:space="preserve">   «prueba de la gota», más conocida por su nombre en inglés «spot-on-agar», como se</w:t>
        <w:br/>
        <w:t xml:space="preserve">    describió anteriormente (A. Stedman et al., 2020).</w:t>
        <w:br/>
        <w:br/>
        <w:br/>
        <w:t xml:space="preserve">   Además, se realizó la caracterización genotípica mediante la detección de genes que</w:t>
        <w:br/>
        <w:br/>
        <w:t xml:space="preserve">    codifican para metabolitos antimicrobianos,  incluidos  clústeres de  bacteriocinas,</w:t>
        <w:br/>
        <w:t xml:space="preserve">   mediante los procedimientos descritos en el Capítulo  I de esta tesis doctoral. En el</w:t>
        <w:br/>
        <w:br/>
        <w:t xml:space="preserve">    capítulo anterior se describieron los genes de los aislados que mostraron actividad</w:t>
        <w:br/>
        <w:t xml:space="preserve">   antimicobacteriana y en este se realizó el mismo estudio para el resto de aislados</w:t>
        <w:br/>
        <w:br/>
        <w:t xml:space="preserve">    seleccionados.</w:t>
        <w:br/>
        <w:br/>
        <w:br/>
        <w:t xml:space="preserve">    Cocultivos de bacterias ácido-lácticas y un aislado de E. coli patógeno</w:t>
        <w:br/>
        <w:br/>
        <w:br/>
        <w:t xml:space="preserve">   Las BAL seleccionadas se cultivaron en caldo MRS a 37ºC durante 24-48 h. El E. coli</w:t>
        <w:br/>
        <w:br/>
        <w:t xml:space="preserve">   seleccionado se trata de una cepa patógena aislada de un caso clínico en jabalíes y se</w:t>
        <w:br/>
        <w:t xml:space="preserve">    cultivó en caldo TSB (Oxoid) a 37 ºC durante 24 h con aireación. Para evaluar la actividad</w:t>
        <w:br/>
        <w:br/>
        <w:t xml:space="preserve">   antimicrobiana de las BAL frente a E. coli, se realizaron cocultivos en TSB siguiendo un</w:t>
        <w:br/>
        <w:t xml:space="preserve">   procedimiento similar al descrito en el capítulo  I, con algunas modificaciones. Se</w:t>
        <w:br/>
        <w:t xml:space="preserve">   inocularon 105 ufc/mL del cultivo en TSB de E. coli y 107 ufc/mL de cada BAL cultivadas</w:t>
        <w:br/>
        <w:br/>
        <w:t xml:space="preserve">                                              MARÍA BRAVO SANTILLANA  147</w:t>
        <w:br/>
      </w:r>
    </w:p>
    <w:p>
      <w:r>
        <w:t>Página 148:</w:t>
        <w:br/>
        <w:t>LAB | Capítulo II</w:t>
        <w:br/>
        <w:br/>
        <w:t>en medio MRS. Se preparó un control negativo inoculando 105 ufc/mL de E. coli en un</w:t>
        <w:br/>
        <w:br/>
        <w:t>monocultivo y se le añadió el volumen correspondiente de MRS para normalizar las</w:t>
        <w:br/>
        <w:br/>
        <w:t>condiciones. Se incubaron todos los cocultivos a 37 ºC durante 24 h con aireación y se</w:t>
        <w:br/>
        <w:t>sembraron diluciones seriadas en Agar Violeta Rojo Bilis Glucosa (VRBG, Oxoid) diseñado</w:t>
        <w:br/>
        <w:br/>
        <w:t>para el recuento de enterobacterias y que inhibe el crecimiento de BAL. Los resultados</w:t>
        <w:br/>
        <w:t>de la actividad inhibitoria del experimento de cocultivo se expresan como reducciones</w:t>
        <w:br/>
        <w:br/>
        <w:t>logarítmicas de las ufc/mL.</w:t>
        <w:br/>
        <w:br/>
        <w:br/>
        <w:t>Ensayo de microdiluciones en caldo frente a una cepa de Pasteurella multocida</w:t>
        <w:br/>
        <w:t>serotipo B</w:t>
        <w:br/>
        <w:br/>
        <w:br/>
        <w:t>El ensayo de microdiluciones en caldo se utilizó para evaluar la actividad antimicrobiana</w:t>
        <w:br/>
        <w:br/>
        <w:t>extracelular de los aislados frente a P. multocida, debido a la dificultad para obtener un</w:t>
        <w:br/>
        <w:br/>
        <w:t>medio diferencial y específico para este patógeno en concreto (Huberman et al., 2015),</w:t>
        <w:br/>
        <w:t>a diferencia del caso anterior. Para este ensayo, se obtuvieron los sobrenadantes libres</w:t>
        <w:br/>
        <w:br/>
        <w:t>de células de las cepas de BAL a partir de cultivos puros en caldo MRS (37 ºC, 48 h)</w:t>
        <w:br/>
        <w:t>mediante centrifugación a 5.000 rpm durante 10 min y filtración a través de filtros para</w:t>
        <w:br/>
        <w:br/>
        <w:t>jeringa de 0,22 µm de tamaño de poro (Branchia). La cepa patógena de P. multocida</w:t>
        <w:br/>
        <w:t>serotipo B, aislada de un caso clínico en jabalí (Risco et al., 2013), se cultivó en caldo MH</w:t>
        <w:br/>
        <w:br/>
        <w:t>a 37ºC durante 48 h con aireación. Los sobrenadantes de todos los aislados se diluyeron</w:t>
        <w:br/>
        <w:t>en serie y se testaron frente a una concentración de 107 ufc/mL del cultivo puro de P.</w:t>
        <w:br/>
        <w:br/>
        <w:t>multocida siguiendo un procedimiento similar al descrito para la determinación de las</w:t>
        <w:br/>
        <w:br/>
        <w:t>CMI de los antibióticos. Los resultados se expresaron como Unidades Arbitrarias</w:t>
        <w:br/>
        <w:t>(unidades de actividad) por mililitro (UA/mL) que viene definida como el recíproco de la</w:t>
        <w:br/>
        <w:br/>
        <w:t>mayor dilución que muestra una clara inhibición del crecimiento del patógeno (Casadei</w:t>
        <w:br/>
        <w:t>et al., 2009). Para comprobar esta inhibición, se sembraron 100 µL en MH agar de las</w:t>
        <w:br/>
        <w:br/>
        <w:t>diluciones que muestren inhibición del crecimiento.</w:t>
        <w:br/>
        <w:br/>
        <w:br/>
        <w:t>Prueba de la gota (spot-on-agar) frente a Listeria monocytogenes</w:t>
        <w:br/>
        <w:br/>
        <w:br/>
        <w:t>La prueba de  la gota o spot-on-agar permite enfrentar directamente las células</w:t>
        <w:br/>
        <w:t>microbianas de las dos bacterias a testar y aporta mucha información para la evaluación</w:t>
        <w:br/>
        <w:t xml:space="preserve"> 148  MARÍA BRAVO SANTILLANA</w:t>
        <w:br/>
      </w:r>
    </w:p>
    <w:p>
      <w:r>
        <w:t>Página 149:</w:t>
        <w:br/>
        <w:t xml:space="preserve">                                        LAB | Capítulo II</w:t>
        <w:br/>
        <w:br/>
        <w:t>de la actividad antimicrobiana de forma rápida y muy visual (Gutierrez et al., 2009). Se</w:t>
        <w:br/>
        <w:br/>
        <w:t>depositaron 5 µl de cada cultivo de los aislados de BAL cultivados en MRS en medio MH</w:t>
        <w:br/>
        <w:br/>
        <w:t>agar previamente inoculado con 1% de un cultivo de L. monocytogenes obtenido en su</w:t>
        <w:br/>
        <w:t>fase exponencial en medio TSB. Las placas se incubaron a 37 ºC durante 24 h para</w:t>
        <w:br/>
        <w:br/>
        <w:t>evaluar las zonas de inhibición del crecimiento. Se incluyeron como controles de</w:t>
        <w:br/>
        <w:t>actividad las siguientes cepas: L. plantarum WCFS-1, un fuerte acidulante (Kleerebezem</w:t>
        <w:br/>
        <w:br/>
        <w:t>et al., 2003); Pediococcus acidilactici PA1.0, productor de la bacteriocina de clase IIa sin</w:t>
        <w:br/>
        <w:t>modificaciones llamada «pediocina» (Gonzalez y Kunka, 1987); Lactococcus  lactis</w:t>
        <w:br/>
        <w:br/>
        <w:t>NZ9700,  productor de  la  bacteriocina de  clase  Ia denominada  «nisina», con</w:t>
        <w:br/>
        <w:t>modificaciones postraduccionales; y Lactococcus lactis NZ9800, no productor de nisina</w:t>
        <w:br/>
        <w:br/>
        <w:t>que actúa como control negativo (Kuipers et al., 1993).</w:t>
        <w:br/>
        <w:br/>
        <w:br/>
        <w:t>Caracterización genotípica de la actividad antimicrobiana: identificación de genes que</w:t>
        <w:br/>
        <w:br/>
        <w:t>codifican para la producción de metabolitos antimicrobianos</w:t>
        <w:br/>
        <w:br/>
        <w:br/>
        <w:t>Para la caracterización genotípica de la actividad antimicrobiana se siguió el mismo</w:t>
        <w:br/>
        <w:t>procedimiento descrito en el método del capítulo I para los aislados que mostraron</w:t>
        <w:br/>
        <w:br/>
        <w:t>actividad antimicobacteriana. En este caso, se extendió el procedimiento al resto de</w:t>
        <w:br/>
        <w:t>aislados seleccionados, que se resumirá a continuación.</w:t>
        <w:br/>
        <w:br/>
        <w:br/>
        <w:t>La identificación de clústeres de asociados a la producción de bacteriocinas se realizó</w:t>
        <w:br/>
        <w:br/>
        <w:t>mediante el software online BAGEL4 (van Heel et al., 2018) y la anotación de los</w:t>
        <w:br/>
        <w:br/>
        <w:t>genomas se utilizó para detectar la presencia o ausencia fructosa-6-fosfato aldolasa y</w:t>
        <w:br/>
        <w:t>fosfocetolasa, dos enzimas que participan en las dos rutas metabólicas glucolíticas</w:t>
        <w:br/>
        <w:br/>
        <w:t>principales, mediante las cuales se liberan diferentes metabolitos antimicrobianos</w:t>
        <w:br/>
        <w:t>(ácido láctico, ácido acético, CO2, etanol…). Las anotaciones se utilizaron también para</w:t>
        <w:br/>
        <w:br/>
        <w:t>identificar genes asociados con  la producción de Peróxido de Hidrógeno (H2O2),</w:t>
        <w:br/>
        <w:t>incluyendo genes que codifican para la piruvato oxidasa (Pox), lactato oxidasa (Lox) y</w:t>
        <w:br/>
        <w:br/>
        <w:t>NADH oxidasas, y también genes que codifican para NADH peroxidasas.</w:t>
        <w:br/>
        <w:br/>
        <w:br/>
        <w:br/>
        <w:br/>
        <w:br/>
        <w:t xml:space="preserve">                                           MARÍA BRAVO SANTILLANA  149</w:t>
        <w:br/>
      </w:r>
    </w:p>
    <w:p>
      <w:r>
        <w:t>Página 150:</w:t>
        <w:br/>
        <w:t xml:space="preserve">  LAB | Capítulo II</w:t>
        <w:br/>
        <w:br/>
        <w:t>3.  Estudios de evaluación de  la capacidad inmunomoduladora de los aislados de</w:t>
        <w:br/>
        <w:br/>
        <w:t xml:space="preserve">    bacterias ácido-lácticas</w:t>
        <w:br/>
        <w:br/>
        <w:t xml:space="preserve">   Para  la evaluación de  la capacidad inmunomoduladora de  los aislados de BAL</w:t>
        <w:br/>
        <w:t xml:space="preserve">   seleccionados se realizó un estudio fenotípico de sus propiedades in vitro mediante un</w:t>
        <w:br/>
        <w:br/>
        <w:t xml:space="preserve">    análisis de la capacidad de estos para ser fagocitados y un ensayo para evaluar la</w:t>
        <w:br/>
        <w:t xml:space="preserve">    activación de dos rutas importantes de la respuesta inmunitaria. Además, se efectuó la</w:t>
        <w:br/>
        <w:br/>
        <w:t xml:space="preserve">    caracterización genotípica mediante la detección de genes que codifican para varios</w:t>
        <w:br/>
        <w:t xml:space="preserve">    ligandos, previamente descritos por otros autores, que pueden interaccionar con el</w:t>
        <w:br/>
        <w:br/>
        <w:t xml:space="preserve">   sistema inmunitario del hospedador.</w:t>
        <w:br/>
        <w:br/>
        <w:br/>
        <w:t xml:space="preserve">   Ensayo de la influencia sobre la capacidad fagocítica con células sanguíneas porcinas</w:t>
        <w:br/>
        <w:br/>
        <w:br/>
        <w:t xml:space="preserve">   Se realizó la toma de muestras de sangre porcina mediante el mismo procedimiento</w:t>
        <w:br/>
        <w:br/>
        <w:t xml:space="preserve">    descrito en el capítulo I. La sangre se incubó a 37 ºC durante 30 min junto con las cepas</w:t>
        <w:br/>
        <w:t xml:space="preserve">   de BAL previamente marcadas con PKH2, se lisaron con solución de lisis RBC (Biolegend)</w:t>
        <w:br/>
        <w:br/>
        <w:t xml:space="preserve">   y fueron procesadas por  el citómetro de  flujo BD FACS Celesta mediante  los</w:t>
        <w:br/>
        <w:t xml:space="preserve">   procedimientos descritos previamente (Stedman et al., 2020). Se midieron la dispersión</w:t>
        <w:br/>
        <w:br/>
        <w:t xml:space="preserve">    frontal (FSC) y la dispersión lateral (SSC) para distinguir las principales poblaciones</w:t>
        <w:br/>
        <w:t xml:space="preserve">   sanguíneas en función de su tamaño y granularidad (por ejemplo, linfocitos  vs.</w:t>
        <w:br/>
        <w:br/>
        <w:t xml:space="preserve">    fagocitos), mientras que  el canal FITC permite medir diferentes intensidades de</w:t>
        <w:br/>
        <w:t xml:space="preserve">    fluorescencia emitida (GFP) en las células sanguíneas que se unen (ej. linfocitos) y/o</w:t>
        <w:br/>
        <w:br/>
        <w:t xml:space="preserve">    fagocitan (ej. fagocitos como monocitos y polimorfonucleares tales como neutrófilos).</w:t>
        <w:br/>
        <w:br/>
        <w:t xml:space="preserve">    El diagrama resultante SCC/GFP se utilizó para evaluar la fagocitosis de las BAL.</w:t>
        <w:br/>
        <w:t xml:space="preserve">   Evaluación de la respuesta macrofágica a las bacterias ácido-lácticas</w:t>
        <w:br/>
        <w:br/>
        <w:br/>
        <w:t xml:space="preserve">   Se utilizaron las líneas celulares de monocitos de THP-1-IFIT-1-GLuc y THP1-Lucia™ NF-</w:t>
        <w:br/>
        <w:br/>
        <w:t xml:space="preserve">   κB (Invivogen) para monitorear la activación de los factores de transcripción IFN-I y NF-</w:t>
        <w:br/>
        <w:t xml:space="preserve">    κB,  respectivamente,  tras  la  exposición a  las BAL  seleccionadas, mediante  el</w:t>
        <w:br/>
        <w:br/>
        <w:t xml:space="preserve">   procedimiento descrito anteriormente (Stedman et al., 2020). Las células IFIT1-GLuc y</w:t>
        <w:br/>
        <w:t xml:space="preserve">   NF-κB-GLuc secretan luciferasa Gaussia (GLuc) bajo el control del promotor IFIT1 y NF-</w:t>
        <w:br/>
        <w:br/>
        <w:t xml:space="preserve">    κB, respectivamente. Ambas líneas celulares se cultivaron en medio Roswell Park</w:t>
        <w:br/>
        <w:br/>
        <w:t xml:space="preserve">    150  MARÍA BRAVO SANTILLANA</w:t>
        <w:br/>
      </w:r>
    </w:p>
    <w:p>
      <w:r>
        <w:t>Página 151:</w:t>
        <w:br/>
        <w:t xml:space="preserve">                                        LAB | Capítulo II</w:t>
        <w:br/>
        <w:br/>
        <w:t>Memorial Institute (RPMI, Sigma Aldrich) 1640 con suero fetal bovino al 15 % (FCS,</w:t>
        <w:br/>
        <w:br/>
        <w:t>Seralaf) y penicilina / estreptomicina al 1% (Pen / Strep, Life Technologies) a 37 ºC en</w:t>
        <w:br/>
        <w:br/>
        <w:t>una atmósfera con 5 % de CO2. Las células se trataron con 20 ng/mL de forbol 12-</w:t>
        <w:br/>
        <w:t>miristato 13-acetato (PMA) para su diferenciación a macrófagos que posteriormente</w:t>
        <w:br/>
        <w:br/>
        <w:t>fueron expuestos a las BAL durante 2 h en medio RPMI con 2% de FCS en una proporción</w:t>
        <w:br/>
        <w:t>de 20 bacterias viables por macrófago. Después de la exposición, se sustituyó el medio</w:t>
        <w:br/>
        <w:br/>
        <w:t>de los macrófagos por RPMI con 2% de FCS y 1% de Pen / Strep y se incubaron durante</w:t>
        <w:br/>
        <w:t>20 h. A continuación, se midió la activación de IFIT1 y NF-κB en el lector de placas</w:t>
        <w:br/>
        <w:br/>
        <w:t>Clariostar (BMG Biotech) usando coelenterazina (NanoLigh Technology) a 2 µg/ml. La</w:t>
        <w:br/>
        <w:t>activación de las rutas mencionadas se calculó como un aumento de la actividad</w:t>
        <w:br/>
        <w:br/>
        <w:t>luciferasa en los macrófagos expuestos en comparación con las medidas registradas</w:t>
        <w:br/>
        <w:t>para los macrófagos no expuestos a las BAL.</w:t>
        <w:br/>
        <w:br/>
        <w:br/>
        <w:t>Caracterización genotípica de la capacidad inmunomoduladora: identificación de</w:t>
        <w:br/>
        <w:t>genes que codifican para la producción de moléculas inmunomoduladoras</w:t>
        <w:br/>
        <w:br/>
        <w:br/>
        <w:t>Para identificar los marcadores asociados con las respuestas inmunitarias innatas del</w:t>
        <w:br/>
        <w:br/>
        <w:t>hospedador, se siguió el mismo procedimiento genómico descrito para los marcadores</w:t>
        <w:br/>
        <w:t>de virulencia y genes de resistencia a antibióticos. Se buscaron proteínas involucradas</w:t>
        <w:br/>
        <w:br/>
        <w:t>en los mecanismos de evasión, adhesión y colonización utilizando Abricate y la base de</w:t>
        <w:br/>
        <w:t>datos VFDB. Además, se exploraron las anotaciones del genoma para identificar ligandos</w:t>
        <w:br/>
        <w:br/>
        <w:t>de las BAL interactúan con los receptores de reconocimiento de patrones (PRR), como</w:t>
        <w:br/>
        <w:br/>
        <w:t>los TLR o receptores similares a NOD, descritos en la introducción incluidos los</w:t>
        <w:br/>
        <w:t>exopolisacáridos (EPS), precursores fimbriales, ácido teicoico y lipoteicoico (WTA, LTA)</w:t>
        <w:br/>
        <w:br/>
        <w:t>y lipoproteínas de membrana (Hevia et al., 2015; Sengupta et al., 2013; Van Tassell y</w:t>
        <w:br/>
        <w:t>Miller, 2011).</w:t>
        <w:br/>
        <w:br/>
        <w:br/>
        <w:br/>
        <w:br/>
        <w:br/>
        <w:t xml:space="preserve">                                           MARÍA BRAVO SANTILLANA  151</w:t>
        <w:br/>
      </w:r>
    </w:p>
    <w:p>
      <w:r>
        <w:t>Página 152:</w:t>
        <w:br/>
        <w:t xml:space="preserve">  LAB | Capítulo II</w:t>
        <w:br/>
        <w:br/>
        <w:t>4.  Estudio estadístico</w:t>
        <w:br/>
        <w:br/>
        <w:t xml:space="preserve">    El análisis estadístico se realizó utilizando GraphPad Prism versión 8.00 para Windows</w:t>
        <w:br/>
        <w:br/>
        <w:t xml:space="preserve">   (GraphPad Software, La  Jolla  California USA, www.graphpad.com). Los datos se</w:t>
        <w:br/>
        <w:t xml:space="preserve">   muestran con la media ± DE (desviación estándar) y representan tres réplicas biológicas.</w:t>
        <w:br/>
        <w:br/>
        <w:t xml:space="preserve">   Las diferencias entre aislados se analizaron mediante ANOVA de una vía y la prueba LSD</w:t>
        <w:br/>
        <w:t xml:space="preserve">    (Least Significant Difference) de Fisher.</w:t>
        <w:br/>
        <w:br/>
        <w:br/>
        <w:br/>
        <w:br/>
        <w:br/>
        <w:t xml:space="preserve">    152  MARÍA BRAVO SANTILLANA</w:t>
        <w:br/>
      </w:r>
    </w:p>
    <w:p>
      <w:r>
        <w:t>Página 153:</w:t>
        <w:br/>
        <w:t xml:space="preserve">                                            LAB | Capítulo II</w:t>
        <w:br/>
        <w:br/>
        <w:t>Figura resumen del método</w:t>
        <w:br/>
        <w:br/>
        <w:br/>
        <w:br/>
        <w:br/>
        <w:br/>
        <w:t xml:space="preserve">                                                 MARÍA BRAVO SANTILLANA  153</w:t>
        <w:br/>
      </w:r>
    </w:p>
    <w:p>
      <w:r>
        <w:t>Página 154:</w:t>
        <w:br/>
        <w:t>LAB | Capítulo II</w:t>
        <w:br/>
        <w:br/>
        <w:t>RESULTADOS</w:t>
        <w:br/>
        <w:br/>
        <w:br/>
        <w:br/>
        <w:t>El perfil de seguridad depende de las cepas y las especies de bacterias ácido-lácticas</w:t>
        <w:br/>
        <w:br/>
        <w:t>Para evaluar  la seguridad de los aislados, se cuantificó su susceptibilidad a los</w:t>
        <w:br/>
        <w:br/>
        <w:t>antibióticos que se utilizan comúnmente en medicina humana y veterinaria y de forma</w:t>
        <w:br/>
        <w:t>paralela, se buscaron  los genes asociados con  resistencias a  antibióticos para</w:t>
        <w:br/>
        <w:br/>
        <w:t>correlacionar estos marcadores con la tolerancia fenotípica de los aislados (Figura 2.3 y</w:t>
        <w:br/>
        <w:br/>
        <w:t>Figura 2.4). Todos los aislados fueron sensibles a ampicilina, cloranfenicol y eritromicina,</w:t>
        <w:br/>
        <w:t>con la excepción de E. faecalis que fue resistente para el último de ellos. Los genomas</w:t>
        <w:br/>
        <w:br/>
        <w:t>de las cepas de E. faecalis revelaron la presencia de lsa(A), un gen que codifica una</w:t>
        <w:br/>
        <w:t>bomba de eflujo que confiere resistencia expulsando los macrólidos fuera de la célula</w:t>
        <w:br/>
        <w:br/>
        <w:t>(Dina et al., 2003), lo que explicaría la resistencia detectada. Curiosamente, casi todas</w:t>
        <w:br/>
        <w:t>cepas fueron relativamente tolerantes a los aminoglucósidos (gentamicina, kanamicina</w:t>
        <w:br/>
        <w:br/>
        <w:t>y estreptomicina), y algunas de ellas fueron identificadas como resistentes según los</w:t>
        <w:br/>
        <w:t>estándares FEEDAP, como las cepas de L. plantarum C1 y EML1, L. salivarius C12 y P.</w:t>
        <w:br/>
        <w:br/>
        <w:t>acidilactici C5. Sin embargo, no se localizaron marcadores genotípicos de resistencia en</w:t>
        <w:br/>
        <w:t>ninguno de sus genomas. Por el contrario, se identificaron los genes tet(L) y tet(M),</w:t>
        <w:br/>
        <w:br/>
        <w:t>asociados con la resistencia a tetraciclina, en las cepas L. salivarius C2 y E. faecalis A1.</w:t>
        <w:br/>
        <w:br/>
        <w:t>Junto con L. plantarum C1, estas dos especies mostraron tolerancia a la tetraciclina.</w:t>
        <w:br/>
        <w:t>Además, observamos que E. casseliflavus fue tolerante a la vancomicina y que esta</w:t>
        <w:br/>
        <w:br/>
        <w:t>característica fenotípica se correlaciona con  la presencia de múltiples genes de</w:t>
        <w:br/>
        <w:t>resistencia a la vancomicina (vanC2 / 3, vanXY-c4, vanT-C, vanR-C y vanS-C). Por último,</w:t>
        <w:br/>
        <w:br/>
        <w:t>no se encontraron marcadores genéticos asociados a resistencias antimicrobianas en</w:t>
        <w:br/>
        <w:t>ninguna de las cepas de P. acidilactici.</w:t>
        <w:br/>
        <w:br/>
        <w:br/>
        <w:t>Por otro lado, se buscaron marcadores de virulencia en los genomas de los aislados</w:t>
        <w:br/>
        <w:br/>
        <w:t>como parte del estudio de seguridad. Las dos cepas de E. faecalis poseen varios genes</w:t>
        <w:br/>
        <w:br/>
        <w:t>de virulencia, incluida una serina proteasa (sprE), una gelatinasa (gelE), proteínas</w:t>
        <w:br/>
        <w:t>asociadas a producción de biopelículas (ebpA, ebpB, ebpC) y su regulación (bopD),</w:t>
        <w:br/>
        <w:br/>
        <w:t>reguladores de sistemas de virulencia (fsrA, fsrB), citolisinas (cylI, cylA, cylB, cylM, cylS)</w:t>
        <w:br/>
        <w:br/>
        <w:t xml:space="preserve"> 154  MARÍA BRAVO SANTILLANA</w:t>
        <w:br/>
      </w:r>
    </w:p>
    <w:p>
      <w:r>
        <w:t>Página 155:</w:t>
        <w:br/>
        <w:t xml:space="preserve">                                        LAB | Capítulo II</w:t>
        <w:br/>
        <w:br/>
        <w:t>y reguladores (cylR1, cylR2); hialuronidasas (EF0818, EF3023, EF0485), proteínas de</w:t>
        <w:br/>
        <w:br/>
        <w:t>superficie (fss1) y sustancias de agregación (asa1, prgB/asc10). Los genomas de</w:t>
        <w:br/>
        <w:br/>
        <w:t>lactobacilos y pediococos no mostraron factores de virulencia.</w:t>
        <w:br/>
        <w:br/>
        <w:br/>
        <w:br/>
        <w:br/>
        <w:br/>
        <w:t>Figura 2.3. Mapa de calor que muestra la susceptibilidad de los aislados a los antibióticos que se utilizan</w:t>
        <w:br/>
        <w:t>con  frecuencia en  medicina  veterinaria  y humana.  La  susceptibilidad  se  cuantificó  utilizando</w:t>
        <w:br/>
        <w:t>concentraciones mínimas inhibitorias (CMI, µg/mL) y se representan como gradientes de color. Las cepas</w:t>
        <w:br/>
        <w:t>que son reconocidas como resistentes por los estándares FEEDAP se indican con una «R». La R redondeada</w:t>
        <w:br/>
        <w:t>indica concordancia entre la resistencia genotípica y fenotípica, con los marcadores de genes de</w:t>
        <w:br/>
        <w:t>resistencia mostrados en cursiva. No se requiere la evaluación de vancomicina (n.r.) para los lactobacilos</w:t>
        <w:br/>
        <w:t>y estreptomicina para L. plantarum, debido a su resistencia natural innata a estos antibióticos.</w:t>
        <w:br/>
        <w:br/>
        <w:br/>
        <w:br/>
        <w:br/>
        <w:br/>
        <w:t xml:space="preserve">                                           MARÍA BRAVO SANTILLANA  155</w:t>
        <w:br/>
      </w:r>
    </w:p>
    <w:p>
      <w:r>
        <w:t>Página 156:</w:t>
        <w:br/>
        <w:t>LAB | Capítulo II</w:t>
        <w:br/>
        <w:br/>
        <w:br/>
        <w:br/>
        <w:br/>
        <w:br/>
        <w:t>Figura 2.4. Genes de resistencia antimicrobiana y marcadores genéticos de virulencia. Los aislados de</w:t>
        <w:br/>
        <w:t>lactobacilos y pediococos carecen de genes de resistencia y virulencia, a excepción de L. salivarius C2 que</w:t>
        <w:br/>
        <w:t>presenta genes para la resistencia a tetraciclinas; y los aislados de enterococos presentan numerosos</w:t>
        <w:br/>
        <w:t>marcadores genéticos de resistencias antimicrobianas y virulencia, en especial las dos cepas de E. faecalis.</w:t>
        <w:br/>
        <w:br/>
        <w:br/>
        <w:br/>
        <w:t>La proximidad filogenética de BAL varía entre cepas aisladas de alimentos, animales y</w:t>
        <w:br/>
        <w:t>humanos.</w:t>
        <w:br/>
        <w:br/>
        <w:t>Para complementar el estudio de seguridad y determinar el origen filogenético de los</w:t>
        <w:br/>
        <w:br/>
        <w:t>aislados, se realizó un análisis comparativo de los genomas con otros genomas</w:t>
        <w:br/>
        <w:t>publicados para las mismas especies de BAL con diferentes orígenes. Los aislamientos</w:t>
        <w:br/>
        <w:br/>
        <w:t>de L. plantarum EML1 y SA3 son casi idénticos y ambos muestran similitudes con el</w:t>
        <w:br/>
        <w:br/>
        <w:t>aislado C1 (Figura 2.5). Todos ellos parecen estar relacionados con cepas aisladas de</w:t>
        <w:br/>
        <w:t>alimentos fermentados o productos relacionados con probióticos. De manera similar, L.</w:t>
        <w:br/>
        <w:br/>
        <w:t>paracasei SA5 se ubica cerca de cepas derivadas de alimentos, en particular productos</w:t>
        <w:br/>
        <w:br/>
        <w:t xml:space="preserve"> 156  MARÍA BRAVO SANTILLANA</w:t>
        <w:br/>
      </w:r>
    </w:p>
    <w:p>
      <w:r>
        <w:t>Página 157:</w:t>
        <w:br/>
        <w:t xml:space="preserve">                                        LAB | Capítulo II</w:t>
        <w:br/>
        <w:br/>
        <w:t>lácteos fabricados para consumo humano (Figura 2.6). Los aislamientos C2 y C12 de L.</w:t>
        <w:br/>
        <w:br/>
        <w:t>salivarius se agruparon entre otros dos grupos que representan cepas de cerdos sanos</w:t>
        <w:br/>
        <w:br/>
        <w:t>y humanos (Figura 2.7). Curiosamente, los aislamientos de P. acidilactici C5 y R91</w:t>
        <w:br/>
        <w:t>mostraron una proximidad cercana a cepas de diverso origen, incluidos alimentos,</w:t>
        <w:br/>
        <w:br/>
        <w:t>animales y humanos (Figura 2.8), sin embargo, se observó una divergencia significativa</w:t>
        <w:br/>
        <w:t>entre estos dos pediococos. Mientras que la cepa C5 pertenece a un grupo en el que se</w:t>
        <w:br/>
        <w:br/>
        <w:t>encuentran otras cepas aisladas de alimentos fermentados, de humanos y animales de</w:t>
        <w:br/>
        <w:t>compañía, el aislado R91 se relaciona con un grupo diferente de cepas que derivan de</w:t>
        <w:br/>
        <w:br/>
        <w:t>alimentos (fermentados y lácteos) y animales de granja (pollo y cerdo), pero ninguna de</w:t>
        <w:br/>
        <w:t>ellas relacionadas con procesos patológicos. Por el contrario, ambos aislamientos de E.</w:t>
        <w:br/>
        <w:br/>
        <w:t>faecalis (A1 y R8) están muy cerca de las cepas patógenas aisladas de cerdos (Figura 2.9)</w:t>
        <w:br/>
        <w:t>De igual manera, E. casseliflavus también se encuentra en la proximidad de otros</w:t>
        <w:br/>
        <w:br/>
        <w:t>aislados patógenos pero derivados de pacientes humanos (Figura 2.10), aunque el</w:t>
        <w:br/>
        <w:br/>
        <w:t>número de genomas disponibles es muy reducido para establecer comparaciones.</w:t>
        <w:br/>
        <w:br/>
        <w:br/>
        <w:br/>
        <w:br/>
        <w:br/>
        <w:t xml:space="preserve">                                           MARÍA BRAVO SANTILLANA  157</w:t>
        <w:br/>
      </w:r>
    </w:p>
    <w:p>
      <w:r>
        <w:t>Página 158:</w:t>
        <w:br/>
        <w:t>LAB | Capítulo II</w:t>
        <w:br/>
        <w:br/>
        <w:t xml:space="preserve">                                                                                                      Figura 2.5. Árbol filogenético de los aislados de L. plantarum</w:t>
        <w:br/>
        <w:br/>
        <w:br/>
        <w:br/>
        <w:br/>
        <w:br/>
        <w:t xml:space="preserve"> Origen del aislado</w:t>
        <w:br/>
        <w:t xml:space="preserve"> Jabalí</w:t>
        <w:br/>
        <w:t xml:space="preserve"> Alimento crudo / fermentado</w:t>
        <w:br/>
        <w:t xml:space="preserve"> Humano</w:t>
        <w:br/>
        <w:t xml:space="preserve"> Lácteos</w:t>
        <w:br/>
        <w:t xml:space="preserve"> Medio ambiente / plantas</w:t>
        <w:br/>
        <w:t xml:space="preserve"> Animal</w:t>
        <w:br/>
        <w:br/>
        <w:br/>
        <w:br/>
        <w:br/>
        <w:br/>
        <w:t xml:space="preserve">    158   MARÍA BRAVO SANTILLANA</w:t>
        <w:br/>
      </w:r>
    </w:p>
    <w:p>
      <w:r>
        <w:t>Página 159:</w:t>
        <w:br/>
        <w:t xml:space="preserve">                                                                               LAB | Capítulo II</w:t>
        <w:br/>
        <w:br/>
        <w:br/>
        <w:br/>
        <w:t xml:space="preserve">        Figura 2.6. Árbol filogenético de los aislados de L. salivarius</w:t>
        <w:br/>
        <w:br/>
        <w:br/>
        <w:br/>
        <w:br/>
        <w:br/>
        <w:t>Origen del aislado</w:t>
        <w:br/>
        <w:t>Jabalí</w:t>
        <w:br/>
        <w:t>Animal</w:t>
        <w:br/>
        <w:br/>
        <w:t>Humano</w:t>
        <w:br/>
        <w:br/>
        <w:br/>
        <w:br/>
        <w:br/>
        <w:br/>
        <w:t xml:space="preserve">                                                                                                MARÍA BRAVO SANTILLANA   159</w:t>
        <w:br/>
      </w:r>
    </w:p>
    <w:p>
      <w:r>
        <w:t>Página 160:</w:t>
        <w:br/>
        <w:t xml:space="preserve">    LAB | Capítulo II</w:t>
        <w:br/>
        <w:br/>
        <w:br/>
        <w:br/>
        <w:br/>
        <w:t xml:space="preserve">                                                        Figura 2.7. Árbol filogenético de los aislados de L. paracasei</w:t>
        <w:br/>
        <w:br/>
        <w:br/>
        <w:br/>
        <w:br/>
        <w:br/>
        <w:t>Origen del aislado</w:t>
        <w:br/>
        <w:t>Jabalí</w:t>
        <w:br/>
        <w:t>Lácteos</w:t>
        <w:br/>
        <w:t>Humano</w:t>
        <w:br/>
        <w:t>Alimento crudo / fermentado</w:t>
        <w:br/>
        <w:t>Medio ambiente / plantas</w:t>
        <w:br/>
        <w:t>Animal</w:t>
        <w:br/>
        <w:t>Bebida</w:t>
        <w:br/>
        <w:br/>
        <w:br/>
        <w:br/>
        <w:br/>
        <w:t xml:space="preserve">       160  MARÍA BRAVO SANTILLANA</w:t>
        <w:br/>
      </w:r>
    </w:p>
    <w:p>
      <w:r>
        <w:t>Página 161:</w:t>
        <w:br/>
        <w:t xml:space="preserve">                                             LAB | Capítulo II</w:t>
        <w:br/>
        <w:br/>
        <w:br/>
        <w:t xml:space="preserve">               Figura 2.8. Árbol filogenético de los aislados de Pediococcus acidilactici</w:t>
        <w:br/>
        <w:br/>
        <w:br/>
        <w:br/>
        <w:br/>
        <w:br/>
        <w:t>Origen del aislado</w:t>
        <w:br/>
        <w:t>Jabalí</w:t>
        <w:br/>
        <w:br/>
        <w:t>Alimento crudo / fermentado</w:t>
        <w:br/>
        <w:t>Animal</w:t>
        <w:br/>
        <w:t>Lácteos</w:t>
        <w:br/>
        <w:t>Humano</w:t>
        <w:br/>
        <w:br/>
        <w:br/>
        <w:br/>
        <w:br/>
        <w:t xml:space="preserve">                                                   MARÍA BRAVO SANTILLANA  161</w:t>
        <w:br/>
      </w:r>
    </w:p>
    <w:p>
      <w:r>
        <w:t>Página 162:</w:t>
        <w:br/>
        <w:t xml:space="preserve">  LAB | Capítulo II</w:t>
        <w:br/>
        <w:br/>
        <w:t xml:space="preserve">                                                           Origen del aislado</w:t>
        <w:br/>
        <w:t>Figura 2.9. Árbol filogenético de los aislados de E. faecalis                    Jabalí</w:t>
        <w:br/>
        <w:br/>
        <w:t xml:space="preserve">                                                       Animal</w:t>
        <w:br/>
        <w:t xml:space="preserve">                                              Humano</w:t>
        <w:br/>
        <w:t xml:space="preserve">                                                  Medio ambiente / plantas</w:t>
        <w:br/>
        <w:t xml:space="preserve">                                                         Alimento crudo / fermentado</w:t>
        <w:br/>
        <w:t xml:space="preserve">                                                             Lácteos</w:t>
        <w:br/>
        <w:br/>
        <w:br/>
        <w:br/>
        <w:br/>
        <w:br/>
        <w:t xml:space="preserve">   162  MARÍA BRAVO SANTILLANA</w:t>
        <w:br/>
      </w:r>
    </w:p>
    <w:p>
      <w:r>
        <w:t>Página 163:</w:t>
        <w:br/>
        <w:t xml:space="preserve">                                           LAB | Capítulo II</w:t>
        <w:br/>
        <w:br/>
        <w:br/>
        <w:t xml:space="preserve">        Figura 2.10. Árbol filogenético de los aislados de E. casseliflavus</w:t>
        <w:br/>
        <w:br/>
        <w:br/>
        <w:br/>
        <w:br/>
        <w:br/>
        <w:t>Origen del aislado</w:t>
        <w:br/>
        <w:t>Jabalí</w:t>
        <w:br/>
        <w:br/>
        <w:t>Humano</w:t>
        <w:br/>
        <w:t>Desconocido</w:t>
        <w:br/>
        <w:br/>
        <w:br/>
        <w:br/>
        <w:br/>
        <w:br/>
        <w:t xml:space="preserve">                                                MARÍA BRAVO SANTILLANA  163</w:t>
        <w:br/>
      </w:r>
    </w:p>
    <w:p>
      <w:r>
        <w:t>Página 164:</w:t>
        <w:br/>
        <w:t>LAB | Capítulo II</w:t>
        <w:br/>
        <w:br/>
        <w:t>La actividad antimicrobiana de las bacterias ácido-lácticas frente a los patógenos es</w:t>
        <w:br/>
        <w:br/>
        <w:t>específica de la especie</w:t>
        <w:br/>
        <w:br/>
        <w:br/>
        <w:t>Las dos cepas de E. faecalis muestran la mayor actividad antimicrobiana frente a E. coli</w:t>
        <w:br/>
        <w:t>y ambas contienen grupos de genes implicados en la biosíntesis de sactipéptidos (Figura</w:t>
        <w:br/>
        <w:br/>
        <w:t>2.11), un grupo de bacteriocinas modificadas postraduccionalmente caracterizadas por</w:t>
        <w:br/>
        <w:br/>
        <w:t>la presencia de enlaces entre el azufre de las cisteínas y el carbono alfa de otros residuos</w:t>
        <w:br/>
        <w:t>(Grove et al., 2017). Además, el aislado E. faecalis A1 y E. casseliflavus R95 portan genes</w:t>
        <w:br/>
        <w:br/>
        <w:t>que codifican un lantipéptido (Figura 2.11C), otra bacteriocina modificada mediante</w:t>
        <w:br/>
        <w:t>enlaces tioéter postraduccionales (Repka et al., 2017). Por otro lado, los sobrenadantes</w:t>
        <w:br/>
        <w:br/>
        <w:t>de cultivos de L. salivarius mostraron una actividad muy significativa y específica frente</w:t>
        <w:br/>
        <w:t>a P. multocida (Figura 2.12), que albergan una cantidad considerable de genes que</w:t>
        <w:br/>
        <w:br/>
        <w:t>codifican  bacteriolisinas,  unas  bacteriocinas  de  clase   III  que  hidrolizan  los</w:t>
        <w:br/>
        <w:t>peptidoglicanos de la pared celular (Cotter et al., 2005). Por último, un aislado de P.</w:t>
        <w:br/>
        <w:br/>
        <w:t>acidilactici (R91) mostró un halo claro de inhibición contra L. monocytogenes (Figura</w:t>
        <w:br/>
        <w:t>2.13A). Este aislado es el único que mostró actividad frente a este patógeno y el único</w:t>
        <w:br/>
        <w:br/>
        <w:t>que posee un grupo de genes asociado con la producción de pediocina (Fig. 2.13B), que</w:t>
        <w:br/>
        <w:br/>
        <w:t>muestra una actividad muy conocida por ser anti-listerial.</w:t>
        <w:br/>
        <w:br/>
        <w:br/>
        <w:br/>
        <w:br/>
        <w:br/>
        <w:t>Figura  2.11.  E.  faecalis  inhibe  E.  coli  y  produce  potencialmente  bacteriocinas  modificadas</w:t>
        <w:br/>
        <w:t>postraduccionalmente. (A) Reducción logarítmica de las ufc/ml de E. coli cuando se cocultiva con las BAL</w:t>
        <w:br/>
        <w:br/>
        <w:t xml:space="preserve"> 164  MARÍA BRAVO SANTILLANA</w:t>
        <w:br/>
      </w:r>
    </w:p>
    <w:p>
      <w:r>
        <w:t>Página 165:</w:t>
        <w:br/>
        <w:t xml:space="preserve">                                       LAB | Capítulo II</w:t>
        <w:br/>
        <w:br/>
        <w:t>tras 24 h de incubación. La reducción logarítmica se calculó utilizando al menos 3 réplicas biológicas con</w:t>
        <w:br/>
        <w:t>respecto al monocultivo de E. coli. (B) Agar selectivo para enterobacterias (VRBG) que contiene el</w:t>
        <w:br/>
        <w:t>monocultivo de E. coli y un cocultivo con E. faecalis A1. (C) Clústeres de genes implicados en la biosíntesis</w:t>
        <w:br/>
        <w:t>de sactipéptidos y lantipéptidos, dos bacteriocinas modificadas postraduccionalmente que se encuentran</w:t>
        <w:br/>
        <w:t>en los aislados de E. faecalis A1 y R8 y E. casseliflavus R95. La nomenclatura para los grupos de</w:t>
        <w:br/>
        <w:t>bacteriocina sigue recomendaciones específicas (Diep et al., 2009; O’Shea et al., 2011) y representa: las</w:t>
        <w:br/>
        <w:t>bacteriocinas precursoras (verde), las enzimas de modificación postraduccional (azul), las proteínas de</w:t>
        <w:br/>
        <w:t>transporte / inmunidad (rojo) y otras proteínas hipotéticas (gris).</w:t>
        <w:br/>
        <w:br/>
        <w:br/>
        <w:br/>
        <w:br/>
        <w:br/>
        <w:t>Figura 2.12. L. salivarius muestra actividad extracelular contra Pasteurella multocida y potencialmente</w:t>
        <w:br/>
        <w:t>secreta múltiples bacteriolisinas y bacteriocinas de clase II (A) Unidades Arbitrarias por mililitro (UA/mL)</w:t>
        <w:br/>
        <w:t>de los sobrenadantes obtenidos de los aislados frente a P. multocida serotipo B después de una</w:t>
        <w:br/>
        <w:t>incubación durante 24 h a 37 ºC. La UA / mL se define como el recíproco de la mayor dilución que muestra</w:t>
        <w:br/>
        <w:t>una clara inhibición del crecimiento del patógeno. (B) P. multocida en un ensayo de microdilución usando</w:t>
        <w:br/>
        <w:t>caldo Mueller Hinton. Inhibición del crecimiento después de la exposición con el sobrenadante de un</w:t>
        <w:br/>
        <w:t>cultivo de L. salivarius C2 (derecha) con respecto al control (izquierda).</w:t>
        <w:br/>
        <w:br/>
        <w:br/>
        <w:br/>
        <w:br/>
        <w:br/>
        <w:t xml:space="preserve">                                           MARÍA BRAVO SANTILLANA  165</w:t>
        <w:br/>
      </w:r>
    </w:p>
    <w:p>
      <w:r>
        <w:t>Página 166:</w:t>
        <w:br/>
        <w:t>LAB | Capítulo II</w:t>
        <w:br/>
        <w:br/>
        <w:br/>
        <w:br/>
        <w:br/>
        <w:br/>
        <w:t>Figura 2.13. P. acidilactici R91 muestra una clara actividad anti-listerial y potencialmente bacteriocinas de</w:t>
        <w:br/>
        <w:t>un solo péptido sin modificar compatible con pediocina. (A) Prueba de la gota o «spot-on-agar» de los</w:t>
        <w:br/>
        <w:t>cultivos de las BAL frente a Listeria monocytogenes. Los controles se muestran en la fila inferior: L.</w:t>
        <w:br/>
        <w:t>plantarum WCFS-1 (pH +, acidulante), P. acidilactici PA1.0 (productor de pediocina, Ped), Lactococcus</w:t>
        <w:br/>
        <w:t>lactis NZ9700 (productor de nisina, Nis) y Lactococcus lactis NZ9800 (control negativo, pH-). (B) Grupo de</w:t>
        <w:br/>
        <w:t>genes implicados en  la  síntesis hipotética de Pediocin PA-1 en Pediococcus  acidilactici R91. La</w:t>
        <w:br/>
        <w:t>nomenclatura es la misma que la citada anteriormente: las bacteriocinas precursoras (verde) y las</w:t>
        <w:br/>
        <w:t>proteínas de transporte / inmunidad (rojo).</w:t>
        <w:br/>
        <w:br/>
        <w:br/>
        <w:br/>
        <w:br/>
        <w:br/>
        <w:t xml:space="preserve"> 166  MARÍA BRAVO SANTILLANA</w:t>
        <w:br/>
      </w:r>
    </w:p>
    <w:p>
      <w:r>
        <w:t>Página 167:</w:t>
        <w:br/>
        <w:t xml:space="preserve">                                       LAB | Capítulo II</w:t>
        <w:br/>
        <w:br/>
        <w:t>Algunas bacterias ácido-lácticas interactúan con los fagocitos y activan respuestas</w:t>
        <w:br/>
        <w:br/>
        <w:t>inmunitarias innatas</w:t>
        <w:br/>
        <w:br/>
        <w:br/>
        <w:t>El perfil fagocítico de los aislados se determinó mediante FACS utilizando sangre porcina</w:t>
        <w:br/>
        <w:t>y bacterias marcadas con PKH2. A excepción de L. salivarius C12, todos los lactobacilos</w:t>
        <w:br/>
        <w:br/>
        <w:t>interactuaron con los fagocitos, entre los cuales los monocitos respondieron mucho más</w:t>
        <w:br/>
        <w:br/>
        <w:t>que los neutrófilos, salvo en el único aislado de L. paracasei que también interactuó con</w:t>
        <w:br/>
        <w:t>los neutrófilos (Figura 2.14). Ninguno de los aislados de Pediococcus o Enterococcus</w:t>
        <w:br/>
        <w:br/>
        <w:t>mostró ninguna interacción significativa con los fagocitos. El perfil fagocítico de los</w:t>
        <w:br/>
        <w:t>lactobacilos se correlacionó positivamente con su capacidad para activar respuestas</w:t>
        <w:br/>
        <w:br/>
        <w:t>inmunitarias innatas protectoras en los macrófagos. Todos los lactobacilos indujeron la</w:t>
        <w:br/>
        <w:t>activación de NF-kB o IFN-I de forma diferente en función de la especie (Figura 2.15).</w:t>
        <w:br/>
        <w:br/>
        <w:t>Tanto L. plantarum como L. paracasei desencadenan una activación de IFN-I muy</w:t>
        <w:br/>
        <w:t>significativa, mientras que L. salivarius induce de forma muy potente la activación de</w:t>
        <w:br/>
        <w:br/>
        <w:t>NF-κB. El aislado de P. acidilactici C5 también activó una respuesta NF-κB significativa.</w:t>
        <w:br/>
        <w:t>El resto de los aislamientos, principalmente enterococcos, no activó ninguna de las vías</w:t>
        <w:br/>
        <w:br/>
        <w:t>de señalización.</w:t>
        <w:br/>
        <w:br/>
        <w:br/>
        <w:t>Se identificaron en los genomas marcadores asociados con respuestas inmunitarias</w:t>
        <w:br/>
        <w:br/>
        <w:t>innatas. Se encontraron genes que codifican proteínas implicadas en mecanismos de</w:t>
        <w:br/>
        <w:t>evasión, como polisacáridos capsulares (cap8A, capa, ywqC) en todos los aislados;</w:t>
        <w:br/>
        <w:br/>
        <w:t>adhesión, las adhesinas (cna y sraP) en L. plantarum y enterococos; y colonización, los</w:t>
        <w:br/>
        <w:t>factores de virulencia anteriormente descritos para enterococos (Figura 2.14D). Por otro</w:t>
        <w:br/>
        <w:br/>
        <w:t>lado, mediante las anotaciones del genoma detectamos otro tipo de ligandos que se</w:t>
        <w:br/>
        <w:t>asocian con la activación de los receptores de reconocimiento de patrones (PRR), como</w:t>
        <w:br/>
        <w:br/>
        <w:t>los TLR y los receptores tipo NOD (Figura 2.15D). Las moléculas encontradas en los 11</w:t>
        <w:br/>
        <w:br/>
        <w:t>aislados incluyen precursores fimbriales (ebpA, ebpB, ebpC, fimA y comC) de forma</w:t>
        <w:br/>
        <w:t>predominante en enterococos; componentes de la pared celular en todos los aislados</w:t>
        <w:br/>
        <w:br/>
        <w:t>como LTA (lta, ltaS1_2, ltaS1_3), WTA (tagGH, D-Ala) y lipoproteínas de membrana</w:t>
        <w:br/>
        <w:t>(TmpC, lolD); compuestos solubles en L. salivarius y L. paracasei (lactocepina PrtP) y</w:t>
        <w:br/>
        <w:br/>
        <w:t>proteínas ricas en serina-treonina (STp) en los pediococos; y agonistas de receptores</w:t>
        <w:br/>
        <w:t>TLR2 en L. plantarum (EPS) y L. paracasei (lipoproteína de membrana, lolD).</w:t>
        <w:br/>
        <w:br/>
        <w:t xml:space="preserve">                                           MARÍA BRAVO SANTILLANA  167</w:t>
        <w:br/>
      </w:r>
    </w:p>
    <w:p>
      <w:r>
        <w:t>Página 168:</w:t>
        <w:br/>
        <w:t>LAB | Capítulo II</w:t>
        <w:br/>
        <w:br/>
        <w:br/>
        <w:br/>
        <w:br/>
        <w:br/>
        <w:t>Figura 2.14. Los lactobacilos interactúan con los fagocitos porcinos y portan moléculas asociadas con la adhesión celular. La respuesta de PMN (A) y monocitos</w:t>
        <w:br/>
        <w:t>(B) a las BAL se cuantificó utilizando bacterias marcadas con PKH2 y se expresa como log2 de la intensidad de fluorescencia media (MFI). (C) El perfil fagocítico</w:t>
        <w:br/>
        <w:t>de la mayoría de los aislados de lactobacilos son predominantemente monocíticos, pero L. paracasei también interactúa con los PMN. Los enterococos y los</w:t>
        <w:br/>
        <w:t>pediococos apenas muestran con los fagocitos. (D) Los aislados de LAB portan genes que se asocian con la evasión, la adhesión y / o la colonización.</w:t>
        <w:br/>
        <w:br/>
        <w:t xml:space="preserve">   168   MARÍA BRAVO SANTILLANA</w:t>
        <w:br/>
      </w:r>
    </w:p>
    <w:p>
      <w:r>
        <w:t>Página 169:</w:t>
        <w:br/>
        <w:t xml:space="preserve">                                                                        LAB | Capítulo II</w:t>
        <w:br/>
        <w:br/>
        <w:br/>
        <w:br/>
        <w:br/>
        <w:br/>
        <w:t>Figura 2.15. Los lactobacilos activan respuestas inmunitarias innatas protectoras en macrófagos y poseen moléculas asociadas con la activación de TLR. La activación de las</w:t>
        <w:br/>
        <w:t>rutas NF-kB (A) e IFN-I (B) se cuantificó en macrófagos THP-1 diferenciados con PMA expuestos a las BAL. La activación de NF-κB / IRF se presenta con respecto al control y</w:t>
        <w:br/>
        <w:t>los datos representan al menos 3 réplicas biológicas. (C) Los aislados se distribuyen de manera diferente según su capacidad para activar las vías NF-κB / IFN-I. Las especies L.</w:t>
        <w:br/>
        <w:t>plantarum y L. paracasei desencadenan respuestas significativas de IRF, mientras que las cepas de L. salivarius inducen la activación de NF-κB. (D) Los aislados poseen genes</w:t>
        <w:br/>
        <w:t>asociados con receptores de reconocimiento de patrones (PRR), como TLR y NOD, que incluyen fimbria / pili, componentes de la pared celular y agonistas de TLR2.</w:t>
        <w:br/>
        <w:br/>
        <w:br/>
        <w:t xml:space="preserve">                                                                                       MARÍA BRAVO SANTILLANA   169</w:t>
        <w:br/>
      </w:r>
    </w:p>
    <w:p>
      <w:r>
        <w:t>Página 170:</w:t>
        <w:br/>
        <w:t>LAB | Capítulo II</w:t>
        <w:br/>
        <w:br/>
        <w:t>DISCUSIÓN</w:t>
        <w:br/>
        <w:br/>
        <w:br/>
        <w:t>En el capítulo anterior, se describió el aislamiento de varias especies de BAL que</w:t>
        <w:br/>
        <w:br/>
        <w:t>potencialmente podrían tener propiedades como probióticos, especialmente aquellas</w:t>
        <w:br/>
        <w:t>que fueron aisladas de jabalíes con una situación epidemiológica particular. Estos</w:t>
        <w:br/>
        <w:br/>
        <w:t>animales parecen ser naturalmente resistentes a  la tuberculosis, puesto que  la</w:t>
        <w:br/>
        <w:t>prevalencia de la enfermedad es nula pese a que su hábitat está localizado en varias</w:t>
        <w:br/>
        <w:br/>
        <w:t>zonas, geográficamente dispersas, de alto riesgo para esta enfermedad y las fincas en</w:t>
        <w:br/>
        <w:br/>
        <w:t>las que habitan están rodeadas de zonas con altas prevalencias. Además, dado que estos</w:t>
        <w:br/>
        <w:t>animales viven en condiciones de libertad y tienen menos influencia humana, gozan de</w:t>
        <w:br/>
        <w:br/>
        <w:t>una microbiota que podría disponer de importantes propiedades que deben ser</w:t>
        <w:br/>
        <w:t>estudiadas y analizadas en profundidad, y cuyas características únicas deben ser</w:t>
        <w:br/>
        <w:br/>
        <w:t>explotadas para  lograr una mejora en  la sanidad de animales que estén más</w:t>
        <w:br/>
        <w:t>condicionados a padecer enfermedades.</w:t>
        <w:br/>
        <w:br/>
        <w:br/>
        <w:t>Por ello, se decidió realizar una caracterización probiótica exhaustiva de las 11 BAL</w:t>
        <w:br/>
        <w:br/>
        <w:t>aisladas de la microbiota digestiva del jabalí. La caracterización se realizó en tres</w:t>
        <w:br/>
        <w:t>términos que son fundamentales para este propósito: en primer lugar, se realizaron</w:t>
        <w:br/>
        <w:br/>
        <w:t>varios análisis para evaluar la seguridad de los aislados para su posible utilización en</w:t>
        <w:br/>
        <w:br/>
        <w:t>animales; en segundo lugar, se analizaron sus propiedades antimicrobianas frente a</w:t>
        <w:br/>
        <w:t>patógenos de suidos en general y el jabalí en particular y; por último, se estudió su</w:t>
        <w:br/>
        <w:br/>
        <w:t>capacidad de interacción con las células del sistema inmunitario en un modelo de sangre</w:t>
        <w:br/>
        <w:t>porcina. Todos los fenotipos mostrados por las BAL trataron de ser corroborados por su</w:t>
        <w:br/>
        <w:br/>
        <w:t>genotipo mediante análisis bioinformáticos.</w:t>
        <w:br/>
        <w:br/>
        <w:br/>
        <w:t>La mayoría de las especies de lactobacilos y pediococos, comúnmente utilizados en</w:t>
        <w:br/>
        <w:t>productos probióticos, reciben el estado de presunción cualificada de seguridad (QPS),</w:t>
        <w:br/>
        <w:br/>
        <w:t>ya que, en principio, no entrañan ningún tipo de riesgo para su utilización en alimentos</w:t>
        <w:br/>
        <w:br/>
        <w:t>y piensos (EFSA Panel on  Biological Hazards (BIOHAZ), 2021).  Sin embargo, es</w:t>
        <w:br/>
        <w:t>recomendable realizar una evaluación completa para garantizar su seguridad, en</w:t>
        <w:br/>
        <w:br/>
        <w:t>particular cuando se sospecha que puedan poseer  resistencias antimicrobianas</w:t>
        <w:br/>
        <w:br/>
        <w:t xml:space="preserve"> 170  MARÍA BRAVO SANTILLANA</w:t>
        <w:br/>
      </w:r>
    </w:p>
    <w:p>
      <w:r>
        <w:t>Página 171:</w:t>
        <w:br/>
        <w:t xml:space="preserve">                                       LAB | Capítulo II</w:t>
        <w:br/>
        <w:br/>
        <w:t>adquiridas que puedan ser transferibles, especialmente cuando vienen codificadas en</w:t>
        <w:br/>
        <w:br/>
        <w:t>su genoma (REGLAMENTO (CE) No 429/2008 DE LA COMISIÓN de 25 de Abril de 2008</w:t>
        <w:br/>
        <w:t>Obre Normas de Desarrollo Para La Aplicación Del Reglamento (CE) No 1831/2003 Del</w:t>
        <w:br/>
        <w:br/>
        <w:t>Parlamento Europeo y Del Consejo Por Lo Que Se Refiere a La Preparación y</w:t>
        <w:br/>
        <w:t>Presentación de Solicitudes y a La Evaluación y Autorización de Aditivos Para Piensos,</w:t>
        <w:br/>
        <w:br/>
        <w:t>2008; EFSA Panel on Additives and Products or Substances used in Animal Feed</w:t>
        <w:br/>
        <w:br/>
        <w:t>(FEEDAP), 2012). Los lactobacilos y pediococos aislados en este estudio no portan</w:t>
        <w:br/>
        <w:t>factores de virulencia y fueron susceptibles a la mayoría de los antibióticos probados,</w:t>
        <w:br/>
        <w:br/>
        <w:t>que son los recomendados por la EFSA para este propósito; aunque con algunas</w:t>
        <w:br/>
        <w:t>excepciones. La resistencia intrínseca encontrada en los aislados de lactobacilos y</w:t>
        <w:br/>
        <w:br/>
        <w:t>pediococos a la vancomicina es bien conocida (Campedelli et al., 2019; Goldstein et al.,</w:t>
        <w:br/>
        <w:t>2015; Nelson, 1999) y, de hecho, no se requiere la evaluación de este antimicrobiano</w:t>
        <w:br/>
        <w:br/>
        <w:t>para los grupos de bacterias mencionados (EFSA Panel on Additives and Products or</w:t>
        <w:br/>
        <w:t>Substances used  in Animal Feed (FEEDAP), 2012). Se encontró cierta tolerancia</w:t>
        <w:br/>
        <w:br/>
        <w:t>fenotípica a los aminoglucósidos, siendo algunas de las cepas resistentes, según los</w:t>
        <w:br/>
        <w:t>estándares FEEDAP, lo que también ha sido descrito previamente (Jaimee y Halami,</w:t>
        <w:br/>
        <w:br/>
        <w:t>2016; Klose et al., 2014; Singla et al., 2018). Aunque se observó resistencia fenotípica a</w:t>
        <w:br/>
        <w:br/>
        <w:t>la tetraciclina en tres lactobacilos en este estudio, solo  L. salivarius C2 porta el</w:t>
        <w:br/>
        <w:t>determinante genotípico que codifica para la bomba de expulsión activa tet(L) y la</w:t>
        <w:br/>
        <w:br/>
        <w:t>proteína de protección ribosomal tet(M), que son los marcadores de resistencia</w:t>
        <w:br/>
        <w:t>adquirida más extendidos en los lactobacilos (Campedelli et al., 2019; Klose et al., 2014).</w:t>
        <w:br/>
        <w:br/>
        <w:t>Este aislado no cumple los criterios para el estado QPS y, por lo tanto, no puede ser</w:t>
        <w:br/>
        <w:t>considerada como aditivo alimentario debido al riesgo de transferencia horizontal de</w:t>
        <w:br/>
        <w:br/>
        <w:t>estos genes, que han sido asociados a plásmidos previamente (EFSA Panel on Additives</w:t>
        <w:br/>
        <w:t>and Products or Substances used in Animal Feed (FEEDAP), 2012; Jacobsen et al., 2007).</w:t>
        <w:br/>
        <w:br/>
        <w:t>El resto de las cepas que presentan una resistencia inherente sin el determinante</w:t>
        <w:br/>
        <w:br/>
        <w:t>genético son consideradas aceptables por la FEEDAP. De hecho, los niveles de tolerancia</w:t>
        <w:br/>
        <w:t>a los antibióticos encontrados en la última década en lactobacilos llevaron a la propuesta</w:t>
        <w:br/>
        <w:br/>
        <w:t>de reconsiderar los valores de corte recomendados por la EFSA (Campedelli et al., 2019).</w:t>
        <w:br/>
        <w:br/>
        <w:br/>
        <w:t>Por el contrario, aunque algunos enterococos se utilizan como aditivos alimentarios, el</w:t>
        <w:br/>
        <w:t>género no ha obtenido el estado QPS debido al potencial de algunas especies de</w:t>
        <w:br/>
        <w:br/>
        <w:t xml:space="preserve">                                           MARÍA BRAVO SANTILLANA  171</w:t>
        <w:br/>
      </w:r>
    </w:p>
    <w:p>
      <w:r>
        <w:t>Página 172:</w:t>
        <w:br/>
        <w:t>LAB | Capítulo II</w:t>
        <w:br/>
        <w:br/>
        <w:t>transferencia de resistencia y patogenicidad (Hanchi et al., 2018). De hecho, se encontró</w:t>
        <w:br/>
        <w:br/>
        <w:t>un perfil de resistencias antimicrobianas y factores de virulencia completamente</w:t>
        <w:br/>
        <w:t>diferente en este grupo de BAL y prácticamente todas las resistencias fenotípicas</w:t>
        <w:br/>
        <w:br/>
        <w:t>detectadas se  correlacionan con  el  genotipo. Ambos  E.  faecalis portan genes</w:t>
        <w:br/>
        <w:t>intransferibles, localizados en el cromosoma, que confieren resistencia a trimetoprim</w:t>
        <w:br/>
        <w:br/>
        <w:t>(dihidrofolato reductasa, dfrE) (Coque et al., 1999) y eritromicina (bomba de expulsión</w:t>
        <w:br/>
        <w:br/>
        <w:t>activa de múltiples fármacos, lsa (A)) (Dina et al., 2003). Los dos aislados de E. faecalis</w:t>
        <w:br/>
        <w:t>también mostraron  resistencia a  la  tetraciclina, pero solo  la cepa A1 porta  el</w:t>
        <w:br/>
        <w:br/>
        <w:t>determinante tet(M), que presenta un gran riesgo de transferencia horizontal como se</w:t>
        <w:br/>
        <w:t>ha indicado anteriormente (Jacobsen et al., 2007; Jamet et al., 2012). E. casseliflavus</w:t>
        <w:br/>
        <w:br/>
        <w:t>forma parte del grupo de enterococos con resistencia intrínseca a la vancomicina y</w:t>
        <w:br/>
        <w:t>además alberga varios determinantes de esta resistencia (Cetinkaya et  al., 2000;</w:t>
        <w:br/>
        <w:br/>
        <w:t>Lebreton et al., 2014). Estos aislamientos mostraron fenotipos y genotipos similares a</w:t>
        <w:br/>
        <w:t>estudios previos en jabalíes (Klose et al., 2014; Poeta et al., 2007). Además, los genomas</w:t>
        <w:br/>
        <w:br/>
        <w:t>de los dos aislados de E. faecalis revelaron la presencia de varios genes de virulencia,</w:t>
        <w:br/>
        <w:t>incluidas proteasas, gelatinasas, hialuronidasas, citolisinas, sustancias de agregación,</w:t>
        <w:br/>
        <w:br/>
        <w:t>proteínas de superficie y asociadas a biopelículas, que han sido ampliamente descritos</w:t>
        <w:br/>
        <w:br/>
        <w:t>en estudios previos (Ch’ng et al., 2019; Fisher y Phillips, 2009; Gomes et al., 2008; Martin</w:t>
        <w:br/>
        <w:t>et al., 2006), así como reguladores de virulencia que parecen jugar un papel importante</w:t>
        <w:br/>
        <w:br/>
        <w:t>en la patogénesis (Ali et al., 2017; Ch’ng et al., 2019; Gomes et al., 2008).</w:t>
        <w:br/>
        <w:br/>
        <w:br/>
        <w:t>Para completar  la evaluación de seguridad de  los aislados de BAL,  los árboles</w:t>
        <w:br/>
        <w:t>filogenéticos proporcionaron una descripción general de las relaciones evolutivas entre</w:t>
        <w:br/>
        <w:br/>
        <w:t>nuestras cepas y otros aislados estrechamente relacionados de diversos orígenes</w:t>
        <w:br/>
        <w:t>(Baker, 2020). La evolución ecológica de las diferentes especies de BAL nos ayuda a</w:t>
        <w:br/>
        <w:br/>
        <w:t>comprender su origen y ha recibido una atención creciente en los últimos años (Duar et</w:t>
        <w:br/>
        <w:br/>
        <w:t>al., 2017; Zheng et al., 2015). Utilizando los términos propuestos previamente por</w:t>
        <w:br/>
        <w:t>algunos autores (Martino et al., 2016), se ha considerado que las especies L. plantarum</w:t>
        <w:br/>
        <w:br/>
        <w:t>y L. paracasei han evolucionado desde tener un comportamiento de «vida libre»</w:t>
        <w:br/>
        <w:t>asociado fundamentalmente al medio ambiente y a las plantas, a considerarse dos</w:t>
        <w:br/>
        <w:br/>
        <w:t>especies «nómadas», que pueden ser encontradas en diversos nichos ecológicos (Duar</w:t>
        <w:br/>
        <w:t>et  al., 2017; Martino et  al., 2016). Nuestros aislados de jabalí están relacionados</w:t>
        <w:br/>
        <w:br/>
        <w:t xml:space="preserve"> 172  MARÍA BRAVO SANTILLANA</w:t>
        <w:br/>
      </w:r>
    </w:p>
    <w:p>
      <w:r>
        <w:t>Página 173:</w:t>
        <w:br/>
        <w:t xml:space="preserve">                                       LAB | Capítulo II</w:t>
        <w:br/>
        <w:br/>
        <w:t>principalmente con alimentos fermentados y productos lácteos, respectivamente. Por</w:t>
        <w:br/>
        <w:br/>
        <w:t>el contrario, L. salivarius es una especie que está mejor adaptada a sus hospedadores</w:t>
        <w:br/>
        <w:t>vertebrados (Duar et  al., 2017) y esto se evidencia en nuestras cepas, que están</w:t>
        <w:br/>
        <w:br/>
        <w:t>relacionadas con aislamientos de animales sanos. En cualquier caso, nuestros aislados</w:t>
        <w:br/>
        <w:t>de lactobacilos están estrechamente relacionados con otras cepas ampliamente</w:t>
        <w:br/>
        <w:br/>
        <w:t>utilizadas como probióticos de diferentes fuentes (Ai et al., 2011; Choi y Chang, 2015;</w:t>
        <w:br/>
        <w:br/>
        <w:t>Liu et al., 2016; Zhang et al., 2019). Nuestros dos aislados de pediococcus se encuentran</w:t>
        <w:br/>
        <w:t>en dos grupos diferentes en el árbol filogenético, lo que sugiere diferentes orígenes</w:t>
        <w:br/>
        <w:br/>
        <w:t>evolutivos para ellos. Ambos aislamientos están relacionados con cepas alimentarias,</w:t>
        <w:br/>
        <w:t>sin embargo, C5 muestra la mayor similitud con P. acidilactici de la American Type</w:t>
        <w:br/>
        <w:br/>
        <w:t>Culture Collection ATCC® 8042 ™, cuyas propiedades como probióticos se han descrito</w:t>
        <w:br/>
        <w:t>ampliamente (Cho et al., 2019; Halim et al., 2017; Sandoval-Mosqueda et al., 2019); y P.</w:t>
        <w:br/>
        <w:br/>
        <w:t>acidilactici R91 se encuentra en el mismo grupo que las cepas de ganadería, pero</w:t>
        <w:br/>
        <w:t>ninguna de ellas está relacionada con procesos patológicos. Por el contrario, aunque los</w:t>
        <w:br/>
        <w:br/>
        <w:t>enterococos también tienen diferentes orígenes en la naturaleza, incluidos el tracto</w:t>
        <w:br/>
        <w:t>intestinal humano y animal, el medio ambiente y los alimentos, algunas especies</w:t>
        <w:br/>
        <w:br/>
        <w:t>aisladas de casos clínicos tienen potencial para causar infecciones (Akter et al., 2020;</w:t>
        <w:br/>
        <w:br/>
        <w:t>Hanchi et al., 2018). De hecho, los aislados de enterococos A1 y R8 están muy cerca de</w:t>
        <w:br/>
        <w:t>varias cepas patógenas aisladas de humanos y animales (Akter et al., 2020). Tanto E.</w:t>
        <w:br/>
        <w:br/>
        <w:t>faecalis A1 como R8 son similares entre ellos y, curiosamente, están muy próximos</w:t>
        <w:br/>
        <w:t>filogenéticamente a la cepa CVM N48037F de E. faecalis aislada de un jabalí.</w:t>
        <w:br/>
        <w:br/>
        <w:br/>
        <w:t>En  virtud de todo  lo  anterior, podemos afirmar que, prácticamente todos  los</w:t>
        <w:br/>
        <w:br/>
        <w:t>lactobacilos y pediococos se consideran seguros para su uso como probióticos, en</w:t>
        <w:br/>
        <w:t>contraste con los enterococos que pueden representar un riesgo potencial para la salud</w:t>
        <w:br/>
        <w:br/>
        <w:t>humana o animal. Además, dado el origen de las muestras, que fue descrito en el</w:t>
        <w:br/>
        <w:br/>
        <w:t>capítulo I de esta tesis doctoral, parece que las cepas que son inocuas están relacionadas</w:t>
        <w:br/>
        <w:t>con un mejor estado de salud en los animales de las fincas de estudio y los enterococos,</w:t>
        <w:br/>
        <w:br/>
        <w:t>relacionados con patógenos, se aislaron de animales adaptados a vivir en un ambiente</w:t>
        <w:br/>
        <w:t>más  hostil. Esto nos  lleva a pensar que, con una simple toma de muestras y</w:t>
        <w:br/>
        <w:br/>
        <w:t>procesamiento microbiológico básico podría ser posible predecir y monitorear el estado</w:t>
        <w:br/>
        <w:t>de salud y el medio ambiente de los animales, examinando su perfil de BAL comensales</w:t>
        <w:br/>
        <w:br/>
        <w:t xml:space="preserve">                                           MARÍA BRAVO SANTILLANA  173</w:t>
        <w:br/>
      </w:r>
    </w:p>
    <w:p>
      <w:r>
        <w:t>Página 174:</w:t>
        <w:br/>
        <w:t>LAB | Capítulo II</w:t>
        <w:br/>
        <w:br/>
        <w:t>más abundante. No obstante, sería necesario confirmar esta cuestión con pruebas de</w:t>
        <w:br/>
        <w:br/>
        <w:t>campo e implementar este proceso de selección monitorizando otros parámetros,</w:t>
        <w:br/>
        <w:t>incluida la presencia de patógenos bacterianos y virales, para establecer buenos</w:t>
        <w:br/>
        <w:br/>
        <w:t>indicadores de salud. Además, en un estudio más avanzado con secuenciación completa</w:t>
        <w:br/>
        <w:t>del genoma y procesamiento bioinformático, se podrían determinar sus marcadores</w:t>
        <w:br/>
        <w:br/>
        <w:t>genómicos y sus relaciones filogenéticas para poder obtener más información sobre el</w:t>
        <w:br/>
        <w:br/>
        <w:t>origen de los aislados, lo que pone de manifiesto la importancia de la bioinformática</w:t>
        <w:br/>
        <w:t>para el manejo de poblaciones de fauna salvaje y medio ambiente, un campo totalmente</w:t>
        <w:br/>
        <w:br/>
        <w:t>inexplorado hasta la fecha.</w:t>
        <w:br/>
        <w:br/>
        <w:br/>
        <w:t>El primer cribado antimicrobiano de los aislados se realizó enfrentando las BAL a las</w:t>
        <w:br/>
        <w:t>bacterias M. smegmatis y M. luteus, lo que permitió realizar una selección de cepas con</w:t>
        <w:br/>
        <w:br/>
        <w:t>potencial actividad antibacteriana. M. smegmatis ha demostrado su utilidad como</w:t>
        <w:br/>
        <w:t>indicador para la detección del efecto antimicobacteriano, como se demostró en el</w:t>
        <w:br/>
        <w:br/>
        <w:t>capítulo I y en otro estudio (Stedman et al., 2020), y M. luteus es útil para detectar</w:t>
        <w:br/>
        <w:t>posibles BAL productoras de bacteriocinas, ya que es susceptible a la mayoría de los</w:t>
        <w:br/>
        <w:br/>
        <w:t>péptidos modificados postraduccionalmente (Stedman et  al., 2020). Con el fin de</w:t>
        <w:br/>
        <w:br/>
        <w:t>determinar el potencial de las BAL como probióticos para el control de enfermedades</w:t>
        <w:br/>
        <w:t>infecciosas en fauna salvaje, se seleccionaron tres patógenos diferentes del jabalí como</w:t>
        <w:br/>
        <w:br/>
        <w:t>indicadores de la actividad antimicrobiana.</w:t>
        <w:br/>
        <w:br/>
        <w:br/>
        <w:t>Se utilizaron dos bacterias Gram- de las cuales una cepa de E. coli patógena se seleccionó</w:t>
        <w:br/>
        <w:t>como indicador representativo de procesos digestivos infecciosos en estos animales</w:t>
        <w:br/>
        <w:br/>
        <w:t>(Navarro-Gonzalez et al., 2015) y un aislado de P. multocida serotipo B, aislado de un</w:t>
        <w:br/>
        <w:t>caso clínico en jabalí (Risco et  al., 2013), se utilizó como indicador de procesos</w:t>
        <w:br/>
        <w:br/>
        <w:t>respiratorios. Las dos cepas de E. faecalis muestran una fuerte actividad antimicrobiana</w:t>
        <w:br/>
        <w:br/>
        <w:t>frente a E. coli y ambas contienen grupos de genes implicados en la biosíntesis de</w:t>
        <w:br/>
        <w:t>sactipéptidos,  un  grupo  de  bacteriocinas  modificadas  postraduccionalmente</w:t>
        <w:br/>
        <w:br/>
        <w:t>caracterizadas por la presencia de enlaces entre el azufre de las cisteínas y el carbono</w:t>
        <w:br/>
        <w:t>alfa de otros residuos (Dunbar et al., 2017). Además, el aislado E. faecalis A1 y E.</w:t>
        <w:br/>
        <w:br/>
        <w:t>casseliflavus R95 portan genes que codifican un  lantipéptido, otra bacteriocina</w:t>
        <w:br/>
        <w:t>modificada mediante enlaces tioéter postraduccionales (Repka et  al., 2017). Las</w:t>
        <w:br/>
        <w:br/>
        <w:t xml:space="preserve"> 174  MARÍA BRAVO SANTILLANA</w:t>
        <w:br/>
      </w:r>
    </w:p>
    <w:p>
      <w:r>
        <w:t>Página 175:</w:t>
        <w:br/>
        <w:t xml:space="preserve">                                       LAB | Capítulo II</w:t>
        <w:br/>
        <w:br/>
        <w:t>bacteriocinas de los enterococos han demostrado ser activas contra un amplio espectro</w:t>
        <w:br/>
        <w:br/>
        <w:t>de bacterias Gram-, incluida la E. coli, por lo que la actividad específica de estos aislados</w:t>
        <w:br/>
        <w:t>podría deberse a la producción de estas bacteriocinas, dado que estas dos cepas tenían</w:t>
        <w:br/>
        <w:br/>
        <w:t>menos capacidad de producir otros metabolitos antimicrobianos, como se explicó en el</w:t>
        <w:br/>
        <w:t>capítulo I. En todo caso, se debe explorar la utilización potencial de los aislados de E.</w:t>
        <w:br/>
        <w:br/>
        <w:t>faecalis productores de bacteriocinas con actividad antimicrobiana probada contra E.</w:t>
        <w:br/>
        <w:br/>
        <w:t>coli como una posible opción para controlar los brotes de esta infección en animales</w:t>
        <w:br/>
        <w:t>salvajes y domésticos. Sin embargo, es importante resaltar que estas dos cepas</w:t>
        <w:br/>
        <w:br/>
        <w:t>contienen determinantes de resistencia y factores de virulencia y no pueden utilizarse</w:t>
        <w:br/>
        <w:t>en productos probióticos que contengan bacterias vivas (EFSA Panel on Biological</w:t>
        <w:br/>
        <w:br/>
        <w:t>Hazards (BIOHAZ), 2021). Una posibilidad que puede ser explorada en un futuro es la</w:t>
        <w:br/>
        <w:t>purificación de las bacteriocinas y su administración como biofármacos, una vez que se</w:t>
        <w:br/>
        <w:br/>
        <w:t>proporcionen evidencias de su actividad y se realicen los ensayos de seguridad y</w:t>
        <w:br/>
        <w:t>toxicidad que requiera la normativa.</w:t>
        <w:br/>
        <w:br/>
        <w:br/>
        <w:t>Por otro lado, se encontró una actividad extracelular considerablemente potente a</w:t>
        <w:br/>
        <w:br/>
        <w:t>partir de los sobrenadantes de los cultivos de las dos cepas de L. salivarius frente a P.</w:t>
        <w:br/>
        <w:br/>
        <w:t>multocida serotipo B. Los aislados de L. salivarius producen dos tipos de bacteriocinas,</w:t>
        <w:br/>
        <w:t>tanto de clase IId como numerosas bacteriolisinas de clase III, y diferentes tipos de</w:t>
        <w:br/>
        <w:br/>
        <w:t>metabolitos con actividad antimicrobiana como lactato, acetato, etanol, H2O2 y CO2</w:t>
        <w:br/>
        <w:t>debido al metabolismo heterofermentativo de estas especies, que ya se explicaron en</w:t>
        <w:br/>
        <w:br/>
        <w:t>el capítulo I. Además, el posible efecto sinérgico entre estos metabolitos y el pH se</w:t>
        <w:br/>
        <w:t>explicó anteriormente y será estudiado en mayor profundidad en capítulos posteriores</w:t>
        <w:br/>
        <w:br/>
        <w:t>de esta tesis doctoral. Estudios previos describieron bacteriocinas con efecto inhibidor</w:t>
        <w:br/>
        <w:t>sobre Pasteurellaceae (Bizani y Brandelli, 2002; Desriac et al., 2010; Sugita et al., 1997).</w:t>
        <w:br/>
        <w:br/>
        <w:t>Además, un estudio publicó una cepa de L. amylovorus, una especie filogenéticamente</w:t>
        <w:br/>
        <w:br/>
        <w:t>cercana a L. salivarius (Duar et al., 2017), con una fuerte actividad contra especies de la</w:t>
        <w:br/>
        <w:t>familia Pasteurellaceae que podría explicarse por la producción de enterolisina A (Amat</w:t>
        <w:br/>
        <w:br/>
        <w:t>et al., 2019), una bacteriocina de clase III que también ha sido encontrada en nuestros</w:t>
        <w:br/>
        <w:t>aislados.</w:t>
        <w:br/>
        <w:br/>
        <w:br/>
        <w:br/>
        <w:br/>
        <w:t xml:space="preserve">                                           MARÍA BRAVO SANTILLANA  175</w:t>
        <w:br/>
      </w:r>
    </w:p>
    <w:p>
      <w:r>
        <w:t>Página 176:</w:t>
        <w:br/>
        <w:t>LAB | Capítulo II</w:t>
        <w:br/>
        <w:br/>
        <w:t>Para completar el perfil antimicrobiano, se seleccionó la bacteria Gram+ Listeria</w:t>
        <w:br/>
        <w:br/>
        <w:t>monocytogenes, que puede causar septicemia y procesos reproductivos en cerdos y</w:t>
        <w:br/>
        <w:t>también ha sido aislada en jabalíes (Weindl et al., 2016; Yoshida et al., 2000). No es</w:t>
        <w:br/>
        <w:br/>
        <w:t>sorprendente que la única cepa que mostraba inhibición el aislado de P. acidilactici R91,</w:t>
        <w:br/>
        <w:t>puesto que su genoma reveló que esta bacteria tiene la capacidad de producir</w:t>
        <w:br/>
        <w:br/>
        <w:t>pediocina, una bacteriocina de clase IIa muy conocida por tener un efecto anti-listerial</w:t>
        <w:br/>
        <w:br/>
        <w:t>que se ha utilizado ampliamente como conservante de alimentos (Amado et al., 2016;</w:t>
        <w:br/>
        <w:t>Bédard et al., 2018).</w:t>
        <w:br/>
        <w:br/>
        <w:br/>
        <w:t>Es bien sabido que las BAL que forman parte de la microbiota interactúan con las células</w:t>
        <w:br/>
        <w:br/>
        <w:t>inmunitarias del hospedador y juegan un papel importante en el desarrollo de un</w:t>
        <w:br/>
        <w:t>sistema inmunitario adecuado (Hevia et  al., 2015). Sin embargo, se necesita más</w:t>
        <w:br/>
        <w:br/>
        <w:t>información acerca de las moléculas y los mecanismos involucrados en esta interacción.</w:t>
        <w:br/>
        <w:t>La última parte del estudio de caracterización probiótica de los aislados de jabalí, se</w:t>
        <w:br/>
        <w:br/>
        <w:t>centra en la determinación de sus propiedades inmunomoduladoras, para lo cual se</w:t>
        <w:br/>
        <w:t>utilizó un modelo monocítico de sangre porcina, adaptado de un estudio previo que</w:t>
        <w:br/>
        <w:br/>
        <w:t>demostró ser útil para este propósito (Stedman et al., 2020).</w:t>
        <w:br/>
        <w:br/>
        <w:br/>
        <w:t>Se encontró un perfil de activación de las dos rutas de señalización inmunitaria testadas</w:t>
        <w:br/>
        <w:br/>
        <w:t>que fue especialmente relevante en los lactobacilos y resultó ser específico de las</w:t>
        <w:br/>
        <w:t>diferentes especies bacterianas de este estudio. Mientras que los aislados de  L.</w:t>
        <w:br/>
        <w:br/>
        <w:t>salivarius mostraron una gran capacidad para inducir la activación de NF-kB, la vía del</w:t>
        <w:br/>
        <w:t>interferón IFN-I fue principalmente activada en presencia de L. plantarum y L. paracasei.</w:t>
        <w:br/>
        <w:br/>
        <w:t>Es importante, además, que  perfil fagocítico de los lactobacilos se correlacionó</w:t>
        <w:br/>
        <w:t>positivamente con  esta capacidad para  activar  respuestas  inmunitarias  innatas</w:t>
        <w:br/>
        <w:br/>
        <w:t>protectoras en los macrófagos, lo que concuerda con la importancia de que se produzca</w:t>
        <w:br/>
        <w:br/>
        <w:t>la fagocitosis bacteriana para la activación de mediadores proinflamatorios, mediante</w:t>
        <w:br/>
        <w:t>estas dos rutas mencionadas (Aderem, 2003; Kaufmann y Dorhoi, 2016). En este sentido,</w:t>
        <w:br/>
        <w:br/>
        <w:t>se encontraron en los genomas de L. plantarum y L. paracasei dos adhesinas (cna y sraP)</w:t>
        <w:br/>
        <w:t>asociadas a la internalización por los fagocitos que podrían tener un papel relevante</w:t>
        <w:br/>
        <w:br/>
        <w:t>(Foster et al., 2014). Sin embargo, no se encontraron determinantes genéticos que</w:t>
        <w:br/>
        <w:t>expliquen la internalización de los aislados de L. salivarius, aunque la ausencia de</w:t>
        <w:br/>
        <w:br/>
        <w:t xml:space="preserve"> 176  MARÍA BRAVO SANTILLANA</w:t>
        <w:br/>
      </w:r>
    </w:p>
    <w:p>
      <w:r>
        <w:t>Página 177:</w:t>
        <w:br/>
        <w:t xml:space="preserve">                                       LAB | Capítulo II</w:t>
        <w:br/>
        <w:br/>
        <w:t>moléculas asociadas a la evasión podría ser suficiente para explicar la fagocitosis en</w:t>
        <w:br/>
        <w:br/>
        <w:t>estos aislados. Los pediococos mostraron cierta resistencia a la fagocitosis y una menor</w:t>
        <w:br/>
        <w:t>activación de las  vía, lo que podría explicarse por  la presencia de un probable</w:t>
        <w:br/>
        <w:br/>
        <w:t>polisacárido capsular en su genoma (ywqC), que facilitaría la evasión del sistema</w:t>
        <w:br/>
        <w:t>inmunitario del hospedador (Mijakovic et al., 2003).</w:t>
        <w:br/>
        <w:br/>
        <w:br/>
        <w:t>Los fagocitos del sistema inmunitario del hospedador discriminan entre bacterias</w:t>
        <w:br/>
        <w:t>residentes y patógenas a través de receptores de reconocimiento de patrones (PRR),</w:t>
        <w:br/>
        <w:br/>
        <w:t>como los TLR o NLR, que reconocen ligandos microbianos conocidos como MAMP (Hevia</w:t>
        <w:br/>
        <w:t>et al., 2015; Ren et al., 2016). Los MAMP incluyen una amplia variedad de metabolitos</w:t>
        <w:br/>
        <w:br/>
        <w:t>microbianos y moléculas estructurales como EPS, lipoproteínas de membrana, ácidos</w:t>
        <w:br/>
        <w:t>lipoteicoicos y teicoicos (LTA y WTA respectivamente), pili y fimbrias, entre otros (Hevia</w:t>
        <w:br/>
        <w:br/>
        <w:t>et al., 2015; Stedman et al., 2020), que han sido encontrados en todos los aislados de</w:t>
        <w:br/>
        <w:t>este estudio. Los componentes de la pared celular se encontraron en todos los aislados</w:t>
        <w:br/>
        <w:br/>
        <w:t>como LTA (lta, ltaS1_2, ltaS1_3), WTA (tagGH, D-Ala), lipoproteínas de membrana</w:t>
        <w:br/>
        <w:t>(TmpC, lolD), además del peptidoglicano presente en todas las bacterias Gram+ (Hevia</w:t>
        <w:br/>
        <w:br/>
        <w:t>et al., 2015; Ren et al., 2016). Además, cabe destacar que dos aislados de L. plantarum</w:t>
        <w:br/>
        <w:br/>
        <w:t>poseen genes asociados a la producción de EPS, que recientemente ha sido asociado a</w:t>
        <w:br/>
        <w:t>la inmunomodulación mediada por TLR2 y TLR4 en esta especie (Barragán et al., 2020);</w:t>
        <w:br/>
        <w:br/>
        <w:t>y L. paracasei posee una lipoproteína de membrana (lolD) que también podría estar</w:t>
        <w:br/>
        <w:t>involucrada en la activación vía TLR2 (Hutchings et al., 2009). Además, en este aislado</w:t>
        <w:br/>
        <w:br/>
        <w:t>se encontró el gen que codifica para lactocepina (PrtP), una enzima que contribuye a su</w:t>
        <w:br/>
        <w:t>efecto inmunomodulador degradando citoquinas proinflamatorias (Hevia et al., 2015;</w:t>
        <w:br/>
        <w:br/>
        <w:t>Hörmannsperger et al., 2013). Las proteínas ricas en serina-treonina (STp) que han sido</w:t>
        <w:br/>
        <w:t>encontradas en los pediococos parecen estar involucradas en procesos de agregación</w:t>
        <w:br/>
        <w:br/>
        <w:t>bacteriana y en la modulación de las células dendríticas y hasta ahora solo se habían</w:t>
        <w:br/>
        <w:br/>
        <w:t>descrito en lactobacilos y bifidobacterias (Hevia et  al., 2015). Por otro lado, las</w:t>
        <w:br/>
        <w:t>bacteriocinas,  que  también  son  secretadas,  pueden  contribuir  a  los  efectos</w:t>
        <w:br/>
        <w:br/>
        <w:t>inmunomoduladores actuando sobre las células mononucleares de sangre periférica,</w:t>
        <w:br/>
        <w:t>como los monocitos, y también sobre las células dendríticas (Hegarty et al., 2016).</w:t>
        <w:br/>
        <w:br/>
        <w:br/>
        <w:br/>
        <w:br/>
        <w:t xml:space="preserve">                                           MARÍA BRAVO SANTILLANA  177</w:t>
        <w:br/>
      </w:r>
    </w:p>
    <w:p>
      <w:r>
        <w:t>Página 178:</w:t>
        <w:br/>
        <w:t>LAB | Capítulo II</w:t>
        <w:br/>
        <w:br/>
        <w:t>Los aislados que mostraron una estimulación de la ruta del interferón poseen los</w:t>
        <w:br/>
        <w:br/>
        <w:t>factores de adhesión que favorecerían la fagocitosis y la internalización necesaria para</w:t>
        <w:br/>
        <w:t>esta vía de señalización, con la subsecuente activación de sensores citosólicos o TLR</w:t>
        <w:br/>
        <w:br/>
        <w:t>endosomales, como ha sido propuesto en otros estudios previos (Kawashima et al.,</w:t>
        <w:br/>
        <w:t>2013; Negishi et al., 2012; Stedman et al., 2020), aunque se necesitaría investigar en</w:t>
        <w:br/>
        <w:br/>
        <w:t>profundidad estos mecanismos. No obstante, estos aislados podrían ser buenos</w:t>
        <w:br/>
        <w:br/>
        <w:t>candidatos para estimular la respuesta inmunitaria eficaz frente a patógenos virales,</w:t>
        <w:br/>
        <w:t>puesto que se ha comprobado que la activación de esta ruta sensibiliza las células del</w:t>
        <w:br/>
        <w:br/>
        <w:t>hospedador a la apoptosis, eliminando de esta forma el nicho del patógeno intracelular</w:t>
        <w:br/>
        <w:t>(Kawashima et al., 2013; Koyama et al., 2008). Este hecho es muy importante no solo</w:t>
        <w:br/>
        <w:br/>
        <w:t>para el control de enfermedades provocadas por virus en poblaciones animales, sino</w:t>
        <w:br/>
        <w:t>también para el desarrollo de inmunoadyuvantes de vacunas frente a infecciones por</w:t>
        <w:br/>
        <w:br/>
        <w:t>agentes virales (Lebedeva et al., 2018).</w:t>
        <w:br/>
        <w:br/>
        <w:br/>
        <w:t>Los aislados de L. salivarius, que mostraron una especificidad muy elevada tanto</w:t>
        <w:br/>
        <w:t>antimicrobiana, frente a P. multocida, como inmunomoduladora, activando respuestas</w:t>
        <w:br/>
        <w:br/>
        <w:t>proinflamatorias mediadas por TLR2 que activarían NF-kB, que es una ruta fundamental</w:t>
        <w:br/>
        <w:br/>
        <w:t>en la lucha frente a enfermedades bacterianas. Por esto, podrían ser utilizados como</w:t>
        <w:br/>
        <w:t>probióticos para el control de la pasterelosis, que es especialmente importante en</w:t>
        <w:br/>
        <w:br/>
        <w:t>animales de producción. De los dos aislados, el que realmente merecería la pena</w:t>
        <w:br/>
        <w:t>explotar sería el C12, puesto que carece de resistencias antimicrobianas genotípicas.</w:t>
        <w:br/>
        <w:br/>
        <w:t>Además, el estudio filogenético reveló que esta especie se encuentra muy adaptada a</w:t>
        <w:br/>
        <w:t>su hospedador, al contrario que las demás que han sido encontradas en orígenes muy</w:t>
        <w:br/>
        <w:br/>
        <w:t>diversos. Esto favorecería su utilización como probióticos, puesto que la colonización</w:t>
        <w:br/>
        <w:t>sería más eficiente y tendría mayor influencia sobre la fisiología del hospedador (Duar</w:t>
        <w:br/>
        <w:br/>
        <w:t>et al., 2017).</w:t>
        <w:br/>
        <w:br/>
        <w:br/>
        <w:t>Los enterococos no activaron ninguna de las dos vías estudiadas ni interaccionaron con</w:t>
        <w:br/>
        <w:br/>
        <w:t>los fagocitos, pese a poseer varios MAMP. Esto puede ser debido a los determinantes</w:t>
        <w:br/>
        <w:t>que poseen para evadir la respuesta inmunitaria y también a que el hospedador no</w:t>
        <w:br/>
        <w:br/>
        <w:t>reconozca estas bacterias como comensales sino como potencialmente patógenas,</w:t>
        <w:br/>
        <w:t>debido a los marcadores de virulencia que han sido detallados anteriormente y a que el</w:t>
        <w:br/>
        <w:br/>
        <w:t xml:space="preserve"> 178  MARÍA BRAVO SANTILLANA</w:t>
        <w:br/>
      </w:r>
    </w:p>
    <w:p>
      <w:r>
        <w:t>Página 179:</w:t>
        <w:br/>
        <w:t xml:space="preserve">                                       LAB | Capítulo II</w:t>
        <w:br/>
        <w:br/>
        <w:t>estudio filogenético reveló una gran diversidad en el origen de las cepas similares. No</w:t>
        <w:br/>
        <w:br/>
        <w:t>obstante, dado el potencial antimicrobiano de los aislados, habría que estudiar en</w:t>
        <w:br/>
        <w:t>profundidad  si  el origen de esta actividad encontrada está en  las bacteriocinas</w:t>
        <w:br/>
        <w:br/>
        <w:t>detectadas, para diseñar estrategias de purificación y producción de estas, sin necesidad</w:t>
        <w:br/>
        <w:t>de utilizar las bacterias vivas, dado su potencial para transferir genes de resistencia y</w:t>
        <w:br/>
        <w:br/>
        <w:t>causar enfermedad en los hospedadores. Algunas de estas estrategias incluyen el cultivo</w:t>
        <w:br/>
        <w:br/>
        <w:t>de fermentación de las bacterias en sus condiciones óptimas y la purificación mediante</w:t>
        <w:br/>
        <w:t>ultracentrifugación,  cromatografía,  precipitación o  mediante  la  producción  de</w:t>
        <w:br/>
        <w:br/>
        <w:t>recombinantes (Garsa et al., 2014; Van Zyl et al., 2019).</w:t>
        <w:br/>
        <w:br/>
        <w:br/>
        <w:t>Los pediococos mostraron una respuesta inmunomoduladora más limitada, pero nada</w:t>
        <w:br/>
        <w:t>desdeñable en el caso de P. acidilactici C5, que pareció activar NF-kB y también mostró</w:t>
        <w:br/>
        <w:br/>
        <w:t>algunos ligandos MAMP, aunque tuvo mucha menos influencia sobre la capacidad</w:t>
        <w:br/>
        <w:t>fagocítica No obstante, el mayor potencial lo encontramos en el aislado R91, un</w:t>
        <w:br/>
        <w:br/>
        <w:t>potencial productor de pediocina, que es una baceriocina muy importante como</w:t>
        <w:br/>
        <w:t>conservante para controlar las listeriosis alimentarias (Amado et al., 2016; Bédard et al.,</w:t>
        <w:br/>
        <w:br/>
        <w:t>2018) y cuyo uso en sanidad animal está todavía por explorar.</w:t>
        <w:br/>
        <w:br/>
        <w:br/>
        <w:t>Es muy relevante que la especificidad mostrada por las especies, tanto antimicrobiana</w:t>
        <w:br/>
        <w:br/>
        <w:t>como inmunomoduladora, nos deja una colección de aislados bacterianos que cumplen</w:t>
        <w:br/>
        <w:t>con los requisitos para ser utilizadas en fórmulas funcionales con compuestos bioactivos</w:t>
        <w:br/>
        <w:br/>
        <w:t>y que pueden explotarse para aportar soluciones a problemas sanitaros en diferentes</w:t>
        <w:br/>
        <w:t>poblaciones animales, tanto domésticas como salvajes.</w:t>
        <w:br/>
        <w:br/>
        <w:br/>
        <w:br/>
        <w:br/>
        <w:br/>
        <w:t xml:space="preserve">                                           MARÍA BRAVO SANTILLANA  179</w:t>
        <w:br/>
      </w:r>
    </w:p>
    <w:p>
      <w:r>
        <w:t>Página 181:</w:t>
        <w:br/>
        <w:t xml:space="preserve">                                       LAB | Capítulo III</w:t>
        <w:br/>
        <w:br/>
        <w:br/>
        <w:t>CAPÍTULO III: Optimización funcional del efecto antimicrobiano,</w:t>
        <w:br/>
        <w:t>determinación de la naturaleza de la actividad y estudios de</w:t>
        <w:br/>
        <w:t>sinergia con antibióticos</w:t>
        <w:br/>
        <w:br/>
        <w:br/>
        <w:br/>
        <w:br/>
        <w:br/>
        <w:t xml:space="preserve">                                          MARÍA BRAVO SANTILLANA  181</w:t>
        <w:br/>
      </w:r>
    </w:p>
    <w:p>
      <w:r>
        <w:t>Página 182:</w:t>
        <w:br/>
        <w:t>LAB | Capítulo III</w:t>
        <w:br/>
        <w:br/>
        <w:br/>
        <w:br/>
        <w:br/>
        <w:br/>
        <w:t xml:space="preserve"> 182  MARÍA BRAVO SANTILLANA</w:t>
        <w:br/>
      </w:r>
    </w:p>
    <w:p>
      <w:r>
        <w:t>Página 183:</w:t>
        <w:br/>
        <w:t xml:space="preserve">                                       LAB | Capítulo III</w:t>
        <w:br/>
        <w:br/>
        <w:t>INTRODUCCIÓN</w:t>
        <w:br/>
        <w:br/>
        <w:br/>
        <w:br/>
        <w:t>Etapas del crecimiento microbiano</w:t>
        <w:br/>
        <w:br/>
        <w:t>Las bacterias ácido-lácticas y otros microorganismos beneficiosos tienen capacidad</w:t>
        <w:br/>
        <w:br/>
        <w:t>ejercer un efecto inhibitorio para antagonizar a otros microorganismos con los que</w:t>
        <w:br/>
        <w:t>comparten  nicho  ecológico,  tanto  comensales  como  patógenos.   El  efecto</w:t>
        <w:br/>
        <w:br/>
        <w:t>antimicrobiano primario se debe a mecanismos de competencia por los nutrientes del</w:t>
        <w:br/>
        <w:t>nicho, pero también puede ser debido a la producción de sustancias inhibitorias</w:t>
        <w:br/>
        <w:br/>
        <w:t>producto de su metabolismo, lo que conlleva importantes ventajas tecnológicas (Cotter</w:t>
        <w:br/>
        <w:t>et al., 2005; Papagianni, 2012; Pessione, 2012).</w:t>
        <w:br/>
        <w:br/>
        <w:br/>
        <w:t>El crecimiento bacteriano se representa de forma gráfica mediante una curva cuyos</w:t>
        <w:br/>
        <w:t>tramos definen las diferentes fases del crecimiento en las poblaciones bacterianas. La</w:t>
        <w:br/>
        <w:br/>
        <w:t>primera fase se denomina de «latencia» y es un periodo de transición previo al inicio del</w:t>
        <w:br/>
        <w:t>crecimiento, cuando la bacteria es inoculada en el medio de cultivo. A esta fase le sigue</w:t>
        <w:br/>
        <w:br/>
        <w:t>una etapa de «crecimiento exponencial» o «fase logarítmica» en el que la velocidad de</w:t>
        <w:br/>
        <w:t>crecimiento es máxima hasta que alcanzan la «fase estacionaria», en la que cesa el</w:t>
        <w:br/>
        <w:br/>
        <w:t>crecimiento bien por agotamiento de nutrientes o por acumulación de productos</w:t>
        <w:br/>
        <w:t>tóxicos. La etapa final se conoce como «fase de muerte» porque empieza a disminuir</w:t>
        <w:br/>
        <w:br/>
        <w:t>rápidamente el número de células viables (Madigan et al., 2003). La duración de cada</w:t>
        <w:br/>
        <w:t>una de las fases depende de algunos parámetros como temperatura, tiempo, pH… y de</w:t>
        <w:br/>
        <w:br/>
        <w:t>la concentración de determinados nutrientes, y puede variar entre cepas bacterianas,</w:t>
        <w:br/>
        <w:br/>
        <w:t>incluso de la misma especie (Bárcena et al., 1998; Todorov y Dicks, 2006). Además, la</w:t>
        <w:br/>
        <w:t>producción de metabolitos es variable entre las diferentes fases, por lo que, a nivel</w:t>
        <w:br/>
        <w:br/>
        <w:t>industrial, es muy importante determinar en qué fases del crecimiento se produce la</w:t>
        <w:br/>
        <w:t>mayor parte de la actividad antimicrobiana y en qué condiciones de cultivo, de cara a</w:t>
        <w:br/>
        <w:br/>
        <w:t>optimizar la producción de moléculas antimicrobianas.</w:t>
        <w:br/>
        <w:br/>
        <w:br/>
        <w:br/>
        <w:br/>
        <w:br/>
        <w:t xml:space="preserve">                                           MARÍA BRAVO SANTILLANA  183</w:t>
        <w:br/>
      </w:r>
    </w:p>
    <w:p>
      <w:r>
        <w:t>Página 184:</w:t>
        <w:br/>
        <w:t>LAB | Capítulo III</w:t>
        <w:br/>
        <w:br/>
        <w:t>Fracciones antimicrobianas de las bacterias ácido-lácticas</w:t>
        <w:br/>
        <w:br/>
        <w:t>Los componentes antimicrobianos de las BAL pueden ser clasificados en función de su</w:t>
        <w:br/>
        <w:t>masa molecular, así, pueden ser moléculas de bajo peso molecular como los metabolitos</w:t>
        <w:br/>
        <w:br/>
        <w:t>de la fermentación liberados al medio por cualquiera de las dos vías glucolíticas</w:t>
        <w:br/>
        <w:t>principales: EMP y PKP. Las BAL homofermentativas convierten las hexosas en ácido</w:t>
        <w:br/>
        <w:br/>
        <w:t>láctico mediante la ruta EMP, mientras que las heterofermentativas además de generar</w:t>
        <w:br/>
        <w:br/>
        <w:t>ácido láctico también producen cantidades significantes de ácido acético, etanol y</w:t>
        <w:br/>
        <w:t>dióxido de carbono (CO2) mediante  la ruta PKP (Papagianni, 2012). Todas estas</w:t>
        <w:br/>
        <w:br/>
        <w:t>moléculas que se han descrito, así como otros componentes de bajo peso molecular</w:t>
        <w:br/>
        <w:t>como los metabolitos del oxígeno, por ejemplo peróxido de hidrógeno, radicales libres</w:t>
        <w:br/>
        <w:br/>
        <w:t>y anión superóxido (Vásquez et al., 2009), pueden ejercer una actividad antimicrobiana</w:t>
        <w:br/>
        <w:t>en mayor o menor medida.</w:t>
        <w:br/>
        <w:br/>
        <w:br/>
        <w:t>Por otro lado, las BAL secretan otro tipo de componentes de alto peso molecular que</w:t>
        <w:br/>
        <w:br/>
        <w:t>son principalmente moléculas de naturaleza proteica y que se conocen con el nombre</w:t>
        <w:br/>
        <w:t>de «bacteriocinas» cuando son secretadas por bacterias Gram-positivas, como el caso</w:t>
        <w:br/>
        <w:br/>
        <w:t>que nos ocupa (Alvarez-Sieiro et al., 2016; Cotter et al., 2005; Meade et al., 2020). Esta</w:t>
        <w:br/>
        <w:br/>
        <w:t>fracción proteica, que es secretada por las bacterias al medio extracelular, es la que</w:t>
        <w:br/>
        <w:t>tiene mayor interés industrial, por su estabilidad y mayores aplicaciones en sanidad</w:t>
        <w:br/>
        <w:br/>
        <w:t>animal y es uno de los mecanismos antimicrobianos naturales más antiguos que se</w:t>
        <w:br/>
        <w:t>conocen (Cotter et al., 2005). Las bacteriocinas se sintetizan en el ribosoma, pueden</w:t>
        <w:br/>
        <w:br/>
        <w:t>tener o no modificaciones postraduccionales y tienen modos de acción y espectro</w:t>
        <w:br/>
        <w:t>antimicrobiano variable entre las diferentes clases, como se vio en el capítulo anterior.</w:t>
        <w:br/>
        <w:br/>
        <w:br/>
        <w:br/>
        <w:br/>
        <w:t>Efecto sinérgico de los agentes antimicrobianos: combinación de bacteriocinas y</w:t>
        <w:br/>
        <w:br/>
        <w:t>antibióticos</w:t>
        <w:br/>
        <w:br/>
        <w:t>Las interacciones de carácter farmacodinámico de tipo funcional entre diferentes</w:t>
        <w:br/>
        <w:t>compuestos con actividad antimicrobiana se producen cuando se origina un aumento</w:t>
        <w:br/>
        <w:br/>
        <w:t>cuantitativo de la acción farmacológica por la acción simultánea de dos agentes, en este</w:t>
        <w:br/>
        <w:br/>
        <w:t xml:space="preserve"> 184  MARÍA BRAVO SANTILLANA</w:t>
        <w:br/>
      </w:r>
    </w:p>
    <w:p>
      <w:r>
        <w:t>Página 185:</w:t>
        <w:br/>
        <w:t xml:space="preserve">                                       LAB | Capítulo III</w:t>
        <w:br/>
        <w:br/>
        <w:t>caso,  antimicrobianos.  Estas  interacciones pueden  ser de  tipo  aditivas o de</w:t>
        <w:br/>
        <w:br/>
        <w:t>potenciación. Las de tipo aditivas son sumatorias y se producen cuando al efecto</w:t>
        <w:br/>
        <w:t>terapéutico de un agente se añade el efecto terapéutico de otro, y ocurre generalmente</w:t>
        <w:br/>
        <w:br/>
        <w:t>cuando ambos agentes actúan sobre el mismo receptor o tienen el mismo mecanismo</w:t>
        <w:br/>
        <w:t>de acción. Las interacciones de potenciación son las sinergias propiamente dichas, y se</w:t>
        <w:br/>
        <w:br/>
        <w:t>producen cuando el efecto combinado de ambas es mayor al efecto de estos utilizados</w:t>
        <w:br/>
        <w:br/>
        <w:t>de forma individual (Blumenthal y Garrison, 2011).</w:t>
        <w:br/>
        <w:br/>
        <w:br/>
        <w:t>Las bacteriocinas de clase I y II, como se ha visto, tienen un mecanismo de acción muy</w:t>
        <w:br/>
        <w:t>parecido, que consiste en la formación de poros en la pared celular bacteriana y la</w:t>
        <w:br/>
        <w:br/>
        <w:t>disipación de la fuerza motriz de protones, aunque existen particulares en cada clase.</w:t>
        <w:br/>
        <w:t>Las bacteriolisinas actúan degradando la pared celular bacteriana, mientras que los</w:t>
        <w:br/>
        <w:br/>
        <w:t>mecanismos del resto de bacteriocinas de clase III necesitan ser investigados en mayor</w:t>
        <w:br/>
        <w:t>profundidad, especialmente los de tipo no lítico (Alvarez-Sieiro et al., 2016). Se ha</w:t>
        <w:br/>
        <w:br/>
        <w:t>comprobado que la utilización conjunta de bacteriocinas de diferente clase potencia el</w:t>
        <w:br/>
        <w:t>efecto antimicrobiano original y amplía su espectro de inhibición frente a un mayor</w:t>
        <w:br/>
        <w:br/>
        <w:t>número de patógenos (Soltani et al., 2021). Asimismo, se ha comprobado que el ácido</w:t>
        <w:br/>
        <w:br/>
        <w:t>láctico permeabiliza la pared celular favoreciendo también la acción de las bacteriocinas</w:t>
        <w:br/>
        <w:t>y otros metabolitos antimicrobianos (Alakomi et al., 2000). Por otro lado, la acidificación</w:t>
        <w:br/>
        <w:br/>
        <w:t>del pH favorece la acción de las bacteriocinas y además dificulta el desarrollo de un gran</w:t>
        <w:br/>
        <w:t>número de microorganismos y, por el contrario, favorece el crecimiento de las BAL, que</w:t>
        <w:br/>
        <w:br/>
        <w:t>son ácido-tolerantes (Ramírez-López y Vélez-Ruiz, 2016; Vásquez et al., 2009). Por todo</w:t>
        <w:br/>
        <w:t>esto, la acción conjunta de todos los componentes antimicrobianos secretados por las</w:t>
        <w:br/>
        <w:br/>
        <w:t>BAL es fundamental para el desarrollo de una actividad antimicrobiana efectiva.</w:t>
        <w:br/>
        <w:br/>
        <w:br/>
        <w:t>Las bacteriocinas se han utilizado tradicionalmente para el control de la contaminación</w:t>
        <w:br/>
        <w:br/>
        <w:t>de los alimentos pero su utilización como agente terapéutico en medicina humana o</w:t>
        <w:br/>
        <w:t>animal actualmente es limitada debido a su baja biodisponibilidad (Ng et al., 2020;</w:t>
        <w:br/>
        <w:br/>
        <w:t>Soltani et al., 2021). Aunque las bacteriocinas por sí mismas se han propuesto como</w:t>
        <w:br/>
        <w:t>alternativa terapéutica para el tratamiento de diversas infecciones en función de su</w:t>
        <w:br/>
        <w:br/>
        <w:t>mecanismo de acción, una opción mucho más eficiente que está cobrando cada vez más</w:t>
        <w:br/>
        <w:t>relevancia en la actualidad, es utilizarlas en combinación con la terapia antibiótica</w:t>
        <w:br/>
        <w:br/>
        <w:t xml:space="preserve">                                           MARÍA BRAVO SANTILLANA  185</w:t>
        <w:br/>
      </w:r>
    </w:p>
    <w:p>
      <w:r>
        <w:t>Página 186:</w:t>
        <w:br/>
        <w:t xml:space="preserve">  LAB | Capítulo III</w:t>
        <w:br/>
        <w:br/>
        <w:t xml:space="preserve">   (Meade et al., 2020; Ng et al., 2020). La combinación entre determinadas bacteriocinas</w:t>
        <w:br/>
        <w:br/>
        <w:t xml:space="preserve">   y los antibióticos, con los que puedan actuar de forma sinérgica, puede contribuir al</w:t>
        <w:br/>
        <w:t xml:space="preserve">   tratamiento de la infección potenciando su efecto antimicrobiano y también puede</w:t>
        <w:br/>
        <w:br/>
        <w:t xml:space="preserve">    prevenir el desarrollo de resistencias antimicrobianas si se consigue el mismo efecto</w:t>
        <w:br/>
        <w:t xml:space="preserve">   terapéutico con menos dosis de antibiótico (Gradisteanu-Pircalabioru et  al., 2021;</w:t>
        <w:br/>
        <w:br/>
        <w:t xml:space="preserve">   Mathur et al., 2017; Ng et al., 2020).</w:t>
        <w:br/>
        <w:br/>
        <w:br/>
        <w:t xml:space="preserve">    El objetivo de la terapia antibiótica es eliminar el agente infeccioso del organismo</w:t>
        <w:br/>
        <w:br/>
        <w:t xml:space="preserve">   mediante la administración de una cantidad óptima del agente antimicrobiano que</w:t>
        <w:br/>
        <w:t xml:space="preserve">   supere y mantenga durante un tiempo adecuado una concentración mínima capaz de</w:t>
        <w:br/>
        <w:br/>
        <w:t xml:space="preserve">    inhibir al microorganismo patógeno en el lugar de la infección (Bravo, 2019). La</w:t>
        <w:br/>
        <w:t xml:space="preserve">    resistencia de un microorganismo a un antibiótico al que originalmente era vulnerable</w:t>
        <w:br/>
        <w:br/>
        <w:t xml:space="preserve">   ocasiona que le terapia antibiótica se vuelva ineficaz, por lo que las infecciones persisten</w:t>
        <w:br/>
        <w:t xml:space="preserve">   y se incrementa el riesgo de propagación de los agentes infecciosos. A este fenómeno</w:t>
        <w:br/>
        <w:br/>
        <w:t xml:space="preserve">   se le conoce con el nombre de «resistencia antimicrobiana». La emergencia de bacterias</w:t>
        <w:br/>
        <w:t xml:space="preserve">    resistentes a los antibióticos es una de las mayores preocupaciones en materia de salud</w:t>
        <w:br/>
        <w:br/>
        <w:t xml:space="preserve">   a nivel global, puesto que supone una seria amenaza para la Salud Pública mundial. Este</w:t>
        <w:br/>
        <w:br/>
        <w:t xml:space="preserve">   fenómeno, unido al hecho de que el descubrimiento de nuevas clases de antibióticos o</w:t>
        <w:br/>
        <w:t xml:space="preserve">   antimicrobianos de nueva generación en la actualidad es muy limitado, pone de</w:t>
        <w:br/>
        <w:br/>
        <w:t xml:space="preserve">   manifiesto la necesidad para el desarrollo de nuevas opciones terapéuticas para el</w:t>
        <w:br/>
        <w:t xml:space="preserve">    control de enfermedades infecciosas (Gradisteanu-Pircalabioru et al., 2021; Mathur et</w:t>
        <w:br/>
        <w:br/>
        <w:t xml:space="preserve">     al., 2017).</w:t>
        <w:br/>
        <w:br/>
        <w:br/>
        <w:t xml:space="preserve">   Los objetivos de este capítulo III son:</w:t>
        <w:br/>
        <w:t>-   Optimizar la producción de moléculas antimicrobianas en una selección de BAL descritas</w:t>
        <w:br/>
        <w:br/>
        <w:t xml:space="preserve">   en los capítulos anteriores.</w:t>
        <w:br/>
        <w:br/>
        <w:t>-   Determinar  la naturaleza de  la fracción del sobrenadante con mayor potencial</w:t>
        <w:br/>
        <w:t xml:space="preserve">   antimicrobiano.</w:t>
        <w:br/>
        <w:br/>
        <w:t>-   Estudiar la sinergia in vitro de los metabolitos producidos por las BAL y una selección de</w:t>
        <w:br/>
        <w:t xml:space="preserve">    antibióticos importantes en medicina veterinaria frente a los patógenos indicadores P.</w:t>
        <w:br/>
        <w:br/>
        <w:t xml:space="preserve">   multocida y E. coli.</w:t>
        <w:br/>
        <w:br/>
        <w:br/>
        <w:t xml:space="preserve">    186  MARÍA BRAVO SANTILLANA</w:t>
        <w:br/>
      </w:r>
    </w:p>
    <w:p>
      <w:r>
        <w:t>Página 187:</w:t>
        <w:br/>
        <w:t xml:space="preserve">                                         LAB | Capítulo III</w:t>
        <w:br/>
        <w:br/>
        <w:t xml:space="preserve">  MÉTODO</w:t>
        <w:br/>
        <w:br/>
        <w:br/>
        <w:br/>
        <w:t>1.  Optimización de  la producción de moléculas antimicrobianas y obtención de</w:t>
        <w:br/>
        <w:t xml:space="preserve">   sobrenadantes</w:t>
        <w:br/>
        <w:br/>
        <w:t xml:space="preserve">   Para valorar las condiciones de cultivo óptimas para las bacterias, se realizó un estudio</w:t>
        <w:br/>
        <w:t xml:space="preserve">   de cinética microbiana. Se realizaron fermentaciones controladas a 37 ºC y se tomaron</w:t>
        <w:br/>
        <w:br/>
        <w:t xml:space="preserve">   muestras a tiempo 24 h, 48 h y 72 h. Estas muestras fueron diluidas en serie y sembradas</w:t>
        <w:br/>
        <w:t xml:space="preserve">   en MRS para calcular las ufc/mL y se midió la absorbancia a 600 nm mediante un</w:t>
        <w:br/>
        <w:br/>
        <w:t xml:space="preserve">   espectrofotómetro (Lan Optics® V-1100).</w:t>
        <w:br/>
        <w:br/>
        <w:br/>
        <w:t xml:space="preserve">   La monitorización de la producción de metabolitos antimicrobianos se realizó mediante</w:t>
        <w:br/>
        <w:br/>
        <w:t xml:space="preserve">   ensayos de actividad iguales a los descritos previamente en el capítulo II y que fueron</w:t>
        <w:br/>
        <w:t xml:space="preserve">    diferentes para cada BAL, en función de su espectro antimicrobiano. Para L. plantarum</w:t>
        <w:br/>
        <w:br/>
        <w:t xml:space="preserve">   EML1 y L. casei SA5 se eligió como patógeno indicador la bacteria E. coli, se realizó la</w:t>
        <w:br/>
        <w:t xml:space="preserve">    técnica del cocultivo inoculando diferentes proporciones de las BAL y el patógeno en el</w:t>
        <w:br/>
        <w:br/>
        <w:t xml:space="preserve">   medio TSB e incubando a 37 ºC durante 24 h y se expresaron los resultados como</w:t>
        <w:br/>
        <w:t xml:space="preserve">   porcentaje de inhibición. Para el ensayo de la bacteria L. salivarius C12 se obtuvieron los</w:t>
        <w:br/>
        <w:br/>
        <w:t xml:space="preserve">   sobrenadantes libres de células microbianas mediante centrifugación a 5000 r.p.m</w:t>
        <w:br/>
        <w:t xml:space="preserve">   durante 10 min y posterior filtrado mediante un filtro estéril millipore (Branchia) para</w:t>
        <w:br/>
        <w:t xml:space="preserve">    jeringa de 0,22 µm y se realizaron diluciones en serie 1:2 en una placa de 96 pocillos con</w:t>
        <w:br/>
        <w:br/>
        <w:t xml:space="preserve">   medio MH. Se inoculó la bacteria patógena P. multocida con los correspondientes</w:t>
        <w:br/>
        <w:br/>
        <w:t xml:space="preserve">    controles y, tras una incubación a 37 ºC durante 24 h, se calcularon las Unidades</w:t>
        <w:br/>
        <w:t xml:space="preserve">    Arbitrarias por mL (UA).</w:t>
        <w:br/>
        <w:br/>
        <w:br/>
        <w:br/>
        <w:br/>
        <w:t>2.  Determinación de la naturaleza de la actividad antimicrobiana</w:t>
        <w:br/>
        <w:br/>
        <w:t xml:space="preserve">   Nuestros estudios previos demostraron que la actividad de los sobrenadantes se debe a</w:t>
        <w:br/>
        <w:br/>
        <w:t xml:space="preserve">    la presencia de metabolitos liberados durante el proceso de fermentación que ejercen</w:t>
        <w:br/>
        <w:t xml:space="preserve">   un efecto sinérgico con el pH, siendo más activos a pH ácido. Para comenzar a</w:t>
        <w:br/>
        <w:br/>
        <w:t xml:space="preserve">                                              MARÍA BRAVO SANTILLANA  187</w:t>
        <w:br/>
      </w:r>
    </w:p>
    <w:p>
      <w:r>
        <w:t>Página 188:</w:t>
        <w:br/>
        <w:t>LAB | Capítulo III</w:t>
        <w:br/>
        <w:br/>
        <w:t>caracterizar las fracciones que puedan tener una mayor importancia sobre la actividad</w:t>
        <w:br/>
        <w:br/>
        <w:t>total, se realizaron diversos tratamientos de los sobrenadantes, seguido de nuevos</w:t>
        <w:br/>
        <w:t>ensayos de actividad para determinar, fundamentalmente,  la importancia de las</w:t>
        <w:br/>
        <w:br/>
        <w:t>moléculas de  naturaleza  proteica.  Los  tratamientos  realizados  se  describen a</w:t>
        <w:br/>
        <w:t>continuación.</w:t>
        <w:br/>
        <w:br/>
        <w:br/>
        <w:t>Tratamiento enzimático de los sobrenadantes</w:t>
        <w:br/>
        <w:br/>
        <w:br/>
        <w:t>La enzima DNasa degrada los fragmentos de ADN que hayan podido ser liberados al</w:t>
        <w:br/>
        <w:t>medio durante  la  lisis bacteriana. Se añadió DNasa a los sobrenadantes a una</w:t>
        <w:br/>
        <w:br/>
        <w:t>concentración final de 0,5 mg/mL y se incubaron durante 10 min a temperatura</w:t>
        <w:br/>
        <w:t>ambiente.</w:t>
        <w:br/>
        <w:br/>
        <w:br/>
        <w:t>Las enzimas pronasa, tripsina y proteinasa K son tres enzimas proteolíticas que degradan</w:t>
        <w:br/>
        <w:br/>
        <w:t>las proteínas, por lo que objetivo de este tratamiento es eliminar las proteínas del</w:t>
        <w:br/>
        <w:t>sobrenadante. Se añadieron las enzimas de forma independiente a los sobrenadantes a</w:t>
        <w:br/>
        <w:br/>
        <w:t>una concentración final de 0,1 mg/mL para la proteinasa K y a 1 mg/mL para la pronasa</w:t>
        <w:br/>
        <w:br/>
        <w:t>y la tripsina. Se añadió la misma concentración de enzimas al mismo volumen de medio</w:t>
        <w:br/>
        <w:t>MRS como control negativo y se dejaron incubar las muestras problema, el control</w:t>
        <w:br/>
        <w:br/>
        <w:t>negativo y un control del sobrenadante sin proteinasa durante 1 h a 56 ºC para la</w:t>
        <w:br/>
        <w:t>proteinasa K y 1 h a temperatura ambiente para las otras dos enzimas. En el caso de la</w:t>
        <w:br/>
        <w:br/>
        <w:t>proteinasa K se realizó por duplicado y la mitad de los sobrenadantes se trató a 95 ºC</w:t>
        <w:br/>
        <w:t>durante 15’ para desnaturalizar la proteinasa, incluidos los controles negativos, por si el</w:t>
        <w:br/>
        <w:br/>
        <w:t>efecto de la incubación a temperatura alta o la propia proteinasa pudiese afectar a la</w:t>
        <w:br/>
        <w:t>actividad de los sobrenadantes.</w:t>
        <w:br/>
        <w:br/>
        <w:br/>
        <w:t>Tratamiento de los sobrenadantes con diferentes temperaturas</w:t>
        <w:br/>
        <w:br/>
        <w:br/>
        <w:t>Se trataron los sobrenadantes a diferentes temperaturas por varios motivos. Por un</w:t>
        <w:br/>
        <w:t>lado, los tratamientos con calor son importantes durante el proceso de fermentación y,</w:t>
        <w:br/>
        <w:br/>
        <w:t>especialmente, para el proceso de inactivación de células vivas para la obtención de</w:t>
        <w:br/>
        <w:t>productos  posbióticos.  Por  otro  lado,  algunos  grupos  de  bacteriocinas  son</w:t>
        <w:br/>
        <w:br/>
        <w:t xml:space="preserve"> 188  MARÍA BRAVO SANTILLANA</w:t>
        <w:br/>
      </w:r>
    </w:p>
    <w:p>
      <w:r>
        <w:t>Página 189:</w:t>
        <w:br/>
        <w:t xml:space="preserve">                                       LAB | Capítulo III</w:t>
        <w:br/>
        <w:br/>
        <w:t>termoestables, mientras que otros son termolábiles, por lo que la información sobre la</w:t>
        <w:br/>
        <w:br/>
        <w:t>actividad de los sobrenadantes en función de la temperatura también nos aporta</w:t>
        <w:br/>
        <w:t>información sobre la contribución de este tipo de bacteriocinas a la actividad.</w:t>
        <w:br/>
        <w:br/>
        <w:br/>
        <w:t>Se incubó 1 mL de cada sobrenadante a diferentes temperaturas: 40, 70, 80 y 90 ºC</w:t>
        <w:br/>
        <w:br/>
        <w:t>durante 10 min en un termobloque (Analog heatblock, VWR) y para los controles</w:t>
        <w:br/>
        <w:br/>
        <w:t>negativos se incuba 1 mL de MRS a las diferentes temperaturas. Se realizó la incubación</w:t>
        <w:br/>
        <w:t>por duplicado, incluidos los controles y, una vez transcurrido el tiempo de incubación,</w:t>
        <w:br/>
        <w:br/>
        <w:t>los sobrenadantes se dejaron enfriar de forma progresiva a temperatura ambiente.</w:t>
        <w:br/>
        <w:br/>
        <w:br/>
        <w:t>Tratamiento de los sobrenadantes con tricloroacético</w:t>
        <w:br/>
        <w:br/>
        <w:br/>
        <w:t>El objetivo de este tratamiento es logar la precipitación ácida de las proteínas mediante</w:t>
        <w:br/>
        <w:t>la adición de tricloroacético (TCA) para separar y concentrar la fracción proteica, sin</w:t>
        <w:br/>
        <w:br/>
        <w:t>degradarla. Se añadió TCA a una concentración final del 20 % a los sobrenadantes y al</w:t>
        <w:br/>
        <w:t>medio MRS como control negativo y se incubaron durante 10 min a 4 ºC. Se</w:t>
        <w:br/>
        <w:br/>
        <w:t>centrifugaron las muestras y el control a 14.000 r.p.m. durante 5 min, se lavó dos veces</w:t>
        <w:br/>
        <w:br/>
        <w:t>el pellet con 200 µL de acetona fría (-20 ºC) y se volvió a centrifugar a las mismas</w:t>
        <w:br/>
        <w:t>condiciones. Se incubó el pellet en un termobloque a 95 ºC durante 10’ para evaporar</w:t>
        <w:br/>
        <w:br/>
        <w:t>la acetona y se resuspendió el pellet seco en 1mL de caldo MRS. Se midió el pH por si</w:t>
        <w:br/>
        <w:t>hiciese falta neutralizarlo al mismo pH del sobrenadante original.</w:t>
        <w:br/>
        <w:br/>
        <w:br/>
        <w:t>Separación de las fracciones de los sobrenadantes por peso molecular</w:t>
        <w:br/>
        <w:br/>
        <w:br/>
        <w:t>Se separaron diferentes fracciones de los sobrenadantes en función de los pesos</w:t>
        <w:br/>
        <w:br/>
        <w:t>moleculares   de   sus   componentes,   principalmente   proteínas,   mediante</w:t>
        <w:br/>
        <w:br/>
        <w:t>ultracentrifugación y filtración a través de membranas con diferentes cortes de peso</w:t>
        <w:br/>
        <w:t>molecular. Se utilizaron filtros de 50K, de 30K, de 10K y de 3K (Amicon®) y se emplearon</w:t>
        <w:br/>
        <w:br/>
        <w:t>consecutivamente de mayor a menor para obtener las diferentes fracciones, filtrando</w:t>
        <w:br/>
        <w:t>un volumen total de 10 mL de sobrenadante. Se filtraron los primeros 500 µL en los</w:t>
        <w:br/>
        <w:br/>
        <w:t>filtros de 50K en una ultracentrífuga (Eppendorf 5424 R) en refrigeración a 4 ºC a 14 K g</w:t>
        <w:br/>
        <w:t>durante 10 min. Se obtuvo el volumen concentrado en el filtro de 50K centrifugando a</w:t>
        <w:br/>
        <w:br/>
        <w:t xml:space="preserve">                                           MARÍA BRAVO SANTILLANA  189</w:t>
        <w:br/>
      </w:r>
    </w:p>
    <w:p>
      <w:r>
        <w:t>Página 190:</w:t>
        <w:br/>
        <w:t xml:space="preserve">  LAB | Capítulo III</w:t>
        <w:br/>
        <w:br/>
        <w:t xml:space="preserve">   1K g durante 2min en refrigeración (&gt;50K) y el volumen filtrado se conservó (&lt;50K) y se</w:t>
        <w:br/>
        <w:br/>
        <w:t xml:space="preserve">     filtró con la siguiente membrana en tamaño. Se repitió el procedimiento para los filtros</w:t>
        <w:br/>
        <w:t xml:space="preserve">   de 30K (10 min 14 K g), de 10 K (20 min 14 K g) y de 3K (50 min-1h 14K g) utilizando</w:t>
        <w:br/>
        <w:br/>
        <w:t xml:space="preserve">   siempre los filtrados de la membrana inmediatamente anterior. Los concentrados</w:t>
        <w:br/>
        <w:t xml:space="preserve">   obtenidos por fracciones fueron &gt;50 K, 30-50 K, 10-30 K y 3-10 K y el último filtrado se</w:t>
        <w:br/>
        <w:br/>
        <w:t xml:space="preserve">   conservó como &lt;3 K. Se anotaron todos los volúmenes filtrados y concentrados para</w:t>
        <w:br/>
        <w:br/>
        <w:t xml:space="preserve">    realizar las diluciones pertinentes a la hora de hacer el ensayo de actividad.</w:t>
        <w:br/>
        <w:t xml:space="preserve">   Todos los sobrenadantes tratados se congelaron a -80 ºC con 15 % de glicerol hasta su</w:t>
        <w:br/>
        <w:br/>
        <w:t xml:space="preserve">   procesamiento para el ensayo de actividad.</w:t>
        <w:br/>
        <w:br/>
        <w:br/>
        <w:t xml:space="preserve">   Mediante el mismo procedimiento descrito en el apartado anterior, se realizó un ensayo</w:t>
        <w:br/>
        <w:t xml:space="preserve">   de actividad de los sobrenadantes tratados frente a la bacteria indicadora P. multocida</w:t>
        <w:br/>
        <w:br/>
        <w:t xml:space="preserve">   mediante la técnica de microdiluciones y el cálculo de Unidades Arbitrarias por mL (UA).</w:t>
        <w:br/>
        <w:t xml:space="preserve">    Este procedimiento permite cuantificar la actividad y así poder comparar los diferentes</w:t>
        <w:br/>
        <w:br/>
        <w:t xml:space="preserve">    valores numéricos entre los controles positivos (sobrenadantes sin tratar), las muestras</w:t>
        <w:br/>
        <w:t xml:space="preserve">   problema (los sobrenadantes tratados) y los controles negativos (el medio de cultivo</w:t>
        <w:br/>
        <w:br/>
        <w:t xml:space="preserve">  MRS con y sin los tratamientos de los sobrenadantes).</w:t>
        <w:br/>
        <w:br/>
        <w:br/>
        <w:br/>
        <w:br/>
        <w:t>3.  Estudio de los metabolitos en sinergia con antibióticos</w:t>
        <w:br/>
        <w:br/>
        <w:t xml:space="preserve">    El objetivo del procedimiento que será descrito a continuación es el de estudiar la</w:t>
        <w:br/>
        <w:t xml:space="preserve">    sinergia in vitro de los metabolitos producidos por las BAL y una selección de antibióticos</w:t>
        <w:br/>
        <w:br/>
        <w:t xml:space="preserve">   importantes en medicina veterinaria frente los patógenos indicadores P. multocida y E.</w:t>
        <w:br/>
        <w:t xml:space="preserve">     coli. Ambos aislados patógenos han sido aisladas por INGULADOS en sendos casos</w:t>
        <w:br/>
        <w:br/>
        <w:t xml:space="preserve">    clínicos a partir de un brote con elevada mortalidad por pasterelosis en un cebadero de</w:t>
        <w:br/>
        <w:t xml:space="preserve">   cordero y de un brote de colibacilosis en porcino, respectivamente, y ambos mostraron</w:t>
        <w:br/>
        <w:br/>
        <w:t xml:space="preserve">    multirresistencia antimicrobiana. Los antibióticos seleccionados fueron amoxicilina,</w:t>
        <w:br/>
        <w:br/>
        <w:t xml:space="preserve">   gentamicina, doxicilina y enrofloxacina, por su utilización en medicina veterinaria</w:t>
        <w:br/>
        <w:t xml:space="preserve">   debido a que tienen un amplio espectro de acción y también porque pueden ser</w:t>
        <w:br/>
        <w:br/>
        <w:t xml:space="preserve">    utilizados en ensayos con roedores de experimentación, que será descrito en el capítulo</w:t>
        <w:br/>
        <w:br/>
        <w:br/>
        <w:t xml:space="preserve">    190  MARÍA BRAVO SANTILLANA</w:t>
        <w:br/>
      </w:r>
    </w:p>
    <w:p>
      <w:r>
        <w:t>Página 191:</w:t>
        <w:br/>
        <w:t xml:space="preserve">                                       LAB | Capítulo III</w:t>
        <w:br/>
        <w:br/>
        <w:t>siguiente. Para  ello, se  eligió  la técnica del Epsilon test o epsilometría (Etest®,</w:t>
        <w:br/>
        <w:br/>
        <w:t>bioMérieux), que es una expansión del método tradicional Kirby-Bauer de difusión de</w:t>
        <w:br/>
        <w:t>discos en agar que permite realizar una lectura directa de la concentración mínima</w:t>
        <w:br/>
        <w:br/>
        <w:t>inhibitoria (CMI), pero con modificaciones que permitan  incluir  los compuestos</w:t>
        <w:br/>
        <w:t>bioactivos producidos por las BAL y se considera un buen método para la detección de</w:t>
        <w:br/>
        <w:br/>
        <w:t>sinergia entre compuestos (Mathur et al., 2017). Así, podremos cuantificar cambios en</w:t>
        <w:br/>
        <w:br/>
        <w:t>las CMI cuando incluimos los compuestos bioactivos, detectando posibles casos de</w:t>
        <w:br/>
        <w:t>sinergia.</w:t>
        <w:br/>
        <w:br/>
        <w:br/>
        <w:t>En primer lugar, se prepararon placas con medio de cultivo Mueller Hinton y Mueller</w:t>
        <w:br/>
        <w:br/>
        <w:t>Hinton  II (suplementado con 5 % de sangre de oveja) a  las que se añadieron</w:t>
        <w:br/>
        <w:t>concentraciones crecientes de sobrenadantes con los metabolitos producidos por las</w:t>
        <w:br/>
        <w:br/>
        <w:t>BAL. Los sobrenadantes libres de células microbianas se obtuvieron, mediante los</w:t>
        <w:br/>
        <w:t>procedimientos de centrifugación y filtrado descritos anteriormente, a las condiciones</w:t>
        <w:br/>
        <w:br/>
        <w:t>óptimas para cada bacteria determinadas a partir de los resultados del procedimiento</w:t>
        <w:br/>
        <w:t>de optimización, esto es, 37 ºC para todos los aislados durante 24 h para L. plantarum y</w:t>
        <w:br/>
        <w:br/>
        <w:t>70 h para L. casei y L. salivarius. Los sobrenadantes se añadieron al medio MH II antes</w:t>
        <w:br/>
        <w:br/>
        <w:t>de solidificar cuando su temperatura fue inferior a 40 ºC, para no alterar la fracción</w:t>
        <w:br/>
        <w:t>proteica. Las concentraciones finales en el medio fueron 5 % y 10 %. A partir de cultivos</w:t>
        <w:br/>
        <w:br/>
        <w:t>puros de los patógenos, se prepararon suspensiones en solución salina a una turbidez</w:t>
        <w:br/>
        <w:t>0,5 en la escala de McFarland y se inocularon mediante un hisopo en las placas de MH</w:t>
        <w:br/>
        <w:br/>
        <w:t>para E. coli y MH II para P. multocida. Los controles negativos para comparar la posible</w:t>
        <w:br/>
        <w:t>acción sinérgica consistieron en las placas sin sobrenadantes. Para la realización del</w:t>
        <w:br/>
        <w:br/>
        <w:t>Etest® se colocaron las tiras de plástico no poroso (bioMérieux), que llevan incluido un</w:t>
        <w:br/>
        <w:t>gradiente antimicrobiano de 15 diluciones para cada uno de los antibióticos elegidos</w:t>
        <w:br/>
        <w:br/>
        <w:t>(amoxicilina, gentamicina, doxicilina y enrofloxacina) y creando, tras su difusión en el</w:t>
        <w:br/>
        <w:br/>
        <w:t>agar, un gradiente exponencial de las concentraciones del antibiótico que se reflejan</w:t>
        <w:br/>
        <w:t>como zonas de inhibición elipsoidales y simétricas a lo largo de las tiras, tras la</w:t>
        <w:br/>
        <w:br/>
        <w:t>incubación a 37 ºC durante 24 h. El valor de CMI se obtuvo a partir del punto de</w:t>
        <w:br/>
        <w:t>intersección entre el extremo de inhibición y la tira.</w:t>
        <w:br/>
        <w:br/>
        <w:br/>
        <w:br/>
        <w:br/>
        <w:t xml:space="preserve">                                           MARÍA BRAVO SANTILLANA  191</w:t>
        <w:br/>
      </w:r>
    </w:p>
    <w:p>
      <w:r>
        <w:t>Página 192:</w:t>
        <w:br/>
        <w:t>LAB | Capítulo III</w:t>
        <w:br/>
        <w:br/>
        <w:br/>
        <w:br/>
        <w:br/>
        <w:br/>
        <w:t xml:space="preserve"> 192  MARÍA BRAVO SANTILLANA</w:t>
        <w:br/>
      </w:r>
    </w:p>
    <w:p>
      <w:r>
        <w:t>Página 193:</w:t>
        <w:br/>
        <w:t xml:space="preserve">                                          LAB | Capítulo III</w:t>
        <w:br/>
        <w:br/>
        <w:t>Figura resumen del método</w:t>
        <w:br/>
        <w:br/>
        <w:br/>
        <w:br/>
        <w:br/>
        <w:br/>
        <w:t xml:space="preserve">                                                MARÍA BRAVO SANTILLANA  193</w:t>
        <w:br/>
      </w:r>
    </w:p>
    <w:p>
      <w:r>
        <w:t>Página 194:</w:t>
        <w:br/>
        <w:t>LAB | Capítulo III</w:t>
        <w:br/>
        <w:br/>
        <w:t>RESULTADOS</w:t>
        <w:br/>
        <w:br/>
        <w:br/>
        <w:t>La etapa de crecimiento microbiano en la que se detecta la producción óptima de</w:t>
        <w:br/>
        <w:t>metabolitos antimicrobianos difiere según la especie</w:t>
        <w:br/>
        <w:br/>
        <w:t>En el caso de L. plantarum EML1 y L. casei SA5, se decidió utilizar como indicador la</w:t>
        <w:br/>
        <w:t>bacteria E. coli en función de los resultados previos. La actividad máxima (100% de</w:t>
        <w:br/>
        <w:br/>
        <w:t>inhibición) se obtuvo con el cocultivo con L. plantarum a las 24 h del inicio de la</w:t>
        <w:br/>
        <w:t>fermentación, cuando la bacteria se encuentra al final de la fase de crecimiento</w:t>
        <w:br/>
        <w:br/>
        <w:t>exponencial (Tabla 3.1 y Figura 3.1 y 3.2). En el caso de L. casei, su actividad máxima</w:t>
        <w:br/>
        <w:t>aparece más tarde, a las 72 h después del inicio de la fermentación, durante la fase</w:t>
        <w:br/>
        <w:br/>
        <w:t>estacionaria (Tabla 3.1 y Figuras 3.1 y 3.2). En cuanto L. salivarius se escogió utilizar</w:t>
        <w:br/>
        <w:br/>
        <w:t>como indicador la bacteria P. multocida debido también a resultados previos. Como</w:t>
        <w:br/>
        <w:t>puede observarse en la tabla 3.1, se encontró que la mayor actividad mostrada por esta</w:t>
        <w:br/>
        <w:br/>
        <w:t>bacteria se daba a las 72 h después del inicio de la fermentación, cuando la bacteria se</w:t>
        <w:br/>
        <w:t>encuentra en fase estacionaria, justo después de la fase de crecimiento exponencial, por</w:t>
        <w:br/>
        <w:br/>
        <w:t>lo que parece que el crecimiento de esta bacteria es más lento. Además, para todas las</w:t>
        <w:br/>
        <w:t>bacterias se consiguió incrementar su actividad antimicrobiana con respecto a estudios</w:t>
        <w:br/>
        <w:br/>
        <w:t>previos, por lo que se optimizó la producción de metabolitos antimicrobianos.</w:t>
        <w:br/>
        <w:br/>
        <w:t xml:space="preserve"> Tabla 3.1. Resultado de la concentración bacteriana y actividades antimicrobianas para los aislados de</w:t>
        <w:br/>
        <w:br/>
        <w:t xml:space="preserve">                                  BAL seleccionados</w:t>
        <w:br/>
        <w:br/>
        <w:t xml:space="preserve">                       Tiempo       ABS600   Recuentos      Actividad antimicrobianaa</w:t>
        <w:br/>
        <w:t xml:space="preserve">                                  (h)                   (ufc/mL)</w:t>
        <w:br/>
        <w:t xml:space="preserve">    L. plantarum EML1         0             0,03       1,7·106                          0 %</w:t>
        <w:br/>
        <w:t xml:space="preserve">                          24            6,16     1,51·109                         100 %</w:t>
        <w:br/>
        <w:t xml:space="preserve">                          48            8,11     1,56·109                          99,97 %</w:t>
        <w:br/>
        <w:t xml:space="preserve">                          72              8,6     1,63·109                          96,67 %</w:t>
        <w:br/>
        <w:t xml:space="preserve">        L. casei SA5            0             0,03       1,7·106                          0 %</w:t>
        <w:br/>
        <w:t xml:space="preserve">                          24            6,53     1,37·109                         65 %</w:t>
        <w:br/>
        <w:t xml:space="preserve">                          48            7,16     1,50·109                            93,5 %</w:t>
        <w:br/>
        <w:t xml:space="preserve">                          72            7,82     1,53·109                          99,87 %</w:t>
        <w:br/>
        <w:t xml:space="preserve">     L. salivarius C12          0             0,13     1,29·107                         0 UA</w:t>
        <w:br/>
        <w:t xml:space="preserve">                          24            8,56     1,05·109                       1600 UA</w:t>
        <w:br/>
        <w:t xml:space="preserve">                          48            8,09     1,22·109                       1600 UA</w:t>
        <w:br/>
        <w:t xml:space="preserve">                          72            9,14     1,39·109                       3200 UA</w:t>
        <w:br/>
        <w:t xml:space="preserve"> aPorcentaje de inhibición de E. coli para EML1 y SA5 y Unidades Arbitrarias frente a P. multocida para</w:t>
        <w:br/>
        <w:t xml:space="preserve"> C12.</w:t>
        <w:br/>
        <w:t xml:space="preserve"> 194  MARÍA BRAVO SANTILLANA</w:t>
        <w:br/>
      </w:r>
    </w:p>
    <w:p>
      <w:r>
        <w:t>Página 195:</w:t>
        <w:br/>
        <w:t xml:space="preserve">                                       LAB | Capítulo III</w:t>
        <w:br/>
        <w:br/>
        <w:br/>
        <w:br/>
        <w:br/>
        <w:br/>
        <w:t>Figura 3.1. Curvas de concentración bacteriana en función del tiempo de fermentación para L. plantarum</w:t>
        <w:br/>
        <w:t>EML1 (círculos), L. casei SA5 (cuadrados) y L. salivarius C12 (triángulos). Los puntos marcados con estrellas</w:t>
        <w:br/>
        <w:t>muestran la actividad antimicrobiana máxima, que se detecta al final de la fase exponencial para EML1 y</w:t>
        <w:br/>
        <w:t>en la fase estacionaria para SA5 y C12.</w:t>
        <w:br/>
        <w:br/>
        <w:br/>
        <w:br/>
        <w:br/>
        <w:br/>
        <w:t>Figura 3.2. Resultados de los ensayos de actividad antimicrobiana máxima encontrada para EML1, que</w:t>
        <w:br/>
        <w:t>representa un porcentaje de inhibición de la bacteria patógena del 100 % con los metabolitos producidos</w:t>
        <w:br/>
        <w:t>tras 24 h de incubación y de SA5, que es 99,87 %, con los metabolitos antimicrobianos producidos a las</w:t>
        <w:br/>
        <w:t>72 h de incubación.</w:t>
        <w:br/>
        <w:br/>
        <w:br/>
        <w:br/>
        <w:br/>
        <w:t xml:space="preserve">                                           MARÍA BRAVO SANTILLANA  195</w:t>
        <w:br/>
      </w:r>
    </w:p>
    <w:p>
      <w:r>
        <w:t>Página 196:</w:t>
        <w:br/>
        <w:t>LAB | Capítulo III</w:t>
        <w:br/>
        <w:br/>
        <w:t>La fracción proteica extracelular contribuye de forma significativa a la actividad</w:t>
        <w:br/>
        <w:br/>
        <w:t>antimicrobiana de los cultivos</w:t>
        <w:br/>
        <w:br/>
        <w:t>En la tabla 3.2 se muestran los resultados de forma resumida mediante un gradiente de</w:t>
        <w:br/>
        <w:br/>
        <w:t>color que indica si se ha mantenido la actividad antimicrobiana basal, si esta actividad</w:t>
        <w:br/>
        <w:t>se ha reducido, aunque pueda seguir considerándose como buena o si por el contrario</w:t>
        <w:br/>
        <w:br/>
        <w:t>la actividad ha disminuido o incluso ha llegado a desaparecer. Mientras que el</w:t>
        <w:br/>
        <w:br/>
        <w:t>tratamiento con DNasa no tuvo ningún efecto sobre  la actividad basal de  los</w:t>
        <w:br/>
        <w:t>sobrenadantes, los tratamientos con las enzimas proteolíticas proteinasa K, pronasa y</w:t>
        <w:br/>
        <w:br/>
        <w:t>tripsina y la precipitación con tricloroacético ocasionaron una eliminación total de la</w:t>
        <w:br/>
        <w:t>actividad antimicrobiana. En cuanto a  los resultados de  los  filtrados por pesos</w:t>
        <w:br/>
        <w:br/>
        <w:t>moleculares, se obtuvo que las fracciones más pequeñas (F 3 -10 y F &lt; 3 en la tabla)</w:t>
        <w:br/>
        <w:t>conservan buena parte de la actividad de los sobrenadantes. Por otro lado, en función</w:t>
        <w:br/>
        <w:br/>
        <w:t>de los datos obtenidos después de los tratamientos con diferentes temperaturas,</w:t>
        <w:br/>
        <w:t>observamos que la actividad disminuye a medida que se alcanzan temperaturas altas</w:t>
        <w:br/>
        <w:br/>
        <w:t>para EML1 y SA5. Según se muestra en la tabla, para estos dos aislados la actividad se</w:t>
        <w:br/>
        <w:t>mantiene estable a temperaturas hasta 70 ºC y comienza a disminuir a partir de 80 ºC,</w:t>
        <w:br/>
        <w:br/>
        <w:t>desapareciendo a 90 ºC en el caso de L. plantarum EML1.</w:t>
        <w:br/>
        <w:br/>
        <w:br/>
        <w:t xml:space="preserve">         Tabla 3.2. Resultados de la actividad antimicrobiana de los sobrenadantes tratados.</w:t>
        <w:br/>
        <w:br/>
        <w:br/>
        <w:br/>
        <w:br/>
        <w:br/>
        <w:t xml:space="preserve"> 196  MARÍA BRAVO SANTILLANA</w:t>
        <w:br/>
      </w:r>
    </w:p>
    <w:p>
      <w:r>
        <w:t>Página 197:</w:t>
        <w:br/>
        <w:t xml:space="preserve">                                       LAB | Capítulo III</w:t>
        <w:br/>
        <w:br/>
        <w:t>En el caso de L. salivarius C12 la actividad se mantiene estable en todo el rango de</w:t>
        <w:br/>
        <w:br/>
        <w:t>temperaturas probado (Tabla 3.2) y son las fracciones pequeñas las que muestran la</w:t>
        <w:br/>
        <w:t>actividad antimicrobiana (Figura 3.3).</w:t>
        <w:br/>
        <w:br/>
        <w:br/>
        <w:br/>
        <w:br/>
        <w:t xml:space="preserve">                          2     4     8     16    32    64     C-</w:t>
        <w:br/>
        <w:br/>
        <w:t xml:space="preserve">                   Control                                              1600 UA</w:t>
        <w:br/>
        <w:br/>
        <w:t xml:space="preserve">                                                                    200 UA              F &gt; 50 KDa</w:t>
        <w:br/>
        <w:br/>
        <w:t xml:space="preserve">                                                                    200 UA             F 30-50 KDa</w:t>
        <w:br/>
        <w:br/>
        <w:t xml:space="preserve">                                                                    200 UA            F 10-30 KDa</w:t>
        <w:br/>
        <w:br/>
        <w:t xml:space="preserve">                                                                    800 UA              F 3-10 KDa</w:t>
        <w:br/>
        <w:br/>
        <w:t xml:space="preserve">               F &lt; 3 KDa                                              1600 UA</w:t>
        <w:br/>
        <w:br/>
        <w:br/>
        <w:br/>
        <w:t>Figura 3.3. Resultados de los ensayos de actividad antimicrobiana encontrada para las diferentes</w:t>
        <w:br/>
        <w:br/>
        <w:t>fracciones por pesos moleculares de L. salivarius C12. Las fracciones más pequeñas (3 -10 KDa y &lt; 3 KDa)</w:t>
        <w:br/>
        <w:t>conservan buena parte de la actividad basal del sobrenadante completo (control).</w:t>
        <w:br/>
        <w:br/>
        <w:br/>
        <w:br/>
        <w:t>Los sobrenadantes de las BAL contienen metabolitos que pueden actuar en sinergia</w:t>
        <w:br/>
        <w:br/>
        <w:t>con antibióticos en dos cepas patógenas con multirresistencia antimicrobiana</w:t>
        <w:br/>
        <w:br/>
        <w:t>En la tabla 3.3 se muestran los resultados de las CMI para los dos patógenos indicadores</w:t>
        <w:br/>
        <w:br/>
        <w:t>seleccionados del Etest® frente a los antibióticos utilizados de forma aislada y en</w:t>
        <w:br/>
        <w:br/>
        <w:t>combinación con los sobrenadantes de las bacterias ácido-lácticas. Los resultados en la</w:t>
        <w:br/>
        <w:t>tabla se muestran como un gradiente de color, donde el rojo indica que no existió</w:t>
        <w:br/>
        <w:br/>
        <w:t>diferencia en la CMI cuando se utilizó en combinación con los sobrenadantes y en verde</w:t>
        <w:br/>
        <w:t>se muestran las combinaciones en las que existió sinergia, es decir, en las que, al añadir</w:t>
        <w:br/>
        <w:br/>
        <w:t>los metabolitos producidos por las bacterias lácticas, la CMI disminuyó.</w:t>
        <w:br/>
        <w:br/>
        <w:br/>
        <w:br/>
        <w:br/>
        <w:t xml:space="preserve">                                           MARÍA BRAVO SANTILLANA  197</w:t>
        <w:br/>
      </w:r>
    </w:p>
    <w:p>
      <w:r>
        <w:t>Página 198:</w:t>
        <w:br/>
        <w:t>LAB | Capítulo III</w:t>
        <w:br/>
        <w:br/>
        <w:t>En el caso de E. coli multirresistente, como se observa en la tabla 3.3 y en la figura 3.4,</w:t>
        <w:br/>
        <w:br/>
        <w:t>se consiguió inhibición en su crecimiento cuando se combinaron los metabolitos de la</w:t>
        <w:br/>
        <w:t>bacteria L. salivarius C12 y los diferentes antibióticos. La CMI era &gt;256 µg/mL para todos</w:t>
        <w:br/>
        <w:br/>
        <w:t>los  antimicrobianos,  es  decir,  la  bacteria patógena mostraba  multirresistencia</w:t>
        <w:br/>
        <w:t>antibiótica y disminuyó a 0,125 µg/mL para amoxicilina, 16 µg/mL para gentamicina, 2</w:t>
        <w:br/>
        <w:br/>
        <w:t>µg/mL para enrofloxacina y 64 µg/mL para doxaciclina con la adición del sobrenadante.</w:t>
        <w:br/>
        <w:br/>
        <w:t>En todos los casos, la bacteria continúa siendo resistente, excepto en el caso de la</w:t>
        <w:br/>
        <w:t>amoxicilina, que pasó a ser sensible.</w:t>
        <w:br/>
        <w:br/>
        <w:br/>
        <w:t>En el caso de P. multocida, se observó una disminución en la CMI de la doxicilina</w:t>
        <w:br/>
        <w:br/>
        <w:t>necesaria para inhibir a la bacteria patógena, del punto de corte equivalente a 4 µg/mL</w:t>
        <w:br/>
        <w:t>(resistente) a 1 µg/mL (sensible) al combinarlo con los sobrenadantes de todas las</w:t>
        <w:br/>
        <w:br/>
        <w:t>bacterias (Figura 3.5). No se detectaron diferencias en el resto de las combinaciones</w:t>
        <w:br/>
        <w:t>probadas.</w:t>
        <w:br/>
        <w:br/>
        <w:br/>
        <w:t>Tabla 3.3. Resultados de las concentraciones mínimas inhibitorias (µg/mL) de los antimicrobianos frente</w:t>
        <w:br/>
        <w:t xml:space="preserve">                  a los patógenos solos y en combinación con los sobrenadantes</w:t>
        <w:br/>
        <w:br/>
        <w:br/>
        <w:br/>
        <w:br/>
        <w:br/>
        <w:t xml:space="preserve"> 198  MARÍA BRAVO SANTILLANA</w:t>
        <w:br/>
      </w:r>
    </w:p>
    <w:p>
      <w:r>
        <w:t>Página 199:</w:t>
        <w:br/>
        <w:t xml:space="preserve">                                       LAB | Capítulo III</w:t>
        <w:br/>
        <w:br/>
        <w:br/>
        <w:t xml:space="preserve">            A                             B</w:t>
        <w:br/>
        <w:br/>
        <w:br/>
        <w:br/>
        <w:br/>
        <w:br/>
        <w:t>Figura 3.4. Técnica E-test para el patógeno E. coli multirresistente en combinación con el sobrenadante</w:t>
        <w:br/>
        <w:t>de la bacteria ácido-láctica L. salivarius C12. (A) Se observa un crecimiento total del patógeno pese a la</w:t>
        <w:br/>
        <w:t>colocación de las tiras con antibióticos (&gt;256 µg/mL) y (B) la aparición de inhibición del cultivo al añadir</w:t>
        <w:br/>
        <w:t>el sobrenadante de la bacteria C12, con diferentes puntos de corte para los diferentes antibióticos.</w:t>
        <w:br/>
        <w:br/>
        <w:br/>
        <w:t xml:space="preserve">            A                         B</w:t>
        <w:br/>
        <w:br/>
        <w:br/>
        <w:br/>
        <w:br/>
        <w:br/>
        <w:t>Figura 3.5. Técnica E-test para el patógeno P. multocida resistente a tetraciclinas y el antimicrobiano</w:t>
        <w:br/>
        <w:t>doxiciclina en combinación con el sobrenadante de la bacteria ácido-láctica L. salivarius C12. Se observa</w:t>
        <w:br/>
        <w:t>una disminución en el punto de corte equivalente a la CMI de 4 µg/mL en el control (A) a 1 µg/mL al añadir</w:t>
        <w:br/>
        <w:t>el sobrenadante al 10 % (B).</w:t>
        <w:br/>
        <w:br/>
        <w:br/>
        <w:br/>
        <w:br/>
        <w:t xml:space="preserve">                                           MARÍA BRAVO SANTILLANA  199</w:t>
        <w:br/>
      </w:r>
    </w:p>
    <w:p>
      <w:r>
        <w:t>Página 200:</w:t>
        <w:br/>
        <w:t>LAB | Capítulo III</w:t>
        <w:br/>
        <w:br/>
        <w:t>DISCUSIÓN</w:t>
        <w:br/>
        <w:br/>
        <w:br/>
        <w:t>Debido al metabolismo fermentativo de las BAL su utilización a nivel industrial para la</w:t>
        <w:br/>
        <w:t>producción de metabolitos inhibidores del crecimiento de patógenos está cada vez</w:t>
        <w:br/>
        <w:br/>
        <w:t>cobrando mayor importancia en la actualidad. Por ello, se hace necesario el diseño de</w:t>
        <w:br/>
        <w:t>estrategias que permitan conocer la naturaleza de esos metabolitos y optimizar su</w:t>
        <w:br/>
        <w:br/>
        <w:t>producción. En este trabajo se describen los procedimientos para determinar  la</w:t>
        <w:br/>
        <w:t>naturaleza de los metabolitos antimicrobianos y optimizar su producción en una</w:t>
        <w:br/>
        <w:br/>
        <w:t>selección de aislados de BAL descritos en los capítulos anteriores de esta tesis doctoral.</w:t>
        <w:br/>
        <w:br/>
        <w:br/>
        <w:t>Como se ha comentado en la introducción, la determinación de la fase de crecimiento</w:t>
        <w:br/>
        <w:br/>
        <w:t>microbiano en la que se producen la mayor parte de metabolitos antimicrobianos</w:t>
        <w:br/>
        <w:t>depende de cada cepa bacteriana y es fundamental para optimizar  el proceso</w:t>
        <w:br/>
        <w:br/>
        <w:t>tecnológico de elaboración de suplementos con actividad antimicrobiana. En este</w:t>
        <w:br/>
        <w:t>estudio, se consiguió optimizar la producción de metabolitos antimicrobianos, ya que se</w:t>
        <w:br/>
        <w:br/>
        <w:t>obtuvieron valores de actividad antimicrobiana superiores a los arrojados por estudios</w:t>
        <w:br/>
        <w:t>previos incluidos en esta tesis doctoral, concretamente en el capítulo  II. Es muy</w:t>
        <w:br/>
        <w:br/>
        <w:t>interesante el hecho de que la actividad antimicrobiana máxima haya sido detectada en</w:t>
        <w:br/>
        <w:t>diferentes fases del crecimiento microbiano para cada una de las cepas estudiadas, por</w:t>
        <w:br/>
        <w:br/>
        <w:t>lo que este método de optimización de la producción de metabolitos antimicrobianos</w:t>
        <w:br/>
        <w:t>se considera de gran utilidad industrial a la hora de elaborar un suplemento y lograr la</w:t>
        <w:br/>
        <w:br/>
        <w:t>máxima eficacia de sus componentes. Algunos otros parámetros que no se han medido</w:t>
        <w:br/>
        <w:br/>
        <w:t>en este estudio y que pueden condicionar la actividad antimicrobiana porque favorecen</w:t>
        <w:br/>
        <w:t>el crecimiento de las cepas bacterianas podrían ser la composición de nutrientes del</w:t>
        <w:br/>
        <w:br/>
        <w:t>medio, el pH, la temperatura, la humedad, la concentración de O2 y CO2, entre otros</w:t>
        <w:br/>
        <w:t>(Bárcena et  al., 1998; Todorov y Dicks, 2006). Por  ello, en futuros estudios se</w:t>
        <w:br/>
        <w:br/>
        <w:t>monitorizarán estos parámetros con el objetivo de estandarizar su producción a escala</w:t>
        <w:br/>
        <w:t>industrial y también de poder abaratar el proceso de producción.</w:t>
        <w:br/>
        <w:br/>
        <w:br/>
        <w:t>En el caso de L. plantarum y L. casei, la actividad antimicrobiana máxima frente al</w:t>
        <w:br/>
        <w:br/>
        <w:t>patógeno indicador E. coli se produce durante la fase de crecimiento exponencial, previo</w:t>
        <w:br/>
        <w:br/>
        <w:br/>
        <w:t xml:space="preserve"> 200  MARÍA BRAVO SANTILLANA</w:t>
        <w:br/>
      </w:r>
    </w:p>
    <w:p>
      <w:r>
        <w:t>Página 201:</w:t>
        <w:br/>
        <w:t xml:space="preserve">                                       LAB | Capítulo III</w:t>
        <w:br/>
        <w:br/>
        <w:t>al inicio de la fase estacionaria, que en este estudio fue a las 24 h después del inicio de</w:t>
        <w:br/>
        <w:br/>
        <w:t>la fermentación para la primera cepa y a las 72 h para la segunda, que parece tener un</w:t>
        <w:br/>
        <w:t>crecimiento más lento. Las curvas de crecimiento microbiano coinciden con estudios</w:t>
        <w:br/>
        <w:br/>
        <w:t>previos en otras cepas de estas especies (Al-Otaibi et al., 2016; Barragán et al., 2020;</w:t>
        <w:br/>
        <w:t>Teneva et al., 2016). La actividad antimicrobiana máxima encontrada coincide con el</w:t>
        <w:br/>
        <w:br/>
        <w:t>momento de mayor producción de metabolitos antimicrobianos como las bacteriocinas</w:t>
        <w:br/>
        <w:br/>
        <w:t>de clase IIb encontradas en ambos genomas y que fueron descritas en capítulos</w:t>
        <w:br/>
        <w:t>anteriores (Bárcena et al., 1998; Reenen, 1998; Zacharof y Lovitt, 2012); y con la máxima</w:t>
        <w:br/>
        <w:br/>
        <w:t>producción de  ácido  láctico  (Rezvani  et  al.,  2017), que también  tiene  efecto</w:t>
        <w:br/>
        <w:t>antimicrobiano frente al patógeno E. coli (Teneva et al., 2016). El hecho de que la</w:t>
        <w:br/>
        <w:br/>
        <w:t>actividad antimicrobiana de L. casei aparezca bastante más tarde puede ser debido a</w:t>
        <w:br/>
        <w:t>que el pH disminuye de forma más acusada a las 70 h después del inicio de la</w:t>
        <w:br/>
        <w:br/>
        <w:t>fermentación, especialmente en esta especie (Al-Otaibi et al., 2016). Además, en el</w:t>
        <w:br/>
        <w:t>capítulo I ya se comprobó la influencia del pH sobre la actividad antimicrobiana en esta</w:t>
        <w:br/>
        <w:br/>
        <w:t>cepa en concreto. Se optimizó la actividad antimicrobiana de estos aislados, debido a</w:t>
        <w:br/>
        <w:t>que se obtuvo una inhibición de la bacteria patógena, en este caso E. coli, del 100 % para</w:t>
        <w:br/>
        <w:br/>
        <w:t>L. plantarum y de 99,87 % para L. casei, correspondiente a una reducción logarítmica de</w:t>
        <w:br/>
        <w:br/>
        <w:t>4,3 y 2,88 respectivamente, superior a la encontrada en trabajos previos de esta tesis</w:t>
        <w:br/>
        <w:t>doctoral y en estudios de otros autores (Ołdak et al., 2017; Roldán et al., 2011; Teneva</w:t>
        <w:br/>
        <w:br/>
        <w:t>et al., 2016). En el caso de L. salivarius, ocurre algo similar, se encontró la máxima</w:t>
        <w:br/>
        <w:t>actividad antimicrobiana frente al patógeno indicador, en este caso P. multocida, 72 h</w:t>
        <w:br/>
        <w:br/>
        <w:t>después del inicio de  la fermentación, cuando  la bacteria se encuentra en fase</w:t>
        <w:br/>
        <w:t>estacionaria, justo después de la fase de crecimiento exponencial, por lo que parece que</w:t>
        <w:br/>
        <w:br/>
        <w:t>el crecimiento de esta bacteria es más lento, de acuerdo con algunos estudios en otras</w:t>
        <w:br/>
        <w:t>cepas de esta especie (Afdora et al., 2010; Sanhueza et al., 2015). En este caso también</w:t>
        <w:br/>
        <w:br/>
        <w:t>se incrementó la actividad antimicrobiana con respecto a los estudios previos del</w:t>
        <w:br/>
        <w:br/>
        <w:t>capítulo  II, en los que los tiempos de fermentación fueron más cortos y menos</w:t>
        <w:br/>
        <w:t>controlados.</w:t>
        <w:br/>
        <w:br/>
        <w:br/>
        <w:t>Los tratamientos con enzimas proteolíticas ocasionaron una eliminación total de la</w:t>
        <w:br/>
        <w:br/>
        <w:t>actividad antimicrobiana extracelular, lo que concuerda con nuestra hipótesis de que las</w:t>
        <w:br/>
        <w:t>moléculas de naturaleza proteica contribuyen de forma significativa a la actividad</w:t>
        <w:br/>
        <w:br/>
        <w:t xml:space="preserve">                                           MARÍA BRAVO SANTILLANA  201</w:t>
        <w:br/>
      </w:r>
    </w:p>
    <w:p>
      <w:r>
        <w:t>Página 202:</w:t>
        <w:br/>
        <w:t>LAB | Capítulo III</w:t>
        <w:br/>
        <w:br/>
        <w:t>antimicrobiana de estos aislados (Mirkovic et al., 2015; Saad et al., 2015). Además, si</w:t>
        <w:br/>
        <w:br/>
        <w:t>nos fijamos en los resultados de los fraccionamientos por pesos moleculares, podemos</w:t>
        <w:br/>
        <w:t>observar que las fracciones más pequeñas conservan buena parte de la actividad de los</w:t>
        <w:br/>
        <w:br/>
        <w:t>sobrenadantes.  Estos  filtrados  podrían  contener  péptidos  antimicrobianos  o</w:t>
        <w:br/>
        <w:t>bacteriocinas con pesos moleculares menores a 10 kDa, lo que se corresponde con los</w:t>
        <w:br/>
        <w:br/>
        <w:t>resultados de la secuenciación de los genomas que se han descrito en los capítulos</w:t>
        <w:br/>
        <w:br/>
        <w:t>anteriores. El método de ultracentrifugación utilizado ha sido previamente descrito</w:t>
        <w:br/>
        <w:t>como uno de los métodos de elección para evaluar la actividad antimicrobiana de las</w:t>
        <w:br/>
        <w:br/>
        <w:t>bacteriocinas, así como para su separación del resto de componentes y su concentración</w:t>
        <w:br/>
        <w:t>(Parada et al., 2007). No obstante, deberá combinarse en un futuro con otras técnicas</w:t>
        <w:br/>
        <w:br/>
        <w:t>de concentración de proteínas, puesto que, en este estudio, la precipitación ácida con</w:t>
        <w:br/>
        <w:t>TCA ocasionó una desaparición total de la actividad antimicrobiana. Algunos de los</w:t>
        <w:br/>
        <w:br/>
        <w:t>métodos que se han descrito son la precipitación con sales neutras, la diálisis, la</w:t>
        <w:br/>
        <w:t>cromatografía o la liofilización (Dimitrieva-Moats y Ünlü, 2012; Parada et al., 2007; Xu</w:t>
        <w:br/>
        <w:br/>
        <w:t>et al., 2021), pero habría que estudiar en profundidad su rendimiento en péptidos de</w:t>
        <w:br/>
        <w:t>pequeño tamaño y su factibilidad tecnológica.</w:t>
        <w:br/>
        <w:br/>
        <w:br/>
        <w:t>En el estudio de termoestabilidad para los aislados EML1 y SA5, se observó que la</w:t>
        <w:br/>
        <w:t>actividad antimicrobiana fue disminuyendo progresivamente a medida que se fueron</w:t>
        <w:br/>
        <w:br/>
        <w:t>alcanzando temperaturas más altas, pero manteniendo una actividad reseñable hasta</w:t>
        <w:br/>
        <w:t>temperaturas de 90 ºC. Esto podría indicar que la actividad antimicrobiana se debe a</w:t>
        <w:br/>
        <w:br/>
        <w:t>una combinación de las bacteriocinas de clase II, que son termoestables a temperaturas</w:t>
        <w:br/>
        <w:t>incluso más altas que las de este estudio (Adesina y Enerijiofi, 2016; Wang et al., 2018)</w:t>
        <w:br/>
        <w:br/>
        <w:t>y de clase III, que son termolábiles (Alvarez-Sieiro et al., 2016; Saad et al., 2015); puesto</w:t>
        <w:br/>
        <w:t>que observamos una disminución de la actividad, pero no una desaparición total de la</w:t>
        <w:br/>
        <w:br/>
        <w:t>misma. Además, las bacteriolisinas, unas bacteriocinas de la clase III, por sí mismas no</w:t>
        <w:br/>
        <w:br/>
        <w:t>parecen tener actividad antimicrobiana porque se encontrarían en las fracciones de</w:t>
        <w:br/>
        <w:t>mayor peso molecular, que carecen de actividad antimicrobiana, como se ha visto</w:t>
        <w:br/>
        <w:br/>
        <w:t>anteriormente; y las fracciones pequeñas en las que hipotéticamente estarían las</w:t>
        <w:br/>
        <w:t>bacteriocinas de clase II, conservan buena parte de la actividad, pero no alcanzan la</w:t>
        <w:br/>
        <w:br/>
        <w:t>actividad basal del sobrenadante completo. Los genes que codifican para ambas clases</w:t>
        <w:br/>
        <w:t>de bacteriocinas fueron descritos en los tres aislados en el capítulo  I de esta tesis</w:t>
        <w:br/>
        <w:br/>
        <w:t xml:space="preserve"> 202  MARÍA BRAVO SANTILLANA</w:t>
        <w:br/>
      </w:r>
    </w:p>
    <w:p>
      <w:r>
        <w:t>Página 203:</w:t>
        <w:br/>
        <w:t xml:space="preserve">                                       LAB | Capítulo III</w:t>
        <w:br/>
        <w:br/>
        <w:t>doctoral, por lo que estos resultados en su conjunto confirman que la fracción proteica</w:t>
        <w:br/>
        <w:br/>
        <w:t>extracelular, en concreto los pequeños péptidos conocidos de forma general como</w:t>
        <w:br/>
        <w:t>«bacteriocinas», contribuyen de forma significativa a la actividad antimicrobiana de las</w:t>
        <w:br/>
        <w:br/>
        <w:t>BAL aisladas y todo parece indicar que actúan de forma sinérgica para lograr la mayor</w:t>
        <w:br/>
        <w:t>actividad posible. De hecho, se ha demostrado que la utilización de bacteriocinas de</w:t>
        <w:br/>
        <w:br/>
        <w:t>diferentes clases, especialmente con mecanismos de acción distintos, incrementa tanto</w:t>
        <w:br/>
        <w:br/>
        <w:t>el espectro de actividad como su efecto antimicrobiano y además reduce la probabilidad</w:t>
        <w:br/>
        <w:t>de desarrollo de resistencias a las bacteriocinas (Soltani et al., 2021; Turgis et al., 2016).</w:t>
        <w:br/>
        <w:br/>
        <w:t>En el caso del aislado C12, la actividad antimicrobiana se mantiene estable en todo el</w:t>
        <w:br/>
        <w:t>rango de temperaturas probado y son las fracciones pequeñas las que conservan buena</w:t>
        <w:br/>
        <w:br/>
        <w:t>parte de la actividad (fracción de 3 a 10 KDa) y la totalidad de la actividad (fracción</w:t>
        <w:br/>
        <w:t>menor de 3 KDa). En este caso la actividad antimicrobiana podría deberse a las</w:t>
        <w:br/>
        <w:br/>
        <w:t>bacteriocinas de clase IId cuyos genes se encontraron en el genoma de este aislado y</w:t>
        <w:br/>
        <w:t>que coincide con  los pesos moleculares descritos. En esta bacteria también se</w:t>
        <w:br/>
        <w:br/>
        <w:t>encontraron  numerosas  bacteriolisinas  que  podrían  contribuir  a  la  actividad</w:t>
        <w:br/>
        <w:t>antimicrobiana de forma sinérgica, como en el caso anterior, pero que por sí mismas no</w:t>
        <w:br/>
        <w:br/>
        <w:t>parecen tener actividad, puesto que las fracciones de mayor peso molecular no</w:t>
        <w:br/>
        <w:br/>
        <w:t>demostraron inhibición de la bacteria patógena.</w:t>
        <w:br/>
        <w:br/>
        <w:br/>
        <w:t>Pese  a que  está muy documentado que  las  bacteriocinas  tienen un  efecto</w:t>
        <w:br/>
        <w:t>antimicrobiano que en ocasiones puede tener un amplio espectro de acción, en la</w:t>
        <w:br/>
        <w:br/>
        <w:t>actualidad su uso está limitado a la industria alimentaria (Meade et al., 2020; Ng et al.,</w:t>
        <w:br/>
        <w:t>2020). Su utilización como fármacos no se contempla en la actualidad debido a que han</w:t>
        <w:br/>
        <w:br/>
        <w:t>demostrado  tener  baja  biodisponibilidad,  por  lo  que  son  necesarias  nuevas</w:t>
        <w:br/>
        <w:t>herramientas terapéuticas para sacar provecho de esta actividad antimicrobiana natural</w:t>
        <w:br/>
        <w:br/>
        <w:t>(Gradisteanu-Pircalabioru et al., 2021; Meade et al., 2020; Soltani et al., 2021). Entre</w:t>
        <w:br/>
        <w:br/>
        <w:t>estas nuevas opciones terapéuticas destaca su posible utilización en sinergia con la</w:t>
        <w:br/>
        <w:t>terapia antibiótica, para reducir las dosificaciones de estos contribuyendo así a prevenir</w:t>
        <w:br/>
        <w:br/>
        <w:t>el desarrollo de resistencias antibióticas y los efectos secundarios indeseables o</w:t>
        <w:br/>
        <w:t>secundarios (Gradisteanu-Pircalabioru et al., 2021; Ng et al., 2020). Las bacteriocinas</w:t>
        <w:br/>
        <w:br/>
        <w:t>tienen menor espectro de acción que los antibióticos, lo que hace que sean más</w:t>
        <w:br/>
        <w:br/>
        <w:br/>
        <w:t xml:space="preserve">                                           MARÍA BRAVO SANTILLANA  203</w:t>
        <w:br/>
      </w:r>
    </w:p>
    <w:p>
      <w:r>
        <w:t>Página 204:</w:t>
        <w:br/>
        <w:t>LAB | Capítulo III</w:t>
        <w:br/>
        <w:br/>
        <w:t>selectivas para un patógeno en concreto y más respetuosas con la microbiota (Meade</w:t>
        <w:br/>
        <w:br/>
        <w:t>et al., 2020).</w:t>
        <w:br/>
        <w:br/>
        <w:br/>
        <w:t>En los últimos años está aumentando el número de estudios encaminados a explorar</w:t>
        <w:br/>
        <w:t>esta nueva opción terapéutica que combina bacteriocinas de diversas  clases y</w:t>
        <w:br/>
        <w:br/>
        <w:t>antibióticos para  el tratamiento de infecciones producidas por microorganismos</w:t>
        <w:br/>
        <w:br/>
        <w:t>resistentes a los antibióticos (Hanchi et al., 2017; Jabés et al., 2011; Soltani et al., 2021;</w:t>
        <w:br/>
        <w:t>Turgis  et  al., 2016). En esta  tesis  doctoral, se  realizó un estudio de  sinergia</w:t>
        <w:br/>
        <w:br/>
        <w:t>antimicrobiana in vitro con una cepa de E. coli multirresistente a los antibióticos que</w:t>
        <w:br/>
        <w:t>presenta una CMI de &gt;256 µg/mL para todos los antimicrobianos seleccionados. Tras la</w:t>
        <w:br/>
        <w:br/>
        <w:t>adición del sobrenadante que contiene los metabolitos antimicrobianos de la cepa L.</w:t>
        <w:br/>
        <w:t>salivarius C12, obtenidos bajo sus condiciones óptimas a una concentración del 10 %, la</w:t>
        <w:br/>
        <w:br/>
        <w:t>CMI disminuyó para todos los antibióticos. No obstante, solo en el caso de la amoxicilina</w:t>
        <w:br/>
        <w:t>se considera que el antibiótico podría llegar a tener utilidad clínica tras la adición de los</w:t>
        <w:br/>
        <w:br/>
        <w:t>metabolitos antimicrobianos producidos por esta cepa, puesto que el Comité Europeo</w:t>
        <w:br/>
        <w:t>de Pruebas de Sensibilidad Antimicrobiana considera como punto de corte clínico el</w:t>
        <w:br/>
        <w:br/>
        <w:t>valor de CMI inferior a 8 µg/mL para este antibiótico (EUCAST, 2021) y el valor obtenido</w:t>
        <w:br/>
        <w:br/>
        <w:t>tras la adición de los metabolitos fue de 0,125 µg/mL. Para todos los demás, pese a que</w:t>
        <w:br/>
        <w:t>se reduce significativamente el valor de CMI, el punto de corte continúa estando por</w:t>
        <w:br/>
        <w:br/>
        <w:t>debajo de los criterios clínicos, por lo que deberán estudiarse nuevas combinaciones.</w:t>
        <w:br/>
        <w:t>Una posible estrategia podría ser aumentar la concentración del sobrenadante de esta</w:t>
        <w:br/>
        <w:br/>
        <w:t>misma bacteria y/o utilizar otro método de determinación de la sinergia que permita</w:t>
        <w:br/>
        <w:t>ensayar varias dosificaciones a la vez. La realización del procedimiento de determinación</w:t>
        <w:br/>
        <w:br/>
        <w:t>de sinergia entre bacteriocinas y antibióticos mediante Etest® se considera un método</w:t>
        <w:br/>
        <w:t>válido para este propósito y se utiliza en la actualidad debido, fundamentalmente, a la</w:t>
        <w:br/>
        <w:br/>
        <w:t>rapidez de la técnica y a la facilidad en la lectura de los resultados (Mathur et al., 2017;</w:t>
        <w:br/>
        <w:br/>
        <w:t>Orhan et al., 2005). No obstante, existen otros métodos que permiten determinar las</w:t>
        <w:br/>
        <w:t>cantidades exactas de antibiótico y metabolitos antimicrobianos y además determinan</w:t>
        <w:br/>
        <w:br/>
        <w:t>el tipo de sinergia, como la técnica del tablero de ajedrez (LeBel et al., 2013; Mathur et</w:t>
        <w:br/>
        <w:t>al., 2017). Aunque este método es más costoso y laborioso, se tendrá en cuenta para</w:t>
        <w:br/>
        <w:br/>
        <w:t>futuros estudios cuyos objetivos se centren en determinar las dosis mínimas de cada</w:t>
        <w:br/>
        <w:t>agente antimicrobiano para inhibir el desarrollo de un patógeno en concreto. De forma</w:t>
        <w:br/>
        <w:br/>
        <w:t xml:space="preserve"> 204  MARÍA BRAVO SANTILLANA</w:t>
        <w:br/>
      </w:r>
    </w:p>
    <w:p>
      <w:r>
        <w:t>Página 205:</w:t>
        <w:br/>
        <w:t xml:space="preserve">                                       LAB | Capítulo III</w:t>
        <w:br/>
        <w:br/>
        <w:t>similar, en el estudio de evaluación de sinergia frente a P. multocida, los sobrenadantes</w:t>
        <w:br/>
        <w:br/>
        <w:t>de las tres cepas disminuyeron la CMI para la doxiciclina, de 4 a 1 µg/mL, siendo este su</w:t>
        <w:br/>
        <w:t>punto de corte clínico.</w:t>
        <w:br/>
        <w:br/>
        <w:br/>
        <w:t>Dada la novedad y la relevancia científica de estos resultados, se pone de manifiesto la</w:t>
        <w:br/>
        <w:br/>
        <w:t>necesidad de validación de estos estudios in vitro con un modelo experimental que</w:t>
        <w:br/>
        <w:br/>
        <w:t>valide los procedimientos descritos. Los estudios in vivo representan una etapa más</w:t>
        <w:br/>
        <w:t>avanzada de la investigación, que será descrita en el bloque III de esta tesis doctoral.</w:t>
        <w:br/>
        <w:br/>
        <w:br/>
        <w:br/>
        <w:br/>
        <w:br/>
        <w:t xml:space="preserve">                                           MARÍA BRAVO SANTILLANA  205</w:t>
        <w:br/>
      </w:r>
    </w:p>
    <w:p>
      <w:r>
        <w:t>Página 206:</w:t>
        <w:br/>
        <w:t>LAB | Capítulo III</w:t>
        <w:br/>
        <w:br/>
        <w:br/>
        <w:br/>
        <w:br/>
        <w:br/>
        <w:t xml:space="preserve"> 206  MARÍA BRAVO SANTILLANA</w:t>
        <w:br/>
      </w:r>
    </w:p>
    <w:p>
      <w:r>
        <w:t>Página 207:</w:t>
        <w:br/>
        <w:t xml:space="preserve">                                       EXP | Capítulo IV</w:t>
        <w:br/>
        <w:br/>
        <w:t>BLOQUE II: EXPERIMENTACIÓN ANIMAL IN VIVO</w:t>
        <w:br/>
        <w:br/>
        <w:br/>
        <w:br/>
        <w:br/>
        <w:br/>
        <w:t xml:space="preserve">                                                                       207</w:t>
        <w:br/>
      </w:r>
    </w:p>
    <w:p>
      <w:r>
        <w:t>Página 208:</w:t>
        <w:br/>
        <w:t>LAB | Capítulo III</w:t>
        <w:br/>
        <w:br/>
        <w:br/>
        <w:br/>
        <w:br/>
        <w:br/>
        <w:t xml:space="preserve"> 208  MARÍA BRAVO SANTILLANA</w:t>
        <w:br/>
      </w:r>
    </w:p>
    <w:p>
      <w:r>
        <w:t>Página 209:</w:t>
        <w:br/>
        <w:t xml:space="preserve">                                          EXP | Índice</w:t>
        <w:br/>
        <w:br/>
        <w:br/>
        <w:t>ÍNDICE BLOQUE II</w:t>
        <w:br/>
        <w:br/>
        <w:br/>
        <w:br/>
        <w:br/>
        <w:br/>
        <w:t>CAPÍTULO IV: Efecto sinérgico de los metabolitos microbianos sobre la terapia antibiótica en una</w:t>
        <w:br/>
        <w:t>neumonía experimental en modelo ratón                                               211</w:t>
        <w:br/>
        <w:br/>
        <w:t xml:space="preserve">  INTRODUCCIÓN                                                                 212</w:t>
        <w:br/>
        <w:br/>
        <w:t xml:space="preserve">  MÉTODO                                                                       218</w:t>
        <w:br/>
        <w:br/>
        <w:t xml:space="preserve">  FIGURA RESUMEN DEL MÉTODO                                                    225</w:t>
        <w:br/>
        <w:br/>
        <w:t xml:space="preserve">  RESULTADOS                                                                    226</w:t>
        <w:br/>
        <w:br/>
        <w:t xml:space="preserve">  DISCUSIÓN                                                                     230</w:t>
        <w:br/>
        <w:br/>
        <w:t>CAPÍTULO V: Administración de posbióticos para la mejora de los indicadores sanitarios y los</w:t>
        <w:br/>
        <w:t>parámetros productivos en ganadería                                                  235</w:t>
        <w:br/>
        <w:br/>
        <w:t xml:space="preserve">  INTRODUCCIÓN                                                                 237</w:t>
        <w:br/>
        <w:br/>
        <w:t xml:space="preserve">  MÉTODO                                                                       243</w:t>
        <w:br/>
        <w:br/>
        <w:t xml:space="preserve">  FIGURA RESUMEN DEL MÉTODO                                                    252</w:t>
        <w:br/>
        <w:br/>
        <w:t xml:space="preserve">  RESULTADOS                                                                    254</w:t>
        <w:br/>
        <w:br/>
        <w:t xml:space="preserve">  DISCUSIÓN                                                                     263</w:t>
        <w:br/>
        <w:br/>
        <w:t>CAPÍTULO VI: Administración de posbióticos para el control de tuberculosis en fauna silvestre    271</w:t>
        <w:br/>
        <w:br/>
        <w:t xml:space="preserve">  INTRODUCCIÓN                                                                 273</w:t>
        <w:br/>
        <w:br/>
        <w:t xml:space="preserve">  MÉTODO                                                                       280</w:t>
        <w:br/>
        <w:br/>
        <w:t xml:space="preserve">  FIGURA RESUMEN DEL MÉTODO                                                    285</w:t>
        <w:br/>
        <w:br/>
        <w:t xml:space="preserve">  RESULTADOS                                                                    286</w:t>
        <w:br/>
        <w:br/>
        <w:t xml:space="preserve">  DISCUSIÓN                                                                     291</w:t>
        <w:br/>
        <w:br/>
        <w:br/>
        <w:br/>
        <w:br/>
        <w:br/>
        <w:t xml:space="preserve">                                                                        209</w:t>
        <w:br/>
      </w:r>
    </w:p>
    <w:p>
      <w:r>
        <w:t>Página 210:</w:t>
        <w:br/>
        <w:t>LAB | Capítulo III</w:t>
        <w:br/>
        <w:br/>
        <w:br/>
        <w:br/>
        <w:br/>
        <w:br/>
        <w:t xml:space="preserve"> 210  MARÍA BRAVO SANTILLANA</w:t>
        <w:br/>
      </w:r>
    </w:p>
    <w:p>
      <w:r>
        <w:t>Página 211:</w:t>
        <w:br/>
        <w:t xml:space="preserve">                                      EXP | Capítulo IV</w:t>
        <w:br/>
        <w:br/>
        <w:t>CAPÍTULO IV:  Efecto sinérgico de los metabolitos microbianos</w:t>
        <w:br/>
        <w:t>sobre la terapia antibiótica en una neumonía experimental en</w:t>
        <w:br/>
        <w:t>modelo ratón</w:t>
        <w:br/>
        <w:br/>
        <w:br/>
        <w:br/>
        <w:br/>
        <w:br/>
        <w:t xml:space="preserve">                                                                       211</w:t>
        <w:br/>
      </w:r>
    </w:p>
    <w:p>
      <w:r>
        <w:t>Página 212:</w:t>
        <w:br/>
        <w:t>EXP | Capítulo IV</w:t>
        <w:br/>
        <w:br/>
        <w:br/>
        <w:br/>
        <w:br/>
        <w:br/>
        <w:t xml:space="preserve"> 212  MARÍA BRAVO SANTILLANA</w:t>
        <w:br/>
      </w:r>
    </w:p>
    <w:p>
      <w:r>
        <w:t>Página 213:</w:t>
        <w:br/>
        <w:t xml:space="preserve">                                      EXP | Capítulo IV</w:t>
        <w:br/>
        <w:br/>
        <w:t>INTRODUCCIÓN</w:t>
        <w:br/>
        <w:br/>
        <w:br/>
        <w:br/>
        <w:t>Investigación en modelos animales</w:t>
        <w:br/>
        <w:br/>
        <w:t>Un «modelo animal» es una especie distinta de la humana que se utiliza en investigación</w:t>
        <w:br/>
        <w:br/>
        <w:t>para obtener información acerca de procesos biológicos que ocurren de forma similar</w:t>
        <w:br/>
        <w:t>en  otra  especie, fundamentalmente en  la especie humana, en  la que  ciertos</w:t>
        <w:br/>
        <w:br/>
        <w:t>experimentos son impracticables, generalmente por normas éticas. Los estudios in vivo</w:t>
        <w:br/>
        <w:t>permiten extrapolar aspectos de numerosos procesos fisiológicos y patológicos que son</w:t>
        <w:br/>
        <w:br/>
        <w:t>imposibles de ensayar en experimentos in vitro.</w:t>
        <w:br/>
        <w:br/>
        <w:t>Los modelos animales constituyen, en muchas ocasiones, una etapa más del método</w:t>
        <w:br/>
        <w:t>científico ampliamente utilizada en el ámbito de la investigación biomédica, ya que</w:t>
        <w:br/>
        <w:br/>
        <w:t>contribuye al conocimiento de muchos procesos fisiológicos. Dentro de los modelos</w:t>
        <w:br/>
        <w:t>animales, diversos mamíferos se utilizan de forma habitual en todo tipo de ensayos</w:t>
        <w:br/>
        <w:br/>
        <w:t>debido a su similitud estructural, funcional y genética con el ser humano y otros</w:t>
        <w:br/>
        <w:br/>
        <w:t>organismos superiores. Uno de los mamíferos más utilizados  y, por  ello, cuyos</w:t>
        <w:br/>
        <w:t>procedimientos están más estandarizados, es el modelo ratón (Mus musculus), debido,</w:t>
        <w:br/>
        <w:br/>
        <w:t>principalmente, a que existe un extenso conocimiento sobre sus  características</w:t>
        <w:br/>
        <w:t>fisiológicas y genómicas y a que estos animales se mantienen estables genéticamente</w:t>
        <w:br/>
        <w:br/>
        <w:t>frente a numerosos estímulos físicos, químicos y biológicos. Además, los ratones</w:t>
        <w:br/>
        <w:t>alcanzan la madurez sexual en poco tiempo, por lo que se pueden obtener varias</w:t>
        <w:br/>
        <w:br/>
        <w:t>generaciones de animales en periodos cortos; y su pequeño tamaño facilita su manejo</w:t>
        <w:br/>
        <w:t>para los diferentes procedimientos y su mantenimiento en condiciones de bienestar</w:t>
        <w:br/>
        <w:br/>
        <w:t>animal de forma económica (Viera y Márquez, 2020).</w:t>
        <w:br/>
        <w:br/>
        <w:br/>
        <w:t>Pese a que lo ideal es poder sustituir estos procedimientos científicos por otros métodos</w:t>
        <w:br/>
        <w:br/>
        <w:t>alternativos que no requieran de la utilización de animales vivos, la experimentación</w:t>
        <w:br/>
        <w:t>animal es aún muy necesaria para contribuir a la protección de la salud humana, animal</w:t>
        <w:br/>
        <w:br/>
        <w:t>y el medio ambiente. Desde la práctica científica, los modelos animales deben garantizar</w:t>
        <w:br/>
        <w:br/>
        <w:br/>
        <w:br/>
        <w:t xml:space="preserve">                                                                        213</w:t>
        <w:br/>
      </w:r>
    </w:p>
    <w:p>
      <w:r>
        <w:t>Página 214:</w:t>
        <w:br/>
        <w:t>EXP | Capítulo IV</w:t>
        <w:br/>
        <w:br/>
        <w:t>el cumplimiento de una serie de normas éticas y bioéticas que están amparadas por una</w:t>
        <w:br/>
        <w:br/>
        <w:t>normativa estricta.</w:t>
        <w:br/>
        <w:br/>
        <w:br/>
        <w:br/>
        <w:t>Legislación en experimentación animal</w:t>
        <w:br/>
        <w:br/>
        <w:t>Desde el año 1986, la Unión Europea (UE) cuenta con una normativa específica que</w:t>
        <w:br/>
        <w:t>abarca el uso de animales de experimentación animal. En el año 2010 la UE adoptó la</w:t>
        <w:br/>
        <w:br/>
        <w:t>Directiva 2010/63/UE sobre la protección de los animales utilizados para fines científicos</w:t>
        <w:br/>
        <w:br/>
        <w:t>para reforzar la legislación anterior y mejorar el bienestar de los animales que se utilizan.</w:t>
        <w:br/>
        <w:t>Esta normativa viene aplicada en España con la legislación más actual, publicada</w:t>
        <w:br/>
        <w:br/>
        <w:t>recientemente a través del Real Decreto 118/2021 de 23 de febrero por el que se</w:t>
        <w:br/>
        <w:t>modifica el Real Decreto 53/2013, que se establece las normas básicas aplicables para</w:t>
        <w:br/>
        <w:br/>
        <w:t>la protección de los animales utilizados en experimentación y otros fines científicos,</w:t>
        <w:br/>
        <w:t>incluyendo la docencia (BOE-A-2013-1337).</w:t>
        <w:br/>
        <w:br/>
        <w:t>Las normativas se fundamentan especialmente en  el principio de  las tres erres</w:t>
        <w:br/>
        <w:br/>
        <w:t>(Reemplazo, Reducción y Refinamiento). En primer lugar, el principio de «reemplazo»</w:t>
        <w:br/>
        <w:t>establece la utilización de estrategias avaladas científicamente que no conlleve la</w:t>
        <w:br/>
        <w:br/>
        <w:t>utilización de animales vivos. El principio de «reducción» consiste en velar por que el</w:t>
        <w:br/>
        <w:t>número de animales utilizados en los proyectos en los que no exista una alternativa al</w:t>
        <w:br/>
        <w:br/>
        <w:t>ensayo con modelos animales sea el mínimo posible sin comprometer los objetivos de</w:t>
        <w:br/>
        <w:t>la  investigación.  Por  último,  la  normativa también  establece un  principio de</w:t>
        <w:br/>
        <w:br/>
        <w:t>«refinamiento» de la cría, el alojamiento y los cuidados, así como de los métodos</w:t>
        <w:br/>
        <w:br/>
        <w:t>utilizados en procedimientos, que elimine o reduzca al mínimo cualquier posible dolor,</w:t>
        <w:br/>
        <w:t>sufrimiento, angustia o daño duradero a los animales.</w:t>
        <w:br/>
        <w:br/>
        <w:t>No obstante, la legislación establece como objetivo final el reemplazo total de los</w:t>
        <w:br/>
        <w:br/>
        <w:t>procedimientos con animales vivos para  fines  científicos, tan pronto como sea</w:t>
        <w:br/>
        <w:t>científicamente posible hacerlo, con lo que fomenta la búsqueda de alternativas.</w:t>
        <w:br/>
        <w:br/>
        <w:br/>
        <w:br/>
        <w:br/>
        <w:br/>
        <w:t xml:space="preserve"> 214  MARÍA BRAVO SANTILLANA</w:t>
        <w:br/>
      </w:r>
    </w:p>
    <w:p>
      <w:r>
        <w:t>Página 215:</w:t>
        <w:br/>
        <w:t xml:space="preserve">                                      EXP | Capítulo IV</w:t>
        <w:br/>
        <w:br/>
        <w:t>Modelos experimentales en patología infecciosa respiratoria</w:t>
        <w:br/>
        <w:br/>
        <w:t>Los modelos animales que reproducen las enfermedades infecciosas constituyen, desde</w:t>
        <w:br/>
        <w:t>hace más de un siglo, uno de los pilares fundamentales en el conocimiento de la</w:t>
        <w:br/>
        <w:br/>
        <w:t>patogenia de la enfermedad y en el desarrollo de medidas de control (Miró y Gatell,</w:t>
        <w:br/>
        <w:t>2000). Los modelos de neumonías bacterianas provocadas por diferentes agentes</w:t>
        <w:br/>
        <w:br/>
        <w:t>causales se han utilizado de forma frecuente para los estudios preclínicos del desarrollo</w:t>
        <w:br/>
        <w:br/>
        <w:t>de nuevos antimicrobianos y su actividad antimicrobiana in vivo (Pachón et al., 2000).</w:t>
        <w:br/>
        <w:t>En estos modelos se han utilizado varios tipos de animales destinados a fines científicos,</w:t>
        <w:br/>
        <w:br/>
        <w:t>entre los que se incluyen los ratones que pueden ser inoculados por diversas vías, como</w:t>
        <w:br/>
        <w:t>la  instilación  intratraqueal  o  intrabronquial,  mediante  aerosoles  o  por  vía</w:t>
        <w:br/>
        <w:br/>
        <w:t>intraperitoneal (Ferran et al., 2011; Praveena et al., 2010; Vasseur et al., 2017).</w:t>
        <w:br/>
        <w:br/>
        <w:br/>
        <w:t>El  modelo  de  neumonía  experimental  está  catalogado  como  un  «modelo</w:t>
        <w:br/>
        <w:t>discriminativo», diseñado para similar la producción de la infección de la manera más</w:t>
        <w:br/>
        <w:br/>
        <w:t>similar posible a lo que ocurre de forma natural. Por ello, reúne los criterios ideales de</w:t>
        <w:br/>
        <w:t>este  tipo de modelos de  infección, esto  es, una  técnica de  infección  simple;</w:t>
        <w:br/>
        <w:br/>
        <w:t>microorganismos causantes, ruta de entrada, diseminación en el organismo y afectación</w:t>
        <w:br/>
        <w:br/>
        <w:t>tisular muy semejantes a la infección natural; gravedad, curso y duración de la</w:t>
        <w:br/>
        <w:t>enfermedad predecibles, reproducibles y analizables; y, por último, capacidad de medir</w:t>
        <w:br/>
        <w:br/>
        <w:t>y reproducir la eficacia del tratamiento antimicrobiano (Pachón et al., 2000).</w:t>
        <w:br/>
        <w:br/>
        <w:br/>
        <w:t>Históricamente, primeros modelos de  infección  respiratoria bacteriana eran  los</w:t>
        <w:br/>
        <w:t>modelos de neumonías neumocócicas, producida por Streptococcus pneumoniae, casi</w:t>
        <w:br/>
        <w:br/>
        <w:t>exclusivos a principios del siglo XX. Posteriormente, se introdujeron otros patógenos</w:t>
        <w:br/>
        <w:t>ante el aumento de la casuística en humanos de infecciones por Staphylococcus aureus</w:t>
        <w:br/>
        <w:br/>
        <w:t>y bacilos Gram- como Pseudomonas aeruginosa, Klebsiella pneumoniae, Legionella</w:t>
        <w:br/>
        <w:br/>
        <w:t>pneumophila y Haemophilus influenzae (Pachón et al., 2000). La infección experimental</w:t>
        <w:br/>
        <w:t>por Pasteurella multocida no es de las más frecuentes en este tipo de modelos,</w:t>
        <w:br/>
        <w:br/>
        <w:t>fundamentalmente debido a que no reviste mucha importancia clínica en patología</w:t>
        <w:br/>
        <w:t>respiratoria humana (Kristinsson y Adam, 2007). No obstante, además de ser una</w:t>
        <w:br/>
        <w:br/>
        <w:t>infección zoonósica, es una enfermedad muy relevante en medicina veterinaria debido</w:t>
        <w:br/>
        <w:br/>
        <w:t xml:space="preserve">                                                                        215</w:t>
        <w:br/>
      </w:r>
    </w:p>
    <w:p>
      <w:r>
        <w:t>Página 216:</w:t>
        <w:br/>
        <w:t>EXP | Capítulo IV</w:t>
        <w:br/>
        <w:br/>
        <w:t>a que ocasiona importantes pérdidas económicas en las explotaciones ganaderas</w:t>
        <w:br/>
        <w:br/>
        <w:t>(Kristinsson y Adam, 2007; Radostits et al., 2007), como se explicará con más detalle en</w:t>
        <w:br/>
        <w:t>el capítulo V. Por todo esto, son necesarios más estudios en modelos animales, tanto</w:t>
        <w:br/>
        <w:br/>
        <w:t>para conocer la fisiopatología de la infección por P. multocida, como para aportar</w:t>
        <w:br/>
        <w:t>diferentes estrategias terapéuticas para el control de la enfermedad en las poblaciones</w:t>
        <w:br/>
        <w:br/>
        <w:t>susceptibles.</w:t>
        <w:br/>
        <w:br/>
        <w:br/>
        <w:br/>
        <w:t>Estudios de eficacia y seguridad de los metabolitos producidos por BAL</w:t>
        <w:br/>
        <w:br/>
        <w:t>Entre las nuevas opciones terapéuticas que están cobrando cada vez mayor relevancia</w:t>
        <w:br/>
        <w:br/>
        <w:t>en la actualidad, los probióticos y sus derivados se posicionan como una de las</w:t>
        <w:br/>
        <w:t>alternativas a los antibióticos más utilizadas en ganadería (Bajagai et al., 2016; Ng et al.,</w:t>
        <w:br/>
        <w:br/>
        <w:t>2020). Los metabolitos producidos por bacterias probióticas, como las BAL, han</w:t>
        <w:br/>
        <w:t>demostrado ser útiles para el control de los patógenos alterantes y causantes de</w:t>
        <w:br/>
        <w:br/>
        <w:t>toxiinfecciones alimentarias, sin embargo, su utilización como agente terapéutico en</w:t>
        <w:br/>
        <w:t>medicina  veterinaria  está  actualmente  limitada,  debido, fundamentalmente,  al</w:t>
        <w:br/>
        <w:br/>
        <w:t>desconocimiento sobre la farmacocinética de los metabolitos (Ng et al., 2020). De</w:t>
        <w:br/>
        <w:t>hecho, diversos estudios apuntan a que las bacteriocinas, los componentes producidos</w:t>
        <w:br/>
        <w:br/>
        <w:t>por estas bacterias con mayor potencial terapéutico, han demostrado tener baja</w:t>
        <w:br/>
        <w:br/>
        <w:t>biodisponibilidad por sí mismas (Ng et al., 2020; Soltani et al., 2021), por lo que una</w:t>
        <w:br/>
        <w:t>alternativa interesante sería utilizar todos los componentes producidos por las bacterias</w:t>
        <w:br/>
        <w:br/>
        <w:t>sin alterar la composición secretada al medio de forma natural.</w:t>
        <w:br/>
        <w:br/>
        <w:br/>
        <w:t>Una de las principales opciones terapéuticas que se están explorando en la actualidad,</w:t>
        <w:br/>
        <w:t>es la utilización de estos metabolitos en sinergia con antibióticos, como ya se comentó</w:t>
        <w:br/>
        <w:br/>
        <w:t>en el CAPÍTULO III. No obstante, la mayoría de los estudios disponibles en la actualidad</w:t>
        <w:br/>
        <w:t>se corresponden con ensayos in vitro y las actividades antimicrobianas encontradas en</w:t>
        <w:br/>
        <w:br/>
        <w:t>el laboratorio no siempre se corresponde con su resultado real in vivo, por lo que son</w:t>
        <w:br/>
        <w:br/>
        <w:t>necesarios más estudios en modelos animales para dilucidar su utilidad clínica real</w:t>
        <w:br/>
        <w:t>(Cebrián et al., 2019; Singh et al., 2014). La terapia combinatoria entre estos agentes</w:t>
        <w:br/>
        <w:br/>
        <w:t>con sinergia funcional puede contribuir al tratamiento de las enfermedades infecciosas</w:t>
        <w:br/>
        <w:br/>
        <w:br/>
        <w:t xml:space="preserve"> 216  MARÍA BRAVO SANTILLANA</w:t>
        <w:br/>
      </w:r>
    </w:p>
    <w:p>
      <w:r>
        <w:t>Página 217:</w:t>
        <w:br/>
        <w:t xml:space="preserve">                                      EXP | Capítulo IV</w:t>
        <w:br/>
        <w:br/>
        <w:t>potenciando el efecto antimicrobiano de los fármacos y también puede prevenir el</w:t>
        <w:br/>
        <w:br/>
        <w:t>desarrollo de resistencias antimicrobianas y otros efectos adversos si se consigue el</w:t>
        <w:br/>
        <w:t>mismo efecto terapéutico con menos dosis de antibiótico (Gradisteanu-Pircalabioru et</w:t>
        <w:br/>
        <w:br/>
        <w:t>al., 2021; Mathur et al., 2017; Ng et al., 2020).</w:t>
        <w:br/>
        <w:br/>
        <w:br/>
        <w:t>Por último, es importante destacar que las BAL poseen la presunción cualificada de</w:t>
        <w:br/>
        <w:br/>
        <w:t>seguridad (QPS), otorgada por la EFSA, mediante la cual no es necesario someter a</w:t>
        <w:br/>
        <w:t>ningún microorganismo de este grupo a una evaluación de seguridad completa (EFSA</w:t>
        <w:br/>
        <w:br/>
        <w:t>Panel on Biological Hazards (BIOHAZ), 2021), pero no está claro si ocurre lo mismo con</w:t>
        <w:br/>
        <w:t>los componentes producidos por  las mismas. Algunos autores apuntan que  las</w:t>
        <w:br/>
        <w:br/>
        <w:t>bacteriocinas y el resto de metabolitos antimicrobianos son seguros y carecen de</w:t>
        <w:br/>
        <w:t>toxicidad para las células de los mamíferos, pero es importante realizar estudios de</w:t>
        <w:br/>
        <w:br/>
        <w:t>seguridad si se pretenden incluir en la terapia antimicrobiana en un futuro (Soltani et</w:t>
        <w:br/>
        <w:t>al., 2021).</w:t>
        <w:br/>
        <w:br/>
        <w:br/>
        <w:t>Por ello, los objetivos de este capítulo son:</w:t>
        <w:br/>
        <w:br/>
        <w:br/>
        <w:t xml:space="preserve">     -  Comprobar la seguridad de un suplemento elaborado a partir de los metabolitos</w:t>
        <w:br/>
        <w:t xml:space="preserve">       producidos por las BAL administrados por vía oral en modelo ratón.</w:t>
        <w:br/>
        <w:br/>
        <w:br/>
        <w:t xml:space="preserve">     -   Estudiar el efecto de la administración vía oral del suplemento en combinación</w:t>
        <w:br/>
        <w:br/>
        <w:t xml:space="preserve">      con la terapia antibiótica para el control de la infección experimental producida</w:t>
        <w:br/>
        <w:t xml:space="preserve">      por Pasteurella multocida en modelo ratón.</w:t>
        <w:br/>
        <w:br/>
        <w:br/>
        <w:br/>
        <w:br/>
        <w:br/>
        <w:t xml:space="preserve">                                                                        217</w:t>
        <w:br/>
      </w:r>
    </w:p>
    <w:p>
      <w:r>
        <w:t>Página 218:</w:t>
        <w:br/>
        <w:t>EXP | Capítulo IV</w:t>
        <w:br/>
        <w:br/>
        <w:t>MÉTODO</w:t>
        <w:br/>
        <w:br/>
        <w:br/>
        <w:t>A raíz de los resultados obtenidos en los anteriores capítulos de esta tesis doctoral, se</w:t>
        <w:br/>
        <w:t>seleccionó la bacteria L. salivarius C12 para la elaboración de un suplemento, a partir de</w:t>
        <w:br/>
        <w:br/>
        <w:t>los metabolitos secretados por la misma, para su administración por vía oral para el</w:t>
        <w:br/>
        <w:t>control de la enfermedad infecciosa provocada por P. multocida en combinación con la</w:t>
        <w:br/>
        <w:br/>
        <w:t>terapia antibiótica.</w:t>
        <w:br/>
        <w:br/>
        <w:br/>
        <w:br/>
        <w:t>Consideraciones bioéticas</w:t>
        <w:br/>
        <w:br/>
        <w:t>La elección del modelo animal, en este caso modelo ratón (Mus musculus) cepa ICR</w:t>
        <w:br/>
        <w:t>albina, se ha realizado debido a que este se considera el procedimiento óptimo para la</w:t>
        <w:br/>
        <w:br/>
        <w:t>realización de una infección experimental in vivo, no habiendo posibilidad de sustituirlo</w:t>
        <w:br/>
        <w:br/>
        <w:t>por otros métodos alternativos. Todos los procedimientos se llevaron a cabo en el</w:t>
        <w:br/>
        <w:t>Servicio de Animalario de la Universidad de Extremadura (ES 10037000183) previa</w:t>
        <w:br/>
        <w:br/>
        <w:t>autorización por el Comité de Ética de Experimentación Animal de la misma universidad</w:t>
        <w:br/>
        <w:t>(240/2019), cumpliendo el principio de las tres erres, en la medida de lo posible:</w:t>
        <w:br/>
        <w:br/>
        <w:br/>
        <w:t>-      Reemplazo: no  es  posible  debido  a  las  características de  la  infección</w:t>
        <w:br/>
        <w:br/>
        <w:t>experimental.</w:t>
        <w:br/>
        <w:t>-      Reducción: aceptando una potencia estadística del 80 %, fijando el nivel de</w:t>
        <w:br/>
        <w:t>significación en a=0,05 y anticipando un tamaño del efecto elevado, puesto que las</w:t>
        <w:br/>
        <w:br/>
        <w:t>proporciones esperadas para mortalidad entre grupos tratados y grupo control son de</w:t>
        <w:br/>
        <w:br/>
        <w:t>50 % y 0 %, el número adecuado de individuos por grupo para reducir al máximo su</w:t>
        <w:br/>
        <w:t>utilización es de 6 animales.</w:t>
        <w:br/>
        <w:br/>
        <w:t>-      Refinamiento: el centro en el que se realizó el estudio sigue la normativa vigente</w:t>
        <w:br/>
        <w:t>en cuanto a mantenimiento de los animales en condiciones óptimas que respeten el</w:t>
        <w:br/>
        <w:br/>
        <w:t>bienestar animal y se evitó el sufrimiento de estos mediante sacrificio final.</w:t>
        <w:br/>
        <w:br/>
        <w:br/>
        <w:br/>
        <w:br/>
        <w:br/>
        <w:t xml:space="preserve"> 218  MARÍA BRAVO SANTILLANA</w:t>
        <w:br/>
      </w:r>
    </w:p>
    <w:p>
      <w:r>
        <w:t>Página 219:</w:t>
        <w:br/>
        <w:t xml:space="preserve">                                         EXP | Capítulo IV</w:t>
        <w:br/>
        <w:br/>
        <w:t xml:space="preserve">   Los procedimientos en los que los animales pudieron experimentar dolor, sufrimiento o</w:t>
        <w:br/>
        <w:br/>
        <w:t xml:space="preserve">    estrés, y su grado de severidad de acuerdo con los criterios de clasificación establecidos</w:t>
        <w:br/>
        <w:t xml:space="preserve">   en el Anexo IX del RD 53/2013 son:</w:t>
        <w:br/>
        <w:br/>
        <w:br/>
        <w:t xml:space="preserve">     -      Administración de suplementos y/o antibióticos por vía oral: severidad leve,</w:t>
        <w:br/>
        <w:br/>
        <w:t xml:space="preserve">   podría provocar alteración del estado de bienestar por estrés animal, pero de corta</w:t>
        <w:br/>
        <w:br/>
        <w:t xml:space="preserve">    duración.</w:t>
        <w:br/>
        <w:t xml:space="preserve">     -      Infección experimental con P. multocida por vía intraperitoneal: de «moderada»</w:t>
        <w:br/>
        <w:br/>
        <w:t xml:space="preserve">   a «severa», en función de la progresión de la enfermedad.</w:t>
        <w:br/>
        <w:t xml:space="preserve">     -       Sacrificio final para estudio anatomopatológico: sin recuperación.</w:t>
        <w:br/>
        <w:br/>
        <w:br/>
        <w:t xml:space="preserve">   No se contempló la posibilidad de administración de agentes analgésicos o anestésicos</w:t>
        <w:br/>
        <w:br/>
        <w:t xml:space="preserve">   porque podrían influir en el desarrollo del estudio. Se procedió al sacrificio final de todos</w:t>
        <w:br/>
        <w:t xml:space="preserve">    los animales para la realización de una evaluación anatomopatológica al finalizar el</w:t>
        <w:br/>
        <w:br/>
        <w:t xml:space="preserve">   estudio y se practicó la eutanasia cuando se detectaron altos niveles de dolor y</w:t>
        <w:br/>
        <w:t xml:space="preserve">    sufrimiento de los animales. El método eutanásico de elección fue la dislocación cervical,</w:t>
        <w:br/>
        <w:br/>
        <w:t xml:space="preserve">   puesto que es un método rápido que no deja residuos en el animal, no interfiriendo, por</w:t>
        <w:br/>
        <w:br/>
        <w:t xml:space="preserve">    tanto, en su posterior evaluación patológica.</w:t>
        <w:br/>
        <w:br/>
        <w:br/>
        <w:t>1.  Elaboración del suplemento y selección del antibiótico</w:t>
        <w:br/>
        <w:br/>
        <w:br/>
        <w:t xml:space="preserve">    El suplemento administrado consiste en el sobrenadante de un cultivo de la bacteria L.</w:t>
        <w:br/>
        <w:t xml:space="preserve">    salivarius C12 añadido al agua de bebida para su administración por vía oral, de modo</w:t>
        <w:br/>
        <w:br/>
        <w:t xml:space="preserve">   que se reduzca la manipulación de los animales y, con ello, el estrés, puesto que puede</w:t>
        <w:br/>
        <w:t xml:space="preserve">    afectar al bienestar animal y al desarrollo de los ensayos. La bacteria se cultivó en las</w:t>
        <w:br/>
        <w:br/>
        <w:t xml:space="preserve">   condiciones óptimas para la producción de sus metabolitos, que han sido descritas en</w:t>
        <w:br/>
        <w:br/>
        <w:t xml:space="preserve">    el capítulo III, y los sobrenadantes se obtuvieron mediante los procedimientos también</w:t>
        <w:br/>
        <w:t xml:space="preserve">    detallados previamente.</w:t>
        <w:br/>
        <w:br/>
        <w:br/>
        <w:t xml:space="preserve">   Por otro lado, el agente terapéutico de elección fue la doxicilina, un antibiótico del grupo</w:t>
        <w:br/>
        <w:br/>
        <w:t xml:space="preserve">   de las tetraciclinas que se utiliza para el tratamiento de infecciones que afectan al</w:t>
        <w:br/>
        <w:br/>
        <w:br/>
        <w:t xml:space="preserve">                                                                           219</w:t>
        <w:br/>
      </w:r>
    </w:p>
    <w:p>
      <w:r>
        <w:t>Página 220:</w:t>
        <w:br/>
        <w:t xml:space="preserve">  EXP | Capítulo IV</w:t>
        <w:br/>
        <w:br/>
        <w:t xml:space="preserve">   aparato respiratorio y además arrojó buenos resultados en sinergia con el sobrenadante</w:t>
        <w:br/>
        <w:br/>
        <w:t xml:space="preserve">   de la BAL C12. Asimismo, es importante destacar que es un antibiótico que se utiliza de</w:t>
        <w:br/>
        <w:t xml:space="preserve">   forma habitual por vía oral en ensayos con ratones por su facilidad de administración en</w:t>
        <w:br/>
        <w:br/>
        <w:t xml:space="preserve">    el agua de bebida.</w:t>
        <w:br/>
        <w:br/>
        <w:br/>
        <w:t>2.  Preparación del inóculo del patógeno</w:t>
        <w:br/>
        <w:br/>
        <w:br/>
        <w:t xml:space="preserve">   Se seleccionó la bacteria patógena P. multocida tipo A aislada de un brote de alta</w:t>
        <w:br/>
        <w:br/>
        <w:t xml:space="preserve">   mortalidad en un cebadero de corderos y se cultivó en el medio Agar Sangre durante 48</w:t>
        <w:br/>
        <w:t xml:space="preserve">   h a 37 ºC. Posteriormente, se inoculó en caldo Mueller Hinton durante 48 h a 37 ºC. y se</w:t>
        <w:br/>
        <w:br/>
        <w:t xml:space="preserve">    centrifugó a 5000 rpm durante 10 min. El pellet obtenido se resuspendió en SSF estéril</w:t>
        <w:br/>
        <w:t xml:space="preserve">   ajustado a dos valores de absorbancia a 450 nm: 0,19 y 0,35 correspondiente a dos dosis</w:t>
        <w:br/>
        <w:t xml:space="preserve">   de inóculo (104 y 107 ufc/mL, respectivamente).</w:t>
        <w:br/>
        <w:br/>
        <w:br/>
        <w:t>3.  Fase previa: puesta a punto de las técnicas y seguridad de los suplementos</w:t>
        <w:br/>
        <w:br/>
        <w:br/>
        <w:t xml:space="preserve">    Esta fase tiene dos objetivos principalmente: por un lado, poner a punto las técnicas y</w:t>
        <w:br/>
        <w:br/>
        <w:t xml:space="preserve">    establecer las dosis de infección adecuadas para la realización del ensayo clínico y, por</w:t>
        <w:br/>
        <w:t xml:space="preserve">   otro lado, garantizar la seguridad para los animales de los metabolitos bioactivos</w:t>
        <w:br/>
        <w:br/>
        <w:t xml:space="preserve">   contenidos en los suplementos. Además, también nos permitió calcular el tamaño</w:t>
        <w:br/>
        <w:t xml:space="preserve">    muestral.</w:t>
        <w:br/>
        <w:br/>
        <w:br/>
        <w:br/>
        <w:t xml:space="preserve">   Elaboración de los grupos</w:t>
        <w:br/>
        <w:br/>
        <w:t xml:space="preserve">   Se realizaron 4 grupos de 6 ratones cada uno, separados en jaulas de 3 animales que</w:t>
        <w:br/>
        <w:br/>
        <w:t xml:space="preserve">   fueron instaladas en una  sala SPF  (Specific Pathogen  Free,  libre de patógenos</w:t>
        <w:br/>
        <w:t xml:space="preserve">    específicos) una semana antes de comenzar los procedimientos para garantizar una</w:t>
        <w:br/>
        <w:br/>
        <w:t xml:space="preserve">    correcta adaptación de los animales a su nuevo hábitat. La elaboración de los grupos se</w:t>
        <w:br/>
        <w:br/>
        <w:t xml:space="preserve">    realizó como se muestra en la Tabla 4.1:</w:t>
        <w:br/>
        <w:br/>
        <w:br/>
        <w:br/>
        <w:br/>
        <w:br/>
        <w:t xml:space="preserve">    220  MARÍA BRAVO SANTILLANA</w:t>
        <w:br/>
      </w:r>
    </w:p>
    <w:p>
      <w:r>
        <w:t>Página 221:</w:t>
        <w:br/>
        <w:t xml:space="preserve">                                         EXP | Capítulo IV</w:t>
        <w:br/>
        <w:br/>
        <w:br/>
        <w:br/>
        <w:t xml:space="preserve">                Tabla 4.1. Elaboración de los grupos de la fase previa del estudio experimental</w:t>
        <w:br/>
        <w:t xml:space="preserve">    Grupo            Tratamiento o infección</w:t>
        <w:br/>
        <w:br/>
        <w:t xml:space="preserve">     Control         No recibió ningún tipo de tratamiento ni infección.</w:t>
        <w:br/>
        <w:br/>
        <w:t xml:space="preserve">    Suplemento       Se administró el suplemento con los metabolitos secretados por</w:t>
        <w:br/>
        <w:br/>
        <w:t xml:space="preserve">                             la bacteria L. salivarius C12 en una proporción 1:1 semanalmente</w:t>
        <w:br/>
        <w:br/>
        <w:t xml:space="preserve">                       (50 mL de sobrenadante en 50 mL de agua de bebida en el</w:t>
        <w:br/>
        <w:t xml:space="preserve">                       biberón) durante 21 días.</w:t>
        <w:br/>
        <w:br/>
        <w:br/>
        <w:t xml:space="preserve">     Infección DL50     Se inyectó una dosis única vía intraperitoneal a cada ratón de 0,2</w:t>
        <w:br/>
        <w:t xml:space="preserve">                 mL del inóculo a 104 ufc/mL.</w:t>
        <w:br/>
        <w:br/>
        <w:br/>
        <w:t xml:space="preserve">     Infección DL100    Se inyectó una dosis única vía intraperitoneal a cada ratón de 0,2</w:t>
        <w:br/>
        <w:t xml:space="preserve">                 mL del inóculo a 107 ufc/mL.</w:t>
        <w:br/>
        <w:br/>
        <w:br/>
        <w:t xml:space="preserve">   Se monitorizó el consumo del agua de bebida con y sin suplemento para garantizar que</w:t>
        <w:br/>
        <w:t xml:space="preserve">    los animales consumían el producto sin problemas y para calcular la dosis que ingirieron</w:t>
        <w:br/>
        <w:br/>
        <w:t xml:space="preserve">    los animales. Se observó diariamente a los ratones para evaluar la progresión de la</w:t>
        <w:br/>
        <w:t xml:space="preserve">   enfermedad mediante  la valoración del estado de ánimo  (inactividad, anorexia,</w:t>
        <w:br/>
        <w:br/>
        <w:t xml:space="preserve">    depresión), la sintomatología propia de la enfermedad (signos respiratorios como</w:t>
        <w:br/>
        <w:br/>
        <w:t xml:space="preserve">    disnea, ruidos respiratorios, presencia de exudados) y otros signos particulares de</w:t>
        <w:br/>
        <w:t xml:space="preserve">   enfermedad en los ratones, como los pelos erizados (Praveena et al., 2010). Además,</w:t>
        <w:br/>
        <w:br/>
        <w:t xml:space="preserve">   se registró la mortalidad y se monitorizó la aparición de otros signos y síntomas y se</w:t>
        <w:br/>
        <w:t xml:space="preserve">    realizó necropsia para estudio anatomopatológico y el diagnóstico de P. multocida de</w:t>
        <w:br/>
        <w:br/>
        <w:t xml:space="preserve">    los animales que causaron baja mediante los procedimientos que serán detallados más</w:t>
        <w:br/>
        <w:t xml:space="preserve">   adelante en este apartado.</w:t>
        <w:br/>
        <w:br/>
        <w:br/>
        <w:br/>
        <w:t>4.  Estudio de la eficacia de los compuestos bioactivos sobre el desarrollo de la infección</w:t>
        <w:br/>
        <w:br/>
        <w:t xml:space="preserve">   Como resultado de la fase previa, se estableció como dosis letal 50 (DL50), es decir, la</w:t>
        <w:br/>
        <w:t xml:space="preserve">    dosis del patógeno que provoca la muerte de la mitad de los animales, el inóculo de 104</w:t>
        <w:br/>
        <w:br/>
        <w:t xml:space="preserve">                                                                           221</w:t>
        <w:br/>
      </w:r>
    </w:p>
    <w:p>
      <w:r>
        <w:t>Página 222:</w:t>
        <w:br/>
        <w:t xml:space="preserve">  EXP | Capítulo IV</w:t>
        <w:br/>
        <w:br/>
        <w:t xml:space="preserve">   ufc/mL. Para esta fase se estableció un nuevo grupo control y dos grupos tratamiento</w:t>
        <w:br/>
        <w:br/>
        <w:t xml:space="preserve">    diferentes, a uno se le administró antibiótico y a otro el suplemento (Tabla 4.2).</w:t>
        <w:br/>
        <w:br/>
        <w:br/>
        <w:br/>
        <w:br/>
        <w:t xml:space="preserve">               Tabla 4.2. Elaboración de los grupos de la primera fase del estudio experimental</w:t>
        <w:br/>
        <w:t xml:space="preserve">    Grupo            Tratamiento o infección</w:t>
        <w:br/>
        <w:br/>
        <w:t xml:space="preserve">     Control           Se realizó la inyección intraperitoneal de SSF estéril y se rellenó</w:t>
        <w:br/>
        <w:br/>
        <w:t xml:space="preserve">                            el biberón con 100 mL de agua.</w:t>
        <w:br/>
        <w:br/>
        <w:t xml:space="preserve">     Antibiótico        Se inyectó vía intraperitoneal a cada ratón la DL50 y se administró</w:t>
        <w:br/>
        <w:t xml:space="preserve">                            el antibiótico doxicilina a una dosis de 10 mg/Kg/día durante 5</w:t>
        <w:br/>
        <w:t xml:space="preserve">                         días en el agua de bebida (300 µL de doxiciclina al 10 % en 100</w:t>
        <w:br/>
        <w:br/>
        <w:t xml:space="preserve">                 mL de agua en el biberón).</w:t>
        <w:br/>
        <w:br/>
        <w:t xml:space="preserve">    Suplemento       Se administró el suplemento con los metabolitos bioactivos de la</w:t>
        <w:br/>
        <w:t xml:space="preserve">                         bacteria L. salivarius C12 en una proporción 1:1 semanalmente</w:t>
        <w:br/>
        <w:br/>
        <w:t xml:space="preserve">                       (50 mL de sobrenadante en 50 mL de agua de bebida en el</w:t>
        <w:br/>
        <w:t xml:space="preserve">                       biberón) durante 14 días antes de la inyección intraperitoneal</w:t>
        <w:br/>
        <w:br/>
        <w:t xml:space="preserve">                     con el inóculo del patógeno a la DL50. Posteriormente a la</w:t>
        <w:br/>
        <w:t xml:space="preserve">                          infección, se prolongó la administración del suplemento durante</w:t>
        <w:br/>
        <w:br/>
        <w:t xml:space="preserve">                    5 días más.</w:t>
        <w:br/>
        <w:br/>
        <w:br/>
        <w:br/>
        <w:br/>
        <w:br/>
        <w:t>5.  Estudio de la eficacia de los compuestos bioactivos en sinergia con antibióticos sobre</w:t>
        <w:br/>
        <w:br/>
        <w:t xml:space="preserve">    el desarrollo de la infección</w:t>
        <w:br/>
        <w:br/>
        <w:br/>
        <w:t xml:space="preserve">   Dado que la DL50 no fue suficiente para valorar el efecto, se realizó un nuevo ensayo</w:t>
        <w:br/>
        <w:t xml:space="preserve">   con la dosis letal absoluta (DL100), es decir, el inóculo de 107 ufc/mL. En esta ocasión,</w:t>
        <w:br/>
        <w:t xml:space="preserve">   se estableció un nuevo grupo control, dos grupos tratamientos como en la fase anterior</w:t>
        <w:br/>
        <w:br/>
        <w:t xml:space="preserve">   y un nuevo grupo tratamiento con una combinación del antibiótico y el suplemento</w:t>
        <w:br/>
        <w:t xml:space="preserve">    (Tabla 4.3).</w:t>
        <w:br/>
        <w:br/>
        <w:br/>
        <w:br/>
        <w:br/>
        <w:t xml:space="preserve">    222  MARÍA BRAVO SANTILLANA</w:t>
        <w:br/>
      </w:r>
    </w:p>
    <w:p>
      <w:r>
        <w:t>Página 223:</w:t>
        <w:br/>
        <w:t xml:space="preserve">                                         EXP | Capítulo IV</w:t>
        <w:br/>
        <w:br/>
        <w:br/>
        <w:br/>
        <w:br/>
        <w:br/>
        <w:t xml:space="preserve">               Tabla 4.3. Elaboración de los grupos de la segunda fase del estudio experimental</w:t>
        <w:br/>
        <w:t xml:space="preserve">    Grupo            Tratamiento o infección</w:t>
        <w:br/>
        <w:br/>
        <w:t xml:space="preserve">     Control           Se realizó la inyección intraperitoneal de SSF estéril y se rellenó</w:t>
        <w:br/>
        <w:br/>
        <w:t xml:space="preserve">                            el biberón con 100 mL de agua de bebida.</w:t>
        <w:br/>
        <w:br/>
        <w:t xml:space="preserve">     Antibiótico        Se inyectó vía intraperitoneal a cada ratón  la DL100 y se</w:t>
        <w:br/>
        <w:t xml:space="preserve">                       administró el antibiótico doxicilina a una dosis de 10 mg/Kg/día</w:t>
        <w:br/>
        <w:t xml:space="preserve">                      durante 5 días en el agua de bebida (300 µL de doxiciclina al 10</w:t>
        <w:br/>
        <w:br/>
        <w:t xml:space="preserve">              % en 100 mL de agua en el biberón).</w:t>
        <w:br/>
        <w:br/>
        <w:t xml:space="preserve">    Suplemento       Se  administró   el  suplemento  en  una  proporción  1:1</w:t>
        <w:br/>
        <w:t xml:space="preserve">                    semanalmente (50 mL de sobrenadante en 50 mL de agua en el</w:t>
        <w:br/>
        <w:br/>
        <w:t xml:space="preserve">                       biberón) durante 14 días antes de la inyección intraperitoneal</w:t>
        <w:br/>
        <w:t xml:space="preserve">                     con el inóculo del patógeno a la DL100. Posteriormente a la</w:t>
        <w:br/>
        <w:br/>
        <w:t xml:space="preserve">                          infección, se prolongó la administración del suplemento durante</w:t>
        <w:br/>
        <w:t xml:space="preserve">                    5 días más.</w:t>
        <w:br/>
        <w:br/>
        <w:t xml:space="preserve">    Suplemento +     Se administró el suplemento a la misma dosis que el grupo</w:t>
        <w:br/>
        <w:br/>
        <w:t xml:space="preserve">     antibiótico        suplemento durante 14 días antes de la infección con la DL100 y</w:t>
        <w:br/>
        <w:t xml:space="preserve">                       se administró el antibiótico a la misma dosis que el grupo</w:t>
        <w:br/>
        <w:br/>
        <w:t xml:space="preserve">                           antibiótico.  Posteriormente a  la  infección,  se prolongó  la</w:t>
        <w:br/>
        <w:t xml:space="preserve">                        administración del suplemento durante 5 días más.</w:t>
        <w:br/>
        <w:br/>
        <w:br/>
        <w:br/>
        <w:br/>
        <w:t>6.  Finalización del estudio y diagnóstico de la infección</w:t>
        <w:br/>
        <w:br/>
        <w:br/>
        <w:t xml:space="preserve">   Se realizó necropsia a los animales que causaron baja en las siguientes 24 h tras la</w:t>
        <w:br/>
        <w:br/>
        <w:t xml:space="preserve">   muerte y al final de cada fase se eutanasió a los supervivientes mediante dislocación</w:t>
        <w:br/>
        <w:t xml:space="preserve">    cervical para la realización de las necropsias y estudios anatomopatológicos de todos los</w:t>
        <w:br/>
        <w:br/>
        <w:t xml:space="preserve">   ratones participantes en el estudio. El objetivo de esta fase es comparar las lesiones,</w:t>
        <w:br/>
        <w:t xml:space="preserve">   principalmente en los pulmones y realizar el diagnóstico de P. multocida para establecer</w:t>
        <w:br/>
        <w:br/>
        <w:t xml:space="preserve">    la causa de la muerte. Se tomaron muestras de los pulmones e hígado para confirmar el</w:t>
        <w:br/>
        <w:br/>
        <w:br/>
        <w:t xml:space="preserve">                                                                           223</w:t>
        <w:br/>
      </w:r>
    </w:p>
    <w:p>
      <w:r>
        <w:t>Página 224:</w:t>
        <w:br/>
        <w:t xml:space="preserve">  EXP | Capítulo IV</w:t>
        <w:br/>
        <w:br/>
        <w:t xml:space="preserve">    diagnóstico de P. multocida mediante cultivo en Agar Sangre y MacConkey, pruebas de</w:t>
        <w:br/>
        <w:br/>
        <w:t xml:space="preserve">    identificación básicas y confirmación mediante PCR según el protocolo previamente</w:t>
        <w:br/>
        <w:t xml:space="preserve">    descrito (Townsend et al., 2001).</w:t>
        <w:br/>
        <w:br/>
        <w:br/>
        <w:t>7.  Estudio estadístico</w:t>
        <w:br/>
        <w:br/>
        <w:br/>
        <w:t xml:space="preserve">    El análisis estadístico se realizó utilizando GraphPad Prism versión 8.00 para Windows</w:t>
        <w:br/>
        <w:t xml:space="preserve">   (GraphPad Software, La Jolla California USA, www.graphpad.com). Se realizaron curvas</w:t>
        <w:br/>
        <w:br/>
        <w:t xml:space="preserve">   de supervivencia de Kaplan-Meier y se analizaron las diferencias mediante la prueba del</w:t>
        <w:br/>
        <w:t xml:space="preserve">   logaritmo del rango (Logrank test), estableciendo 5 % de nivel de significación. El resto</w:t>
        <w:br/>
        <w:br/>
        <w:t xml:space="preserve">   de los parámetros del estudio se analizaron mediante la prueba de Kruskal-Wallis (Chi-</w:t>
        <w:br/>
        <w:t xml:space="preserve">   cuadrado) para las variables cualitativas y la prueba exacta de Fisher para variables</w:t>
        <w:br/>
        <w:br/>
        <w:t xml:space="preserve">    cuantitativas.</w:t>
        <w:br/>
        <w:br/>
        <w:br/>
        <w:br/>
        <w:br/>
        <w:br/>
        <w:t xml:space="preserve">    224  MARÍA BRAVO SANTILLANA</w:t>
        <w:br/>
      </w:r>
    </w:p>
    <w:p>
      <w:r>
        <w:t>Página 225:</w:t>
        <w:br/>
        <w:t xml:space="preserve">                                          EXP | Capítulo IV</w:t>
        <w:br/>
        <w:br/>
        <w:t>Figura resumen del método</w:t>
        <w:br/>
        <w:br/>
        <w:br/>
        <w:br/>
        <w:br/>
        <w:br/>
        <w:t xml:space="preserve">                                                                             225</w:t>
        <w:br/>
      </w:r>
    </w:p>
    <w:p>
      <w:r>
        <w:t>Página 226:</w:t>
        <w:br/>
        <w:t>EXP | Capítulo IV</w:t>
        <w:br/>
        <w:br/>
        <w:t>RESULTADOS</w:t>
        <w:br/>
        <w:br/>
        <w:br/>
        <w:br/>
        <w:t>Los metabolitos contenidos en el sobrenadante de L. salivarius son seguros para su</w:t>
        <w:br/>
        <w:t>administración por vía oral</w:t>
        <w:br/>
        <w:br/>
        <w:t>Los resultados completos del estudio se encuentran en el Apéndice II. Durante la fase</w:t>
        <w:br/>
        <w:t>previa al desarrollo del ensayo se confirmó que los animales se adaptaron bien a las</w:t>
        <w:br/>
        <w:br/>
        <w:t>jaulas en pocos días y no se registraron síntomas compatibles con enfermedad ni</w:t>
        <w:br/>
        <w:t>alteraciones en el comportamiento típico de la especie en el grupo control ni en el grupo</w:t>
        <w:br/>
        <w:br/>
        <w:t>suplementado, por lo que podemos afirmar que los metabolitos contenidos en el</w:t>
        <w:br/>
        <w:t>suplemento son seguros para su administración por vía oral y respetuosos con el</w:t>
        <w:br/>
        <w:br/>
        <w:t>bienestar animal. En todos los animales infectados se detectó el patógeno Pasteurella</w:t>
        <w:br/>
        <w:br/>
        <w:t>multocida mediante cultivo y confirmación por PCR y, como es lógico, se detectaron</w:t>
        <w:br/>
        <w:t>diferencias estadísticamente significativas en la mortalidad y morbilidad (síntomas y</w:t>
        <w:br/>
        <w:br/>
        <w:t>lesiones) entre los animales que no fueron infectados, incluidos los que recibieron el</w:t>
        <w:br/>
        <w:t>suplemento, y los animales infectados. Esto confirma la infección y descarta que se</w:t>
        <w:br/>
        <w:br/>
        <w:t>produzcan  alteraciones debido a  la administración  del suplemento  (morbilidad,</w:t>
        <w:br/>
        <w:t>exudados, lesiones macroscópicas en pulmón, hemorragias en cavidad torácica y</w:t>
        <w:br/>
        <w:br/>
        <w:t>número de bajas P&lt;0,0001, y adherencias en cavidad torácica P&lt;0,05). Algunos detalles</w:t>
        <w:br/>
        <w:t>de signos y síntomas se encuentran en la figura 4.2. En cuanto a las curvas de</w:t>
        <w:br/>
        <w:br/>
        <w:t>supervivencia de Kaplan-Meier que se muestran en la figura 4.1A, se observaron</w:t>
        <w:br/>
        <w:t>diferencias estadísticamente significativas mediante el test del logaritmo del rango</w:t>
        <w:br/>
        <w:br/>
        <w:t>(P&lt;0,0001).</w:t>
        <w:br/>
        <w:br/>
        <w:br/>
        <w:br/>
        <w:t>La DL50 no es adecuada para valorar una posible sinergia del antibiótico y los</w:t>
        <w:br/>
        <w:t>metabolitos del sobrenadante</w:t>
        <w:br/>
        <w:br/>
        <w:t>En cuanto a los grupos infectados, se estableció como DL50 el inóculo del patógeno a</w:t>
        <w:br/>
        <w:t>104 ufc/mL, puesto que se produjo una mortalidad del 50 % en este grupo, y como DL100</w:t>
        <w:br/>
        <w:t>el inóculo a 107 ufc/mL, con una mortalidad del 100 %. Las bajas para la DL50 se</w:t>
        <w:br/>
        <w:t>observaron en los dos primeros días posinfección (dpi) con animales con síntomas leves</w:t>
        <w:br/>
        <w:br/>
        <w:t xml:space="preserve"> 226  MARÍA BRAVO SANTILLANA</w:t>
        <w:br/>
      </w:r>
    </w:p>
    <w:p>
      <w:r>
        <w:t>Página 227:</w:t>
        <w:br/>
        <w:t xml:space="preserve">                                      EXP | Capítulo IV</w:t>
        <w:br/>
        <w:br/>
        <w:t>inespecíficos como pelos erizados e inactividad. Las bajas para la DL100 se sucedieron</w:t>
        <w:br/>
        <w:br/>
        <w:t>por goteo durante los cuatro dpi con síntomas más graves como signos respiratorios,</w:t>
        <w:br/>
        <w:t>inactividad total y, en algunos casos, coma previo a la muerte. En la fase 1 se infectó a</w:t>
        <w:br/>
        <w:br/>
        <w:t>los animales con la DL50 y se propusieron dos tratamientos: un grupo recibió el</w:t>
        <w:br/>
        <w:t>suplemento y otro grupo recibió terapia antibiótica. Aproximadamente la mitad de los</w:t>
        <w:br/>
        <w:br/>
        <w:t>animales mostró síntomas leves, igual que en la fase previa, y en todos los animales</w:t>
        <w:br/>
        <w:br/>
        <w:t>infectados se aisló P. multocida, que fue confirmado mediante PCR. No se observaron</w:t>
        <w:br/>
        <w:t>diferencias en la mortalidad en el grupo control con respecto al grupo suplementado, ni</w:t>
        <w:br/>
        <w:br/>
        <w:t>en las curvas de supervivencia (Figura 4.1B, P=0,78), sin embargo, todos los animales del</w:t>
        <w:br/>
        <w:t>grupo antibiótico se recuperaron favorablemente y no se registró ninguna baja en este</w:t>
        <w:br/>
        <w:br/>
        <w:t>grupo. Debido a esto, este ensayo no se considera adecuado para evaluar la sinergia del</w:t>
        <w:br/>
        <w:t>antibiótico y el suplemento, por lo que se repitió el ensayo con la DL100 y se incluyó un</w:t>
        <w:br/>
        <w:br/>
        <w:t>grupo con ambos tratamientos.</w:t>
        <w:br/>
        <w:br/>
        <w:br/>
        <w:br/>
        <w:t>Los metabolitos antimicrobianos producidos por L. salivarius C12 disminuyen la</w:t>
        <w:br/>
        <w:br/>
        <w:t>mortalidad provocada por la infección con P. multocida en combinación con la terapia</w:t>
        <w:br/>
        <w:t>antibiótica</w:t>
        <w:br/>
        <w:br/>
        <w:t>En la fase 2 se infectó a los ratones con la DL100 y se obtuvo una mortalidad del 100 %</w:t>
        <w:br/>
        <w:br/>
        <w:t>en el grupo control en el grupo que recibió el suplemento y en el grupo que recibió el</w:t>
        <w:br/>
        <w:t>antibiótico. A diferencia de la fase anterior, el antibiótico no fue suficiente para</w:t>
        <w:br/>
        <w:br/>
        <w:t>recuperar a los animales, cuya muerte se produjo tras la aparición de síntomas graves</w:t>
        <w:br/>
        <w:t>como depresión, signos respiratorios y coma previo a la muerte. Por el contrario, en el</w:t>
        <w:br/>
        <w:br/>
        <w:t>grupo que recibió el antibiótico y el suplemento, se encontró una supervivencia del</w:t>
        <w:br/>
        <w:t>33,33 % de los animales, además, estos animales supervivientes mostraron síntomas de</w:t>
        <w:br/>
        <w:br/>
        <w:t>menor gravedad y consiguieron recuperarse en pocos días. Las diferencias encontradas</w:t>
        <w:br/>
        <w:t>en las curvas de supervivencia fueron estadísticamente significativas (Figura 4.1C,</w:t>
        <w:br/>
        <w:br/>
        <w:t>P=0,0255). Se confirmó la infección de P. multocida en todos los animales que fueron</w:t>
        <w:br/>
        <w:br/>
        <w:t>inoculados, pero no se detectaron diferencias estadísticamente significativas en el</w:t>
        <w:br/>
        <w:t>estudio anatomopatológico ni en los síntomas mostrados por los animales (P&gt;0,05).</w:t>
        <w:br/>
        <w:br/>
        <w:br/>
        <w:br/>
        <w:t xml:space="preserve">                                                                        227</w:t>
        <w:br/>
      </w:r>
    </w:p>
    <w:p>
      <w:r>
        <w:t>Página 228:</w:t>
        <w:br/>
        <w:t>EXP | Capítulo IV</w:t>
        <w:br/>
        <w:br/>
        <w:br/>
        <w:br/>
        <w:br/>
        <w:br/>
        <w:t>Figura 4.1. Curvas de supervivencia de Kaplan-Meier en los diferentes grupos del estudio. (A) En la fase previa se</w:t>
        <w:br/>
        <w:t>detectaron diferencias estadísticamente significativas (test del logaritmo del rango, P&lt;0,0001) en la supervivencia de los</w:t>
        <w:br/>
        <w:t>animales infectados (triángulos) con respecto a los animales que no fueron infectados (círculos y cuadrados, superpuestos),</w:t>
        <w:br/>
        <w:t>incluidos los que recibieron el suplemento. (B) En la fase 1 se infectó a los animales con la DL50 y, tanto en el grupo control</w:t>
        <w:br/>
        <w:t>sin tratamiento (círculos) como en el grupo suplemento (triángulos) no se observaron diferencias en la supervivencia de los</w:t>
        <w:br/>
        <w:t>animales, que fue del 50 %. El grupo antibiótico (cuadrados) tuvo una supervivencia del 100 pero estas diferencias no fueron</w:t>
        <w:br/>
        <w:t>estadísticamente significativas (test del logaritmo del rango, P&lt;0,78). (C) En la fase 2 se infectó a los animales con la DL100,</w:t>
        <w:br/>
        <w:t>que provocó una mortalidad del 100 % en el grupo control (círculos), antibiótico (cuadrados) y suplemento (triángulos). Sin</w:t>
        <w:br/>
        <w:t>embargo, se registró una supervivencia del 33,33 % en el grupo que fue tratado con antibióticos en combinación con el</w:t>
        <w:br/>
        <w:t>suplemento (test del logaritmo del rango, p&lt;0,05).</w:t>
        <w:br/>
        <w:br/>
        <w:t xml:space="preserve"> 228  MARÍA BRAVO SANTILLANA</w:t>
        <w:br/>
      </w:r>
    </w:p>
    <w:p>
      <w:r>
        <w:t>Página 229:</w:t>
        <w:br/>
        <w:t xml:space="preserve">                                      EXP | Capítulo IV</w:t>
        <w:br/>
        <w:br/>
        <w:br/>
        <w:br/>
        <w:br/>
        <w:br/>
        <w:t>Figura 4.2. Síntomas y signos compatibles con la infección experimental por Pasteurella multocida en</w:t>
        <w:br/>
        <w:t>modelo ratón. (Ai) Pelos erizados y exudado ocular no hemorrágico, más leve y (Aii) hemorrágico, más</w:t>
        <w:br/>
        <w:t>grave. (B) Hallazgo de adherencias en cavidad torácica durante la necropsia. (Ci) Pulmón con lesiones</w:t>
        <w:br/>
        <w:t>neumónicas compatibles con la infección y (Cii) pulmón aparentemente sano, sin lesiones macroscópicas.</w:t>
        <w:br/>
        <w:br/>
        <w:br/>
        <w:t xml:space="preserve">                                           MARÍA BRAVO SANTILLANA  229</w:t>
        <w:br/>
      </w:r>
    </w:p>
    <w:p>
      <w:r>
        <w:t>Página 230:</w:t>
        <w:br/>
        <w:t>EXP | Capítulo IV</w:t>
        <w:br/>
        <w:br/>
        <w:t>DISCUSIÓN</w:t>
        <w:br/>
        <w:br/>
        <w:br/>
        <w:t>La investigación en modelos animales de infección experimental continúa siendo</w:t>
        <w:br/>
        <w:t>necesaria para aumentar el conocimiento sobre las enfermedades y sus medidas de</w:t>
        <w:br/>
        <w:br/>
        <w:t>control, además de ser fundamental para  el desarrollo de nuevas herramientas</w:t>
        <w:br/>
        <w:t>terapéuticas. En este capítulo se seleccionó para la infección experimental la bacteria</w:t>
        <w:br/>
        <w:br/>
        <w:t>patógena P. multocida tipo A, por la importancia que tienen los procesos provocados</w:t>
        <w:br/>
        <w:br/>
        <w:t>por esta bacteria en Sanidad Animal, puesto que tienen un gran impacto negativo sobre</w:t>
        <w:br/>
        <w:t>las explotaciones ganaderas (Radostits et al., 2007). Además, este serotipo en concreto,</w:t>
        <w:br/>
        <w:br/>
        <w:t>ha sido previamente estudiado en modelo ratón y sus resultados son extrapolables a</w:t>
        <w:br/>
        <w:t>otras especies (Ferran et al., 2011; Praveena et al., 2010; Vasseur et al., 2017).</w:t>
        <w:br/>
        <w:br/>
        <w:br/>
        <w:t>Por otro lado, para la planificación y el diseño de un modelo experimental que replique</w:t>
        <w:br/>
        <w:br/>
        <w:t>una enfermedad infecciosa, es necesario realizar una intensa batería de estudios in vitro</w:t>
        <w:br/>
        <w:t>como paso previo al desarrollo del modelo (Miró y Gatell, 2000). En este sentido, a raíz</w:t>
        <w:br/>
        <w:br/>
        <w:t>de los resultados descritos en los capítulos anteriores de esta tesis doctoral, se</w:t>
        <w:br/>
        <w:t>seleccionó el aislado de BAL L. salivarius C12 debido a que produce metabolitos</w:t>
        <w:br/>
        <w:br/>
        <w:t>antimicrobianos que actúan en sinergia con el antibiótico doxiciclina, potenciando el</w:t>
        <w:br/>
        <w:br/>
        <w:t>efecto inhibitorio frente al patógeno mencionado. En el estudio previo de evaluación de</w:t>
        <w:br/>
        <w:t>sinergia antimicrobiana,  el sobrenadante de esta BAL disminuyó  la CMI para  la</w:t>
        <w:br/>
        <w:br/>
        <w:t>doxiciclina, de 4 a 1 µg/mL, siendo este su punto de corte clínico. Además, este</w:t>
        <w:br/>
        <w:t>antibiótico se considera de elección para su administración por vía oral para el</w:t>
        <w:br/>
        <w:br/>
        <w:t>tratamiento de procesos infecciosos que cursen con neumonía en ratones, incluidos los</w:t>
        <w:br/>
        <w:t>animales criados en condiciones de laboratorio para este tipo de estudios (Harkness et</w:t>
        <w:br/>
        <w:br/>
        <w:t>al., 2013; Morris, 1995).</w:t>
        <w:br/>
        <w:br/>
        <w:br/>
        <w:t>En la primera fase del ensayo experimental se demostró que el suplemento elaborado</w:t>
        <w:br/>
        <w:br/>
        <w:t>a partir de los metabolitos del aislado C12 son seguros para su administración por vía</w:t>
        <w:br/>
        <w:t>oral, puesto que no se observaron alteraciones en el comportamiento ni presencia de</w:t>
        <w:br/>
        <w:br/>
        <w:t>signos clínicos de enfermedad en los animales del estudio. Aunque está aceptado por la</w:t>
        <w:br/>
        <w:t>comunidad científica que las bacteriocinas y el resto de metabolitos antimicrobianos</w:t>
        <w:br/>
        <w:br/>
        <w:t xml:space="preserve"> 230  MARÍA BRAVO SANTILLANA</w:t>
        <w:br/>
      </w:r>
    </w:p>
    <w:p>
      <w:r>
        <w:t>Página 231:</w:t>
        <w:br/>
        <w:t xml:space="preserve">                                      EXP | Capítulo IV</w:t>
        <w:br/>
        <w:br/>
        <w:t>producidos por las BAL son seguros y carecen de toxicidad para las células de los</w:t>
        <w:br/>
        <w:br/>
        <w:t>mamíferos, debido al estatus QPS de los microorganismos que las producen, es</w:t>
        <w:br/>
        <w:br/>
        <w:t>importante  realizar estudios de seguridad  si se pretenden  incluir en  la terapia</w:t>
        <w:br/>
        <w:t>antimicrobiana en un futuro (Soltani et al., 2021). Por lo general, no son necesarios</w:t>
        <w:br/>
        <w:br/>
        <w:t>estudios adicionales para asegurar su inocuidad, pero en ocasiones podría ser</w:t>
        <w:br/>
        <w:t>interesante llevar a cabo estudios de toxicidad en modelos celulares y/o animales para</w:t>
        <w:br/>
        <w:br/>
        <w:t>descartar una acción potencialmente perjudicial sobre  las células animales o  la</w:t>
        <w:br/>
        <w:t>acumulación de productos tóxicos, sobre todo cuando se trata de componentes del</w:t>
        <w:br/>
        <w:br/>
        <w:t>sobrenadante no caracterizados y el objetivo sea el desarrollo de biofármacos (Cebrián</w:t>
        <w:br/>
        <w:t>et al., 2019; Singh et al., 2014; Soltani et al., 2021).</w:t>
        <w:br/>
        <w:br/>
        <w:br/>
        <w:t>Debido a la importancia de las infecciones producidas por especies de la familia</w:t>
        <w:br/>
        <w:br/>
        <w:t>Pasteurellacea en medicina veterinaria, especialmente en producción animal (Radostits</w:t>
        <w:br/>
        <w:br/>
        <w:t>et al., 2007), se diseñó un modelo de infección experimental con un aislado de P.</w:t>
        <w:br/>
        <w:t>multocida obtenido a partir de un brote en un cebadero de corderos. Se infectó a los</w:t>
        <w:br/>
        <w:br/>
        <w:t>ratones con P. multocida tipo A de forma experimental y para el tratamiento de los</w:t>
        <w:br/>
        <w:t>animales se propuso una terapia combinatoria entre el antibiótico doxiciclina y un</w:t>
        <w:br/>
        <w:br/>
        <w:t>suplemento elaborado a partir de los metabolitos antimicrobianos de la cepa  L.</w:t>
        <w:br/>
        <w:t>salivarius C12. El objetivo de la terapia antibiótica es eliminar el patógeno de un</w:t>
        <w:br/>
        <w:br/>
        <w:t>organismo  mediante  la  administración  de  una  cantidad  óptima  del  agente</w:t>
        <w:br/>
        <w:t>antimicrobiano que sea capaz de inhibir al agente infeccioso en el lugar de la infección</w:t>
        <w:br/>
        <w:br/>
        <w:t>(Bravo, 2019). Las interacciones de tipo funcional entre diferentes compuestos con</w:t>
        <w:br/>
        <w:br/>
        <w:t>actividad antimicrobiana se producen cuando se origina un aumento cuantitativo de la</w:t>
        <w:br/>
        <w:t>acción farmacológica por la acción simultánea de dos agentes, y se denominan de</w:t>
        <w:br/>
        <w:br/>
        <w:t>«potenciación» o sinergias propiamente dichas cuando el efecto combinado de ambos</w:t>
        <w:br/>
        <w:t>es mayor al efecto de estos utilizados de forma individual (Blumenthal y Garrison, 2011),</w:t>
        <w:br/>
        <w:br/>
        <w:t>como lo que ocurre en este ensayo clínico.</w:t>
        <w:br/>
        <w:br/>
        <w:br/>
        <w:t>La DL50 del patógeno utilizada durante el ensayo no se consideró adecuada para valorar</w:t>
        <w:br/>
        <w:t>una posible sinergia entre el antibiótico y las fracciones antimicrobianas del suplemento</w:t>
        <w:br/>
        <w:br/>
        <w:t>puesto que,  si bien la bacteria mostró resistencia antibiótica in vitro, la terapia</w:t>
        <w:br/>
        <w:br/>
        <w:t xml:space="preserve">                                           MARÍA BRAVO SANTILLANA  231</w:t>
        <w:br/>
      </w:r>
    </w:p>
    <w:p>
      <w:r>
        <w:t>Página 232:</w:t>
        <w:br/>
        <w:t>EXP | Capítulo IV</w:t>
        <w:br/>
        <w:br/>
        <w:t>antibiótica in vivo en el modelo animal propuesto consiguió recuperar a la totalidad de</w:t>
        <w:br/>
        <w:br/>
        <w:t>los animales. La DL100 causó la muerte de la totalidad de los animales infectados sin</w:t>
        <w:br/>
        <w:br/>
        <w:t>tratamiento o con ambos tratamientos por separado, sin embargo, se consiguió</w:t>
        <w:br/>
        <w:t>recuperar un tercio de los animales cuando se combinaron la terapia antibiótica y el</w:t>
        <w:br/>
        <w:br/>
        <w:t>suplemento con los metabolitos antimicrobianos producidos por L. salivarius C12, con</w:t>
        <w:br/>
        <w:t>diferencias estadísticamente significativas en las diferentes curvas de Kaplan-Meier, que</w:t>
        <w:br/>
        <w:br/>
        <w:t>son un método válido para analizar diferencias en estudios de supervivencia, incluso</w:t>
        <w:br/>
        <w:t>cuando se trata de grupos pequeños de comparación (Rich et al., 2010). Nuestros</w:t>
        <w:br/>
        <w:br/>
        <w:t>resultados son comparables a otros estudios de infección experimental con P. multocida</w:t>
        <w:br/>
        <w:t>en modelo ratón cuya terapia se basa en la administración de antibióticos (Ferran et al.,</w:t>
        <w:br/>
        <w:br/>
        <w:t>2011), pero hasta la fecha este es el primer estudio que ensaya esta asociación para este</w:t>
        <w:br/>
        <w:t>patógeno en concreto. No obstante, existen diversos estudios en otros modelos</w:t>
        <w:br/>
        <w:br/>
        <w:t>animales que confirman la asociación efectiva entre diferentes agentes antimicrobianos,</w:t>
        <w:br/>
        <w:br/>
        <w:t>entre los que se incluyen bacteriocinas u otros metabolitos y antibióticos (Mathur et al.,</w:t>
        <w:br/>
        <w:t>2017; Singh et al., 2014).</w:t>
        <w:br/>
        <w:br/>
        <w:br/>
        <w:t>Como se ha comentado anteriormente, los metabolitos antimicrobianos de las BAL</w:t>
        <w:br/>
        <w:br/>
        <w:t>tienen un mayor espectro de acción frente a bacterias Gram +, más próximas a ellas</w:t>
        <w:br/>
        <w:t>filogenéticamente y con las que generalmente comparten nichos ecológicos. Además,</w:t>
        <w:br/>
        <w:br/>
        <w:t>el mecanismo de acción de la mayoría de las bacteriocinas se basa en actuar sobre la</w:t>
        <w:br/>
        <w:t>pared bacteriana (Alvarez-Sieiro et al., 2016), motivo por el cual es posible que el efecto</w:t>
        <w:br/>
        <w:br/>
        <w:t>terapéutico del suplemento por sí mismo no sea suficiente para el control de la infección</w:t>
        <w:br/>
        <w:br/>
        <w:t>producida por  el patógeno, que es Gram  -.  El suplemento podría contener  las</w:t>
        <w:br/>
        <w:t>bacteriocinas de clase IId y de clase III que se encontraron en el genoma y cuya actividad</w:t>
        <w:br/>
        <w:br/>
        <w:t>antimicrobiana se comprobó en los estudios in vitro descritos más arriba y puede</w:t>
        <w:br/>
        <w:t>deberse a la degradación de la pared bacteriana, que junto con el ácido láctico, que</w:t>
        <w:br/>
        <w:br/>
        <w:t>actúa permeabilizando esta membrana celular (Alakomi et al., 2000), favorecería la</w:t>
        <w:br/>
        <w:t>entrada del antibiótico a la célula del patógeno, donde se une a la subunidad 30S del</w:t>
        <w:br/>
        <w:br/>
        <w:t>ribosoma e inhibe la síntesis de proteínas para ejercer su mecanismo de acción</w:t>
        <w:br/>
        <w:t>inhibiendo  el desarrollo de  la  bacteria.  Al combinar todos  los metabolitos del</w:t>
        <w:br/>
        <w:br/>
        <w:t>suplemento con la terapia antibiótica, se consigue potenciar el efecto antimicrobiano</w:t>
        <w:br/>
        <w:br/>
        <w:t>original y ampliar el espectro de inhibición del patógeno, incluso existiendo resistencia</w:t>
        <w:br/>
        <w:t xml:space="preserve"> 232  MARÍA BRAVO SANTILLANA</w:t>
        <w:br/>
      </w:r>
    </w:p>
    <w:p>
      <w:r>
        <w:t>Página 233:</w:t>
        <w:br/>
        <w:t xml:space="preserve">                                      EXP | Capítulo IV</w:t>
        <w:br/>
        <w:br/>
        <w:t>antibiótica, puesto que es importante destacar que la cepa de P. multocida utilizada</w:t>
        <w:br/>
        <w:br/>
        <w:t>mostró originalmente resistencia a la doxiciclina in vitro. Uno de los mecanismos de</w:t>
        <w:br/>
        <w:br/>
        <w:t>resistencia a tetraciclinas que se han descrito radica en la alteración de la permeabilidad</w:t>
        <w:br/>
        <w:t>de la membrana para evitar el paso del antibiótico al interior celular, fundamental para</w:t>
        <w:br/>
        <w:br/>
        <w:t>ejercer su mecanismo de acción (Grossman, 2016; Kehrenberg et  al., 2001).  El</w:t>
        <w:br/>
        <w:t>mecanismo de acción del ácido láctico y las bacteriocinas en su conjunto podría revertir</w:t>
        <w:br/>
        <w:br/>
        <w:t>este mecanismo de resistencia, favoreciendo el paso del antibiótico al interior celular,</w:t>
        <w:br/>
        <w:t>como se ha comentado anteriormente.</w:t>
        <w:br/>
        <w:br/>
        <w:br/>
        <w:t>Desde el punto de vista de la investigación básica, sería muy interesante ahondar en el</w:t>
        <w:br/>
        <w:br/>
        <w:t>conocimiento de los metabolitos exactos que tienen una mayor actividad y poder</w:t>
        <w:br/>
        <w:t>realizar una caracterización completa de los sobrenadantes para conocer la totalidad de</w:t>
        <w:br/>
        <w:br/>
        <w:t>sus componentes y la interacción entre ellos, determinando las bases farmacodinámicas</w:t>
        <w:br/>
        <w:br/>
        <w:t>de la sinergia detectada. Los componentes antimicrobianos podrían identificarse de</w:t>
        <w:br/>
        <w:t>forma  fiable mediante  resonancia magnética  nuclear (RMN),  espectroscopía o</w:t>
        <w:br/>
        <w:br/>
        <w:t>espectrometría de masas (Aguilar-Toalá et al., 2018; Kanak y Yilmaz, 2018; Şanlıbaba y</w:t>
        <w:br/>
        <w:t>Güçer, 2015) y la cuantificación de la fracción proteica mediante el método de Bradford</w:t>
        <w:br/>
        <w:br/>
        <w:t>o utilizando el ácido bicinconínico (BCA) (Cleveland et al., 2002; Kawai et al., 2004). Esta</w:t>
        <w:br/>
        <w:t>caracterización completa será llevada a cabo en futuros estudios para lograr  la</w:t>
        <w:br/>
        <w:br/>
        <w:t>optimización de la producción de los metabolitos que jueguen un papel más relevante y</w:t>
        <w:br/>
        <w:t>poder cuantificarlos para la realización de estudios dosis-efecto. No obstante, desde el</w:t>
        <w:br/>
        <w:br/>
        <w:t>punto de vista industrial, el suplemento elaborado, con todos sus componentes en las</w:t>
        <w:br/>
        <w:br/>
        <w:t>proporciones que se generan de forma espontánea, ha demostrado ser seguro y tener</w:t>
        <w:br/>
        <w:t>efectividad en el tratamiento de una enfermedad de gran relevancia en Sanidad Animal.</w:t>
        <w:br/>
        <w:br/>
        <w:br/>
        <w:t>Esta tesis doctoral engloba, por primera vez, un conjunto de experimentos encaminados</w:t>
        <w:br/>
        <w:br/>
        <w:t>a optimizar la producción de metabolitos de una cepa de L. salivarius para elaborar un</w:t>
        <w:br/>
        <w:t>suplemento que actúe de forma sinérgica con la terapia antibiótica para el control de</w:t>
        <w:br/>
        <w:br/>
        <w:t>una infección experimental por P. multocida. El modelo experimental de este estudio no</w:t>
        <w:br/>
        <w:t>solo comprueba la eficacia del suplemento elaborado, sino que además ha permitido</w:t>
        <w:br/>
        <w:br/>
        <w:t>validar el método de selección de las bacterias beneficiosas, la evaluación de su</w:t>
        <w:br/>
        <w:br/>
        <w:t xml:space="preserve">                                           MARÍA BRAVO SANTILLANA  233</w:t>
        <w:br/>
      </w:r>
    </w:p>
    <w:p>
      <w:r>
        <w:t>Página 234:</w:t>
        <w:br/>
        <w:t>EXP | Capítulo IV</w:t>
        <w:br/>
        <w:br/>
        <w:t>actividad antimicrobiana y el proceso de optimización de metabolitos y detección de</w:t>
        <w:br/>
        <w:br/>
        <w:t>sinergias con antibióticos in vitro, descrita en los capítulos del bloque anterior.</w:t>
        <w:br/>
        <w:br/>
        <w:br/>
        <w:t>Las infecciones experimentales en modelos animales son fundamentales para evaluar la</w:t>
        <w:br/>
        <w:br/>
        <w:t>efectividad y seguridad de un nuevo tratamiento o una nueva pauta antimicrobiana</w:t>
        <w:br/>
        <w:t>(Miró y Gatell, 2000) y podrían ser consideradas como un paso previo a la elaboración</w:t>
        <w:br/>
        <w:br/>
        <w:t>de un producto que pueda ser administrado y analizado en condiciones reales, más allá</w:t>
        <w:br/>
        <w:t>de las puramente experimentales, como se verá en los siguientes capítulos. Este estudio</w:t>
        <w:br/>
        <w:br/>
        <w:t>sienta las bases científicas del desarrollo industrial de un producto posbiótico, que será</w:t>
        <w:br/>
        <w:t>definido y descrito en los siguientes capítulos de esta tesis doctoral, y que surge de</w:t>
        <w:br/>
        <w:br/>
        <w:t>forma innovadora como nueva alternativa para el control de enfermedades infecciosas</w:t>
        <w:br/>
        <w:t>en medicina veterinaria, que compense la escasez de antibióticos de nueva generación</w:t>
        <w:br/>
        <w:br/>
        <w:t>y ayude a combatir el grave problema de las resistencias a los antibióticos.</w:t>
        <w:br/>
        <w:br/>
        <w:br/>
        <w:br/>
        <w:br/>
        <w:br/>
        <w:t xml:space="preserve"> 234  MARÍA BRAVO SANTILLANA</w:t>
        <w:br/>
      </w:r>
    </w:p>
    <w:p>
      <w:r>
        <w:t>Página 235:</w:t>
        <w:br/>
        <w:t xml:space="preserve">                                      EXP | Capítulo IV</w:t>
        <w:br/>
        <w:br/>
        <w:br/>
        <w:br/>
        <w:t>CAPÍTULO V: Administración de posbióticos para la mejora de los</w:t>
        <w:br/>
        <w:t>indicadores  sanitarios  y  los  parámetros  productivos  en</w:t>
        <w:br/>
        <w:t>ganadería</w:t>
        <w:br/>
        <w:br/>
        <w:br/>
        <w:br/>
        <w:br/>
        <w:br/>
        <w:t xml:space="preserve">                                          MARÍA BRAVO SANTILLANA  235</w:t>
        <w:br/>
      </w:r>
    </w:p>
    <w:p>
      <w:r>
        <w:t>Página 236:</w:t>
        <w:br/>
        <w:t>EXP | Capítulo V</w:t>
        <w:br/>
        <w:br/>
        <w:br/>
        <w:br/>
        <w:br/>
        <w:br/>
        <w:t xml:space="preserve"> 236  MARÍA BRAVO SANTILLANA</w:t>
        <w:br/>
      </w:r>
    </w:p>
    <w:p>
      <w:r>
        <w:t>Página 237:</w:t>
        <w:br/>
        <w:t xml:space="preserve">                                       EXP | Capítulo V</w:t>
        <w:br/>
        <w:br/>
        <w:t>INTRODUCCIÓN</w:t>
        <w:br/>
        <w:br/>
        <w:br/>
        <w:br/>
        <w:t>La búsqueda de alternativas a los antibióticos: una necesidad actual</w:t>
        <w:br/>
        <w:br/>
        <w:t>El sector ganadero ha sufrido importantes transformaciones y ha ido progresando de</w:t>
        <w:br/>
        <w:br/>
        <w:t>forma exponencial durante las últimas décadas, siendo el sector que más crecimiento</w:t>
        <w:br/>
        <w:t>ha experimentado dentro de la economía agrícola. La ganadería aporta un 40 % del valor</w:t>
        <w:br/>
        <w:br/>
        <w:t>de la producción agrícola global y representa el principal medio de subsistencia de casi</w:t>
        <w:br/>
        <w:t>1.300 millones de personas en todo el mundo. El crecimiento poblacional y económico</w:t>
        <w:br/>
        <w:br/>
        <w:t>ha favorecido  la  intensificación en  la producción ganadera como respuesta  al</w:t>
        <w:br/>
        <w:t>incremento en la demanda de productos de origen animal (Alexandratos y Bruinsma,</w:t>
        <w:br/>
        <w:br/>
        <w:t>2012; Bajagai et al., 2016). Estos hechos han traído aparejados dos graves problemas</w:t>
        <w:br/>
        <w:br/>
        <w:t>relacionados con la Salud Pública. Por una parte, la administración de antibióticos en</w:t>
        <w:br/>
        <w:t>dosis subterapéuticas como promotores del crecimiento para aumentar los indicadores</w:t>
        <w:br/>
        <w:br/>
        <w:t>productivos de los animales es una de las principales causas de aparición y diseminación</w:t>
        <w:br/>
        <w:t>de resistencias antimicrobianas, lo que ocasionó la prohibición de esta práctica en todos</w:t>
        <w:br/>
        <w:br/>
        <w:t>los países de la Unión Europea en el año 2006 (EC/1831/2003). Por otra parte, la</w:t>
        <w:br/>
        <w:t>emergencia de las enfermedades zoonóticas transmitidas a través de los alimentos de</w:t>
        <w:br/>
        <w:br/>
        <w:t>origen animal, denominadas «toxiinfecciones alimentarias», continúan siendo una seria</w:t>
        <w:br/>
        <w:t>amenaza para la Salud Pública y además causan importantes pérdidas económicas en</w:t>
        <w:br/>
        <w:br/>
        <w:t>las producciones a nivel mundial (Bajagai et al., 2016; Gil-Sánchez, 2003).</w:t>
        <w:br/>
        <w:br/>
        <w:br/>
        <w:t>En este contexto, surge  la necesidad de buscar  alternativas para   limitar    la</w:t>
        <w:br/>
        <w:br/>
        <w:t>administración de antimicrobianos para su uso terapéutico y  permitan satisfacer el</w:t>
        <w:br/>
        <w:t>incremento en la demanda de productos de origen animal, sin comprometer la salud de</w:t>
        <w:br/>
        <w:br/>
        <w:t>estos y de las personas (Bajagai et al., 2016; Ribeiro et al., 2016). Estas alternativas</w:t>
        <w:br/>
        <w:t>deben ser sostenibles; mejorar los indicadores productivos de los animales y, sobre</w:t>
        <w:br/>
        <w:br/>
        <w:t>todo, su salud, la salud medioambiental y, con ello, la salud humana bajo la estrategia</w:t>
        <w:br/>
        <w:t>global «One Health» (Figura 5.1).</w:t>
        <w:br/>
        <w:br/>
        <w:br/>
        <w:br/>
        <w:br/>
        <w:t xml:space="preserve">                                           MARÍA BRAVO SANTILLANA  237</w:t>
        <w:br/>
      </w:r>
    </w:p>
    <w:p>
      <w:r>
        <w:t>Página 238:</w:t>
        <w:br/>
        <w:t>EXP | Capítulo V</w:t>
        <w:br/>
        <w:br/>
        <w:br/>
        <w:br/>
        <w:br/>
        <w:br/>
        <w:t xml:space="preserve">            Figura 5.1. Resumen del contexto de la necesidad de búsqueda de alternativas</w:t>
        <w:br/>
        <w:br/>
        <w:br/>
        <w:br/>
        <w:t>El sector ovino de carne y la importancia de mitigar los problemas asociados a los</w:t>
        <w:br/>
        <w:br/>
        <w:t>factores de estrés</w:t>
        <w:br/>
        <w:br/>
        <w:t>El sector de los pequeños rumiantes representa en torno al 3,8 % de la Producción Final</w:t>
        <w:br/>
        <w:br/>
        <w:t>Agraria (PFA) en España, lo que supone un 9,9 % de la Producción Final de la rama</w:t>
        <w:br/>
        <w:t>Ganadera (PFG), ocupando el quinto lugar en importancia económica en nuestro país.</w:t>
        <w:br/>
        <w:br/>
        <w:t>En cuanto al sector ovino en particular, el 80 % del censo se encuentra localizado en 5</w:t>
        <w:br/>
        <w:t>comunidades autónomas, siendo Extremadura la primera comunidad en censo, con el</w:t>
        <w:br/>
        <w:br/>
        <w:t>24 % (Figura 5.2). En la Unión Europea, España aportaría aproximadamente el 18 % del</w:t>
        <w:br/>
        <w:t>censo total de ovino, situándose como el segundo país en importancia por número de</w:t>
        <w:br/>
        <w:br/>
        <w:t>animales, superado únicamente por Reino Unido (Bravo et al., 2020; Caracterización Del</w:t>
        <w:br/>
        <w:br/>
        <w:t>Sector Ovino y Caprino En España, 2019).</w:t>
        <w:br/>
        <w:br/>
        <w:br/>
        <w:br/>
        <w:br/>
        <w:br/>
        <w:t xml:space="preserve"> 238  MARÍA BRAVO SANTILLANA</w:t>
        <w:br/>
      </w:r>
    </w:p>
    <w:p>
      <w:r>
        <w:t>Página 239:</w:t>
        <w:br/>
        <w:t xml:space="preserve">                                       EXP | Capítulo V</w:t>
        <w:br/>
        <w:br/>
        <w:br/>
        <w:br/>
        <w:br/>
        <w:br/>
        <w:t xml:space="preserve">         Figura 5.2. Distribución provincial del censo de ovino en España (datos del año 2019).</w:t>
        <w:br/>
        <w:t xml:space="preserve">                      Fuente: S.G. Análisis, Coordinación y Estadística (MAPA).</w:t>
        <w:br/>
        <w:br/>
        <w:t>Las explotaciones clasificadas para la producción cárnica representan más del 75 % del</w:t>
        <w:br/>
        <w:br/>
        <w:t>total de la producción ovina nacional (González et al., 2016; Caracterización Del Sector</w:t>
        <w:br/>
        <w:t>Ovino y Caprino En España, 2019). El periodo de cebo de los animales es una etapa</w:t>
        <w:br/>
        <w:br/>
        <w:t>crucial en  la producción de ovino de carne, debido a que  las condiciones de</w:t>
        <w:br/>
        <w:br/>
        <w:t>intensificación empleadas en este periodo conllevan importantes factores que pueden</w:t>
        <w:br/>
        <w:t>afectar al estrés de los animales, como el destete, el transporte y la adaptación al</w:t>
        <w:br/>
        <w:br/>
        <w:t>cebadero. Los grandes niveles de estrés que sufren los animales frecuentemente</w:t>
        <w:br/>
        <w:t>pueden ocasionar  el padecimiento de importantes problemas  sanitarios, con  la</w:t>
        <w:br/>
        <w:br/>
        <w:t>consecuente bajada en la producción y pérdidas económicas (Bajagai et al., 2016;</w:t>
        <w:br/>
        <w:t>González et al., 2016).</w:t>
        <w:br/>
        <w:br/>
        <w:br/>
        <w:t>Los factores estresantes relacionados con el manejo de los corderos pueden alterar la</w:t>
        <w:br/>
        <w:br/>
        <w:t>composición y las importantes funciones de la microbiota, lo que resulta en una disbiosis</w:t>
        <w:br/>
        <w:br/>
        <w:t>que tiene consecuencias negativas para la salud animal (Deng et al., 2017; Li et al., 2019).</w:t>
        <w:br/>
        <w:t>De hecho, cada vez existe una mayor evidencia científica del papel importante que tiene</w:t>
        <w:br/>
        <w:br/>
        <w:t xml:space="preserve">                                           MARÍA BRAVO SANTILLANA  239</w:t>
        <w:br/>
      </w:r>
    </w:p>
    <w:p>
      <w:r>
        <w:t>Página 240:</w:t>
        <w:br/>
        <w:t>EXP | Capítulo V</w:t>
        <w:br/>
        <w:br/>
        <w:t>la microbiota del tracto gastrointestinal en la rentabilidad de los animales de producción</w:t>
        <w:br/>
        <w:br/>
        <w:t>(Bajagai et al., 2016; Ribeiro et al., 2016; Yoon et al., 2015). Por todo esto, se ha</w:t>
        <w:br/>
        <w:t>incrementado la necesidad de mitigar los problemas asociados a la intensificación de la</w:t>
        <w:br/>
        <w:br/>
        <w:t>producción ganadera, como ocurre en la etapa de cebo de los animales, que consigan</w:t>
        <w:br/>
        <w:t>aumentar los aspectos relacionados con el bienestar animal sin ocasionar un detrimento</w:t>
        <w:br/>
        <w:br/>
        <w:t>de los parámetros productivos de los animales y respetando la normativa actual en</w:t>
        <w:br/>
        <w:br/>
        <w:t>materia de aditivos promotores del crecimiento.</w:t>
        <w:br/>
        <w:br/>
        <w:br/>
        <w:br/>
        <w:t>Importancia de las pasteurelosis en cebaderos de ovino</w:t>
        <w:br/>
        <w:br/>
        <w:t>Los procesos respiratorios causados por patógenos infecciosos son una de las patologías</w:t>
        <w:br/>
        <w:t>más importantes en la producción ovina (Risco y García, 2020). Las «pasteurelosis»</w:t>
        <w:br/>
        <w:br/>
        <w:t>representan uno de los procesos más relevantes y están producidos por distintos</w:t>
        <w:br/>
        <w:t>agentes bacterianos pertenecientes a la familia Pasteurellaceae, entre la que destacan</w:t>
        <w:br/>
        <w:br/>
        <w:t>los géneros Pasteurella, Mannheimia y Bibersteinia (Martín-Palomino, 2020).</w:t>
        <w:br/>
        <w:br/>
        <w:br/>
        <w:t>En general, el desencadenamiento de estos procesos es de naturaleza multifactorial y</w:t>
        <w:br/>
        <w:t>se asocia con la presencia de otros factores concurrentes. Entre ellos, destacan los</w:t>
        <w:br/>
        <w:br/>
        <w:t>factores relacionados directamente con el hospedador (edad, estado fisiológico, sistema</w:t>
        <w:br/>
        <w:br/>
        <w:t>inmunitario, etc.), agentes infecciosos concomitantes (virus, bacterias, parásitos, etc.) y</w:t>
        <w:br/>
        <w:t>factores ambientales (cambios bruscos en la temperatura, gases irritantes, etc.) y de</w:t>
        <w:br/>
        <w:br/>
        <w:t>manejo, que pueden verse altamente influenciados por el estrés (Radostits et al., 2007;</w:t>
        <w:br/>
        <w:t>Risco y García, 2020).</w:t>
        <w:br/>
        <w:br/>
        <w:br/>
        <w:t>Las especies Pasteurella multocida, Mannheimia haemolytica y Bibersteinia threalosi</w:t>
        <w:br/>
        <w:br/>
        <w:t>son  las que originan mayor morbilidad y mortalidad en pequeños rumiantes y</w:t>
        <w:br/>
        <w:t>constituyen una de las principales causas de pérdidas económicas, debido a que causan</w:t>
        <w:br/>
        <w:br/>
        <w:t>una diminución en la rentabilidad de los animales y un aumento en los costes por</w:t>
        <w:br/>
        <w:br/>
        <w:t>tratamientos (Lacasta et al., 2008; Martín-Palomino, 2020; Radostits et al., 2007). Estas</w:t>
        <w:br/>
        <w:t>especies bacterianas forman parte de la microbiota residente en el tracto respiratorio</w:t>
        <w:br/>
        <w:br/>
        <w:t>superior de los animales y pueden ejercer como patógenos oportunistas, ocasionando</w:t>
        <w:br/>
        <w:br/>
        <w:br/>
        <w:t xml:space="preserve"> 240  MARÍA BRAVO SANTILLANA</w:t>
        <w:br/>
      </w:r>
    </w:p>
    <w:p>
      <w:r>
        <w:t>Página 241:</w:t>
        <w:br/>
        <w:t xml:space="preserve">                                       EXP | Capítulo V</w:t>
        <w:br/>
        <w:br/>
        <w:t>una disbiosis que es perjudicial para el animal, cuando se dan los factores concurrentes</w:t>
        <w:br/>
        <w:br/>
        <w:t>antes mencionados (Martín-Palomino, 2020).</w:t>
        <w:br/>
        <w:br/>
        <w:br/>
        <w:br/>
        <w:t>Utilización de compuestos bioactivos en piensos funcionales como alternativa</w:t>
        <w:br/>
        <w:br/>
        <w:t>En la actualidad, el empleo de aditivos funcionales en nutrición animal es la principal</w:t>
        <w:br/>
        <w:t>opción para mejorar los índices productivos, prevenir la aparición de enfermedades y</w:t>
        <w:br/>
        <w:br/>
        <w:t>respetar el bienestar animal (Bajagai et al., 2016). En este sentido, entendemos como</w:t>
        <w:br/>
        <w:br/>
        <w:t>«piensos funcionales» a los piensos para alimentación animal suplementado con</w:t>
        <w:br/>
        <w:t>compuestos bioactivos que, incorporados a la dieta de los animales, pueden mejorar su</w:t>
        <w:br/>
        <w:br/>
        <w:t>bienestar y productividad más allá de lo que cabría esperar o explicar por su simple</w:t>
        <w:br/>
        <w:t>potencial nutricional (Velasco et al., 2006).</w:t>
        <w:br/>
        <w:br/>
        <w:br/>
        <w:t>Entre  los componentes  bioactivos más  utilizados en  alimentación  animal,  los</w:t>
        <w:br/>
        <w:br/>
        <w:t>compuestos de la familia de los -bióticos son los más utilizados. Tanto los «prebióticos»,</w:t>
        <w:br/>
        <w:t>ingredientes no digestibles que actúan como sustrato de microorganismos beneficiosos;</w:t>
        <w:br/>
        <w:br/>
        <w:t>como los «probióticos», los propios microorganismos vivos que confieren beneficios</w:t>
        <w:br/>
        <w:t>para la salud; y los «simbióticos», la combinación de ambos, son productos muy</w:t>
        <w:br/>
        <w:br/>
        <w:t>habituales en el mercado y su utilización está muy extendida en el campo de la nutrición</w:t>
        <w:br/>
        <w:br/>
        <w:t>animal. No obstante, los «posbióticos», el miembro más novedoso de la familia de los</w:t>
        <w:br/>
        <w:t>compuestos  bioactivos aún no  es muy  conocido.  Si  bien  los  probióticos son</w:t>
        <w:br/>
        <w:br/>
        <w:t>generalmente las bacterias vivas que producen sustancias beneficiosas para la salud, los</w:t>
        <w:br/>
        <w:t>posbióticos engloban toda aquella preparación que incluya tanto los microorganismos</w:t>
        <w:br/>
        <w:br/>
        <w:t>beneficiosos inanimados como sus componentes (Salminen et al., 2021). El consenso</w:t>
        <w:br/>
        <w:t>publicado a mediados del año 2021 por la Asociación Científica Internacional de</w:t>
        <w:br/>
        <w:br/>
        <w:t>Probióticos y Prebióticos (ISAPP) indica que el término «inanimadas» en lugar de</w:t>
        <w:br/>
        <w:t>«inactivadas», haciendo referencia a las células microbianas, radica en que la utilización</w:t>
        <w:br/>
        <w:br/>
        <w:t>de microorganismos que no estén vivos no implica que estos hayan perdido su</w:t>
        <w:br/>
        <w:br/>
        <w:t>funcionalidad.</w:t>
        <w:br/>
        <w:t>Así, los posbióticos son productos o subproductos metabólicos bioactivos, secretados</w:t>
        <w:br/>
        <w:br/>
        <w:t>por bacterias vivas o liberados a partir de la lisis de la membrana celular bacteriana, que</w:t>
        <w:br/>
        <w:br/>
        <w:t xml:space="preserve">                                           MARÍA BRAVO SANTILLANA  241</w:t>
        <w:br/>
      </w:r>
    </w:p>
    <w:p>
      <w:r>
        <w:t>Página 242:</w:t>
        <w:br/>
        <w:t>EXP | Capítulo V</w:t>
        <w:br/>
        <w:br/>
        <w:t>pueden ser utilizados para mejorar la salud del hospedador (Aguilar-Toalá et al., 2018;</w:t>
        <w:br/>
        <w:br/>
        <w:t>Wegh et al., 2019). Los posbióticos pueden incluir metabolitos como enzimas, péptidos,</w:t>
        <w:br/>
        <w:t>proteínas,  exopolisacáridos,  ácidos  orgánicos  y  lípidos  (AGCC);  y componentes</w:t>
        <w:br/>
        <w:br/>
        <w:t>estructurales, fundamentalmente de la pared celular bacteriana, como ácidos teicoico y</w:t>
        <w:br/>
        <w:t>lipoteicoico, peptidoglicano, proteínas de  la capa  superficial bacteriana y otros</w:t>
        <w:br/>
        <w:br/>
        <w:t>polisacáridos (Aguilar-Toalá et al., 2018; Wegh et al., 2019).</w:t>
        <w:br/>
        <w:br/>
        <w:br/>
        <w:t>La gran potencialidad de los posbióticos en producción animal se le atribuye debido a la</w:t>
        <w:br/>
        <w:br/>
        <w:t>gran variedad de los efectos de sus componentes, que pueden ser tanto locales,</w:t>
        <w:br/>
        <w:t>principalmente a nivel intestinal, como sistémico, mediante la acción reguladora de sus</w:t>
        <w:br/>
        <w:br/>
        <w:t>moléculas. No obstante, depende en gran medida de la cepa bacteriana que se utilice</w:t>
        <w:br/>
        <w:t>en su producción y de los tipos de compuestos bioactivos que produzcan, que en</w:t>
        <w:br/>
        <w:br/>
        <w:t>ocasiones son difíciles de cuantificar y caracterizar. El número de estudios en esta área</w:t>
        <w:br/>
        <w:t>es todavía muy limitado, por lo que es necesaria una mayor investigación, en especial</w:t>
        <w:br/>
        <w:br/>
        <w:t>en condiciones reales de campo.</w:t>
        <w:br/>
        <w:br/>
        <w:br/>
        <w:t>El objetivo general de este capítulo es evaluar el efecto beneficioso de un producto</w:t>
        <w:br/>
        <w:br/>
        <w:t>posbiótico elaborado a partir de una selección de BAL sobre los indicadores sanitarios y</w:t>
        <w:br/>
        <w:t>los parámetros productivos en corderos de cebo.</w:t>
        <w:br/>
        <w:br/>
        <w:br/>
        <w:t>Para ello, los objetivos específicos son los siguientes:</w:t>
        <w:br/>
        <w:br/>
        <w:br/>
        <w:t xml:space="preserve">     -   Realizar una selección de BAL beneficiosas para elaborar un producto posbiótico</w:t>
        <w:br/>
        <w:br/>
        <w:t xml:space="preserve">      con los compuestos bioactivos producidos por las mismas que sea específico</w:t>
        <w:br/>
        <w:t xml:space="preserve">       para el control de los procesos infecciosos más comunes en un cebadero de</w:t>
        <w:br/>
        <w:br/>
        <w:t xml:space="preserve">       ovino.</w:t>
        <w:br/>
        <w:br/>
        <w:br/>
        <w:t xml:space="preserve">     -   Analizar el efecto de la administración del producto añadido al pienso de cebo</w:t>
        <w:br/>
        <w:br/>
        <w:t xml:space="preserve">       sobre  los  indicadores  sanitarios y su  repercusión sobre  los parámetros</w:t>
        <w:br/>
        <w:t xml:space="preserve">       productivos de los corderos.</w:t>
        <w:br/>
        <w:br/>
        <w:br/>
        <w:br/>
        <w:br/>
        <w:t xml:space="preserve"> 242  MARÍA BRAVO SANTILLANA</w:t>
        <w:br/>
      </w:r>
    </w:p>
    <w:p>
      <w:r>
        <w:t>Página 243:</w:t>
        <w:br/>
        <w:t xml:space="preserve">                                         EXP | Capítulo V</w:t>
        <w:br/>
        <w:br/>
        <w:t xml:space="preserve">  MÉTODO</w:t>
        <w:br/>
        <w:br/>
        <w:br/>
        <w:br/>
        <w:t>1.  Diagnóstico previo de procesos infecciosos en el cebadero</w:t>
        <w:br/>
        <w:br/>
        <w:t xml:space="preserve">   Como paso previo al estudio, se llevó a cabo un análisis completo para diagnosticar los</w:t>
        <w:br/>
        <w:br/>
        <w:t xml:space="preserve">   procesos infecciosos más frecuentes en corderos de cebo y detectar el momento de</w:t>
        <w:br/>
        <w:t xml:space="preserve">   máxima incidencia de estos procesos. Se evaluó el historial clínico de los animales</w:t>
        <w:br/>
        <w:br/>
        <w:t xml:space="preserve">   enfermos y/o que causaron baja en los meses previos al ensayo y posteriormente se</w:t>
        <w:br/>
        <w:t xml:space="preserve">    realizaron 20 necropsias regladas y completas de corderos fallecidos en el cebadero</w:t>
        <w:br/>
        <w:br/>
        <w:t xml:space="preserve">   entre los meses de mayo y junio de 2019. Se aislaron los agentes infecciosos</w:t>
        <w:br/>
        <w:t xml:space="preserve">   involucrados y se determinó el cuadro patológico que presentaban los animales</w:t>
        <w:br/>
        <w:br/>
        <w:t xml:space="preserve">    (respiratorio, digestivo, septicémico, etc.), el curso de la enfermedad (agudo o crónico)</w:t>
        <w:br/>
        <w:br/>
        <w:t xml:space="preserve">   y la causa más probable de la muerte.</w:t>
        <w:br/>
        <w:br/>
        <w:br/>
        <w:t xml:space="preserve">   En el caso de los pulmones, se realizó un estudio macroscópico para evaluar el tipo de</w:t>
        <w:br/>
        <w:t xml:space="preserve">   neumonía (bronconeumonía, neumonía intersticial, neumonía fibrinosa o neumonía</w:t>
        <w:br/>
        <w:br/>
        <w:t xml:space="preserve">   tromboembólica) el curso de las lesiones (agudo o crónico), la presencia de exudado</w:t>
        <w:br/>
        <w:t xml:space="preserve">    (seroso, fibrinoso o purulento) el grado de extensión o afectación del pulmón (% de</w:t>
        <w:br/>
        <w:br/>
        <w:t xml:space="preserve">   órgano afectado). Se tomaron muestras de los pulmones, hígado, riñón e intestino de</w:t>
        <w:br/>
        <w:t xml:space="preserve">    los corderos y se realizó cultivo en medios Agar Sangre y MacConkey para el aislamiento</w:t>
        <w:br/>
        <w:br/>
        <w:t xml:space="preserve">   de bacterias, que fueron inicialmente identificadas mediante pruebas bioquímicas</w:t>
        <w:br/>
        <w:t xml:space="preserve">    básicas (catalasa y oxidasa), por sus características tintoriales (tinción de Gram) y la</w:t>
        <w:br/>
        <w:br/>
        <w:t xml:space="preserve">    galería API®ID (bioMérieux). Los aislados bacterianos potencialmente patógenos fueron</w:t>
        <w:br/>
        <w:br/>
        <w:t xml:space="preserve">   confirmados mediante técnicas moleculares y se conservaron con un 15 % de glicerol a</w:t>
        <w:br/>
        <w:t xml:space="preserve">   -80 ºC para pruebas posteriores.</w:t>
        <w:br/>
        <w:br/>
        <w:br/>
        <w:br/>
        <w:t>2.  Selección de BAL con actividad frente a los patógenos más frecuentes del cebadero</w:t>
        <w:br/>
        <w:br/>
        <w:t xml:space="preserve">   Para realizar la selección de BAL con actividad antimicrobiana frente a los patógenos</w:t>
        <w:br/>
        <w:br/>
        <w:t xml:space="preserve">   obtenidos en el cebadero, se empleó la técnica de microdilución en caldo mediante los</w:t>
        <w:br/>
        <w:br/>
        <w:br/>
        <w:t xml:space="preserve">                                              MARÍA BRAVO SANTILLANA  243</w:t>
        <w:br/>
      </w:r>
    </w:p>
    <w:p>
      <w:r>
        <w:t>Página 244:</w:t>
        <w:br/>
        <w:t xml:space="preserve">  EXP | Capítulo V</w:t>
        <w:br/>
        <w:br/>
        <w:t xml:space="preserve">   procedimientos previamente descritos en esta tesis doctoral. También se tuvieron en</w:t>
        <w:br/>
        <w:br/>
        <w:t xml:space="preserve">   cuenta los resultados de estudios previos de la capacidad inmunomoduladora de los</w:t>
        <w:br/>
        <w:t xml:space="preserve">    aislados,  seleccionando  aquellas BAL que potencialmente  podrían  favorecer  la</w:t>
        <w:br/>
        <w:br/>
        <w:t xml:space="preserve">    activación de  rutas  inmunitarias  protectoras  frente a  los  procesos  infecciosos</w:t>
        <w:br/>
        <w:t xml:space="preserve">    diagnosticados.</w:t>
        <w:br/>
        <w:br/>
        <w:br/>
        <w:br/>
        <w:t>3.  Elaboración del producto posbiótico</w:t>
        <w:br/>
        <w:br/>
        <w:t xml:space="preserve">   En función de los resultados de los procedimientos anteriores, se seleccionó una</w:t>
        <w:br/>
        <w:t xml:space="preserve">   combinación de BAL que pueda favorecer el control de los patógenos en el cebadero de</w:t>
        <w:br/>
        <w:br/>
        <w:t xml:space="preserve">    ovino. Las BAL seleccionadas están depositadas en la Colección Española de Cultivos</w:t>
        <w:br/>
        <w:t xml:space="preserve">   Tipo (CECT) y fueron utilizada para desarrollar un producto posbiótico cuya composición</w:t>
        <w:br/>
        <w:br/>
        <w:t xml:space="preserve">    está protegida por secreto industrial.</w:t>
        <w:br/>
        <w:br/>
        <w:br/>
        <w:t xml:space="preserve">   De forma general, el posbiótico se obtiene a partir de la fermentación de los cultivos de</w:t>
        <w:br/>
        <w:t xml:space="preserve">   microorganismos que son transformados durante el propio proceso de fabricación</w:t>
        <w:br/>
        <w:br/>
        <w:t xml:space="preserve">   conforme al reglamento (UE) 2017/1017 (European Commission, 2017). El proceso</w:t>
        <w:br/>
        <w:t xml:space="preserve">   general fue desarrollado en las instalaciones de la empresa PentaBiol S.L. (Navarra,</w:t>
        <w:br/>
        <w:br/>
        <w:t xml:space="preserve">   España) y consiste en una fermentación líquida en medios de cultivo en un circuito de</w:t>
        <w:br/>
        <w:br/>
        <w:t xml:space="preserve">   fermentadores cerrado, controlando diferentes parámetros como temperatura, pH y</w:t>
        <w:br/>
        <w:t xml:space="preserve">   contaminaciones con microorganismos no deseados, seguida de una inactivación. La</w:t>
        <w:br/>
        <w:br/>
        <w:t xml:space="preserve">    fase final de producción incluye una etapa de secado del producto fermentado y el</w:t>
        <w:br/>
        <w:t xml:space="preserve">   molido en un molino de molturación.</w:t>
        <w:br/>
        <w:br/>
        <w:br/>
        <w:t xml:space="preserve">    El producto final obtenido se presenta como gránulos desecados, está registrado como</w:t>
        <w:br/>
        <w:br/>
        <w:t xml:space="preserve">   suplemento alimentario y se añade al pienso animal sin alterar la composición analítica</w:t>
        <w:br/>
        <w:t xml:space="preserve">    del mismo ni los patrones dietéticos de los animales. Además, se considera seguro para</w:t>
        <w:br/>
        <w:br/>
        <w:t xml:space="preserve">   su uso como complemento alimenticio debido a que todas las BAL utilizadas durante el</w:t>
        <w:br/>
        <w:br/>
        <w:t xml:space="preserve">   proceso de fermentación cumplen los requisitos de la evaluación de QPS (EFSA Panel on</w:t>
        <w:br/>
        <w:t xml:space="preserve">    Biological Hazards (BIOHAZ), 2021).</w:t>
        <w:br/>
        <w:br/>
        <w:br/>
        <w:br/>
        <w:t xml:space="preserve">    244  MARÍA BRAVO SANTILLANA</w:t>
        <w:br/>
      </w:r>
    </w:p>
    <w:p>
      <w:r>
        <w:t>Página 245:</w:t>
        <w:br/>
        <w:t xml:space="preserve">                                         EXP | Capítulo V</w:t>
        <w:br/>
        <w:br/>
        <w:t>4.  Diseño del estudio experimental: elaboración de los grupos de estudio</w:t>
        <w:br/>
        <w:br/>
        <w:t xml:space="preserve">    El estudio fue desarrollado en un cebadero de ovino (Fomento Ovino Extremeño,</w:t>
        <w:br/>
        <w:t xml:space="preserve">   FOVEX, S.A.T.) durante el periodo de cebo de corderos en la época de máxima incidencia</w:t>
        <w:br/>
        <w:br/>
        <w:t xml:space="preserve">   de procesos infecciosos. Esta fue detectada mediante la evaluación del historial clínico</w:t>
        <w:br/>
        <w:t xml:space="preserve">   previo de un cebadero perteneciente a la misma cooperativa, con animales del mismo</w:t>
        <w:br/>
        <w:br/>
        <w:t xml:space="preserve">   origen y, por tanto, con procesos infecciosos similares. Un total de 200 corderos de unos</w:t>
        <w:br/>
        <w:br/>
        <w:t xml:space="preserve">   2 meses de edad y 18 Kg de peso vivo fueron distribuidos de forma aleatoria en dos</w:t>
        <w:br/>
        <w:t xml:space="preserve">   grupos de 100 animales, como se detalla en la Figura 5.3 y su pauta de alimentación se</w:t>
        <w:br/>
        <w:br/>
        <w:t xml:space="preserve">    realizó como se describe en la tabla 5.1. Todos los animales fueron identificados</w:t>
        <w:br/>
        <w:t xml:space="preserve">   individualmente mediante doble crotal electrónico.</w:t>
        <w:br/>
        <w:br/>
        <w:br/>
        <w:br/>
        <w:br/>
        <w:br/>
        <w:t xml:space="preserve">                          Figura 5.3. Detalle de los grupos de estudio en el cebadero</w:t>
        <w:br/>
        <w:br/>
        <w:br/>
        <w:br/>
        <w:br/>
        <w:br/>
        <w:t xml:space="preserve">                                              MARÍA BRAVO SANTILLANA  245</w:t>
        <w:br/>
      </w:r>
    </w:p>
    <w:p>
      <w:r>
        <w:t>Página 246:</w:t>
        <w:br/>
        <w:t xml:space="preserve">  EXP | Capítulo V</w:t>
        <w:br/>
        <w:br/>
        <w:t xml:space="preserve">                                Tabla 5.1. Diseño de los grupos de estudio</w:t>
        <w:br/>
        <w:br/>
        <w:t xml:space="preserve">    Grupo            Alimentación</w:t>
        <w:br/>
        <w:br/>
        <w:t xml:space="preserve">     Control           Se alimentaron con el pienso de cebo estándar durante el periodo</w:t>
        <w:br/>
        <w:br/>
        <w:t xml:space="preserve">                    de cebo</w:t>
        <w:br/>
        <w:br/>
        <w:t xml:space="preserve">    Suplementado     Recibieron el mismo pienso estándar suplementado con un 0,4 %</w:t>
        <w:br/>
        <w:br/>
        <w:t xml:space="preserve">                        del producto posbiótico (4 gramos por kilogramo de pienso)</w:t>
        <w:br/>
        <w:t xml:space="preserve">                      durante todo el periodo de cebo</w:t>
        <w:br/>
        <w:br/>
        <w:br/>
        <w:t xml:space="preserve">   Todos los animales se alimentaron ad libitum durante las 7 semanas y media de</w:t>
        <w:br/>
        <w:t xml:space="preserve">    realización del estudio, previas a su transporte al matadero, y tenían agua de bebida a</w:t>
        <w:br/>
        <w:br/>
        <w:t xml:space="preserve">   su disposición en todo momento.</w:t>
        <w:br/>
        <w:br/>
        <w:br/>
        <w:br/>
        <w:br/>
        <w:t>5.  Estimación de los parámetros sanitarios</w:t>
        <w:br/>
        <w:br/>
        <w:t xml:space="preserve">   Los indicadores sanitarios monitorizados durante  el estudio fueron  el índice de</w:t>
        <w:br/>
        <w:br/>
        <w:t xml:space="preserve">   mortalidad, los parámetros hematológicos y bioquímicos sanguíneos antes y después</w:t>
        <w:br/>
        <w:br/>
        <w:t xml:space="preserve">    del cebo y el estudio macroscópico de las lesiones detectadas, principalmente en los</w:t>
        <w:br/>
        <w:t xml:space="preserve">   pulmones, tras el sacrificio en el matadero.</w:t>
        <w:br/>
        <w:br/>
        <w:br/>
        <w:t xml:space="preserve">    Índice de mortalidad</w:t>
        <w:br/>
        <w:br/>
        <w:br/>
        <w:t xml:space="preserve">   Se estimó el índice de mortalidad de cada grupo anotando las bajas detectadas a lo largo</w:t>
        <w:br/>
        <w:br/>
        <w:t xml:space="preserve">   de la realización del estudio. El índice de mortalidad se expresa en porcentaje y relaciona</w:t>
        <w:br/>
        <w:t xml:space="preserve">    el número de animales fallecidos con respecto al total.</w:t>
        <w:br/>
        <w:br/>
        <w:br/>
        <w:t xml:space="preserve">    Analíticas sanguíneas</w:t>
        <w:br/>
        <w:br/>
        <w:br/>
        <w:t xml:space="preserve">   Se tomaron muestras de sangre de 50 animales elegidos de forma aleatoria de cada</w:t>
        <w:br/>
        <w:t xml:space="preserve">   grupo mediante punción en la vena yugular al inicio del estudio y al final de la</w:t>
        <w:br/>
        <w:br/>
        <w:t xml:space="preserve">    experiencia, previo al sacrificio. Las muestras de sangre entera se recogieron en tubos</w:t>
        <w:br/>
        <w:br/>
        <w:br/>
        <w:t xml:space="preserve">    246  MARÍA BRAVO SANTILLANA</w:t>
        <w:br/>
      </w:r>
    </w:p>
    <w:p>
      <w:r>
        <w:t>Página 247:</w:t>
        <w:br/>
        <w:t xml:space="preserve">                                       EXP | Capítulo V</w:t>
        <w:br/>
        <w:br/>
        <w:t>con EDTA para análisis hematológico y las muestras para la obtención del suero se</w:t>
        <w:br/>
        <w:br/>
        <w:t>depositaron en tubos con activador de la coagulación para la determinación de los</w:t>
        <w:br/>
        <w:t>parámetros bioquímicos. Las muestras se transportaron 4 ºC y se conservaron en</w:t>
        <w:br/>
        <w:br/>
        <w:t>refrigeración hasta su procesamiento en el laboratorio, donde el suero se obtuvo</w:t>
        <w:br/>
        <w:t>mediante centrifugación a 3000 r.p.m.</w:t>
        <w:br/>
        <w:br/>
        <w:br/>
        <w:t>Se realizaron hemogramas completos mediante un analizador de hematología (Celltac</w:t>
        <w:br/>
        <w:t>α MEK-6550, Nihon Kohden) para determinar los parámetros de la serie roja, que incluye</w:t>
        <w:br/>
        <w:br/>
        <w:t>recuento de hematíes, hemoglobina, hematocrito, volumen corpuscular medio (VCM),</w:t>
        <w:br/>
        <w:t>hemoglobina corpuscular media (HCM) y concentración de hemoglobina corpuscular</w:t>
        <w:br/>
        <w:br/>
        <w:t>media (CHCM); la serie blanca, que incluye recuento de leucocitos y porcentaje de</w:t>
        <w:br/>
        <w:t>linfocitos, neutrófilos, monocitos y eosinófilos; y la serie plaquetar.</w:t>
        <w:br/>
        <w:br/>
        <w:br/>
        <w:t>Además, se realizó un perfil bioquímico completo mediante un analizador automático</w:t>
        <w:br/>
        <w:br/>
        <w:t>de química clínica (Biosystem A15) para determinar el perfil proteico, es decir, las</w:t>
        <w:br/>
        <w:t>proteínas totales y la albúmina; el perfil hepático, que incluye las enzimas alanina</w:t>
        <w:br/>
        <w:br/>
        <w:t>aminotransferasa (ALT) y aspartato aminotransferasa (AST) y la bilirrubina; el perfil</w:t>
        <w:br/>
        <w:br/>
        <w:t>renal, que incluye la creatinina y la urea; y otros parámetros del perfil general como la</w:t>
        <w:br/>
        <w:t>fosfatasa alcalina (ALP) y la lactato deshidrogenasa (LDH).</w:t>
        <w:br/>
        <w:br/>
        <w:br/>
        <w:t>Estudio macroscópico de las lesiones</w:t>
        <w:br/>
        <w:br/>
        <w:br/>
        <w:t>El sacrificio de los animales se realizó en el matadero de EA Group localizado junto al</w:t>
        <w:br/>
        <w:br/>
        <w:t>cebadero del estudio siguiendo  la normativa vigente según  el Reglamento (CE)</w:t>
        <w:br/>
        <w:t>1099/2009. Los corderos fueron eviscerados y se inspeccionaron las canales de cada uno</w:t>
        <w:br/>
        <w:br/>
        <w:t>de ellos de forma individual, manteniendo la identificación de los animales en todo</w:t>
        <w:br/>
        <w:br/>
        <w:t>momento. La inspección macroscópica post mortem incluyó todas las cavidades y</w:t>
        <w:br/>
        <w:t>órganos y, más detalladamente, los pulmones con todos sus lóbulos y los nódulos</w:t>
        <w:br/>
        <w:br/>
        <w:t>linfáticos adyacentes. La categorización de las lesiones se realizó de la misma manera a</w:t>
        <w:br/>
        <w:t>la descrita para el diagnóstico de procesos durante las necropsias, en la fase previa a</w:t>
        <w:br/>
        <w:br/>
        <w:t>este estudio. Además, se tomaron muestras de 6 pulmones con lesiones de cada grupo</w:t>
        <w:br/>
        <w:br/>
        <w:br/>
        <w:t xml:space="preserve">                                           MARÍA BRAVO SANTILLANA  247</w:t>
        <w:br/>
      </w:r>
    </w:p>
    <w:p>
      <w:r>
        <w:t>Página 248:</w:t>
        <w:br/>
        <w:t xml:space="preserve">  EXP | Capítulo V</w:t>
        <w:br/>
        <w:br/>
        <w:t xml:space="preserve">   para realizar un diagnóstico de los agentes microbianos causantes de la lesión, que se</w:t>
        <w:br/>
        <w:br/>
        <w:t xml:space="preserve">   procesaron de la misma forma a la descrita para el aislamiento y la identificación de</w:t>
        <w:br/>
        <w:t xml:space="preserve">   patógenos.</w:t>
        <w:br/>
        <w:br/>
        <w:br/>
        <w:t xml:space="preserve">   Por otro lado, todos los animales que causaron baja durante el desarrollo del estudio</w:t>
        <w:br/>
        <w:br/>
        <w:t xml:space="preserve">   experimental fueron sometidos a necropsia reglada y a un minucioso procedimiento de</w:t>
        <w:br/>
        <w:br/>
        <w:t xml:space="preserve">    diagnóstico de los procesos patológicos para establecer la causa de la muerte, siguiendo</w:t>
        <w:br/>
        <w:t xml:space="preserve">    los procedimientos anteriormente descritos.</w:t>
        <w:br/>
        <w:br/>
        <w:br/>
        <w:br/>
        <w:t>6.  Recogida de datos y toma de muestras</w:t>
        <w:br/>
        <w:br/>
        <w:t xml:space="preserve">   Cálculo de los parámetros productivos</w:t>
        <w:br/>
        <w:br/>
        <w:br/>
        <w:t xml:space="preserve">   Se evaluó la mejora en la productividad de los animales mediante el cálculo de tres</w:t>
        <w:br/>
        <w:br/>
        <w:t xml:space="preserve">    indicadores productivos: la ganancia media diaria (GMD), el índice de conversión (IC) y</w:t>
        <w:br/>
        <w:t xml:space="preserve">    el rendimiento de la canal.</w:t>
        <w:br/>
        <w:br/>
        <w:br/>
        <w:t xml:space="preserve">   Ganancia media diaria</w:t>
        <w:br/>
        <w:br/>
        <w:br/>
        <w:t xml:space="preserve">   Se recogió el peso de los corderos mediante una báscula de pesaje electrónica con</w:t>
        <w:br/>
        <w:t xml:space="preserve">   capacidad de lectura de crotales antes de la realización del estudio experimental (Figura</w:t>
        <w:br/>
        <w:br/>
        <w:t xml:space="preserve">    5.4), durante el estudio y al finalizar este, previo al sacrificio, para calcular la Ganancia</w:t>
        <w:br/>
        <w:t xml:space="preserve">   Media Diaria (GMD) en dos periodos diferentes (del primer pesaje al segundo y del</w:t>
        <w:br/>
        <w:br/>
        <w:t xml:space="preserve">   segundo pesaje al tercero) y la GMD total (del primer pesaje al último). La GMD es un</w:t>
        <w:br/>
        <w:t xml:space="preserve">    indicador productivo que se utiliza para medir la velocidad de crecimiento y viene</w:t>
        <w:br/>
        <w:br/>
        <w:t xml:space="preserve">    definido como la cantidad de peso ganado al día por los animales. Se calcula dividiendo</w:t>
        <w:br/>
        <w:t xml:space="preserve">    el peso ganado por los animales de ambos grupos entre el número de días de duración</w:t>
        <w:br/>
        <w:br/>
        <w:t xml:space="preserve">    del estudio.</w:t>
        <w:br/>
        <w:br/>
        <w:br/>
        <w:br/>
        <w:br/>
        <w:br/>
        <w:t xml:space="preserve">    248  MARÍA BRAVO SANTILLANA</w:t>
        <w:br/>
      </w:r>
    </w:p>
    <w:p>
      <w:r>
        <w:t>Página 249:</w:t>
        <w:br/>
        <w:t xml:space="preserve">                                       EXP | Capítulo V</w:t>
        <w:br/>
        <w:br/>
        <w:br/>
        <w:br/>
        <w:br/>
        <w:br/>
        <w:t xml:space="preserve">                       Figura 5.4. Báscula de pesaje electrónica en el cebadero</w:t>
        <w:br/>
        <w:br/>
        <w:br/>
        <w:t>Índice de conversión</w:t>
        <w:br/>
        <w:br/>
        <w:br/>
        <w:t>El Índice de Conversión (IC) es un parámetro de rendimiento productivo que se define</w:t>
        <w:br/>
        <w:t>como la cantidad de alimento necesario para reponer 1 Kg de peso vivo, por lo que es</w:t>
        <w:br/>
        <w:br/>
        <w:t>un parámetro de eficiencia alimentaria. Se calcula dividiendo el consumo total de pienso</w:t>
        <w:br/>
        <w:t>entre la ganancia total de peso. Para su cálculo en nuestra experiencia hemos obtenido</w:t>
        <w:br/>
        <w:br/>
        <w:t>la diferencia entre la cantidad de alimento ofrecido y el pienso que no fue consumido</w:t>
        <w:br/>
        <w:t>por los animales.</w:t>
        <w:br/>
        <w:br/>
        <w:br/>
        <w:t>Rendimiento de la canal</w:t>
        <w:br/>
        <w:br/>
        <w:br/>
        <w:t>Se obtuvo el peso de la canal, que es el peso del cuerpo del animal sacrificado,</w:t>
        <w:br/>
        <w:t>desangrado, desollado y eviscerado, sin cabeza ni extremidades, que se realiza de forma</w:t>
        <w:br/>
        <w:br/>
        <w:t>automática al final de la cadena de sacrificio. Este valor se obtuvo de forma automática</w:t>
        <w:br/>
        <w:t>al final de la cadena de sacrificio y permite calcular el rendimiento de la canal, que es la</w:t>
        <w:br/>
        <w:br/>
        <w:br/>
        <w:t xml:space="preserve">                                           MARÍA BRAVO SANTILLANA  249</w:t>
        <w:br/>
      </w:r>
    </w:p>
    <w:p>
      <w:r>
        <w:t>Página 250:</w:t>
        <w:br/>
        <w:t xml:space="preserve">  EXP | Capítulo V</w:t>
        <w:br/>
        <w:br/>
        <w:t xml:space="preserve">    relación entre el peso vivo del animal antes del sacrificio y el peso de la canal y se expresa</w:t>
        <w:br/>
        <w:br/>
        <w:t xml:space="preserve">   en porcentaje.</w:t>
        <w:br/>
        <w:br/>
        <w:br/>
        <w:br/>
        <w:t>7.  Análisis estadístico</w:t>
        <w:br/>
        <w:br/>
        <w:t xml:space="preserve">   Se realizó un análisis inferencial para detectar las diferencias en los parámetros descritos</w:t>
        <w:br/>
        <w:t xml:space="preserve">   entre los dos grupos del estudio. Las variables cuantitativas se analizaron mediante la</w:t>
        <w:br/>
        <w:br/>
        <w:t xml:space="preserve">   prueba t de Student con corrección de Welch. Por el contrario, las diferencias entre las</w:t>
        <w:br/>
        <w:br/>
        <w:t xml:space="preserve">    variables cualitativas se exploraron mediante la prueba Chi-cuadrado. Los programas</w:t>
        <w:br/>
        <w:t xml:space="preserve">    estadísticos utilizados fueron R-4.0.4 y GraphPad Prism 8.</w:t>
        <w:br/>
        <w:br/>
        <w:br/>
        <w:br/>
        <w:br/>
        <w:t xml:space="preserve">   En la figura 5.5 se muestra una cronología con las etapas del estudio experimental</w:t>
        <w:br/>
        <w:t xml:space="preserve">    descrito.</w:t>
        <w:br/>
        <w:br/>
        <w:br/>
        <w:br/>
        <w:br/>
        <w:br/>
        <w:t xml:space="preserve">    250  MARÍA BRAVO SANTILLANA</w:t>
        <w:br/>
      </w:r>
    </w:p>
    <w:p>
      <w:r>
        <w:t>Página 251:</w:t>
        <w:br/>
        <w:t xml:space="preserve">                                                   EXP | Capítulo V</w:t>
        <w:br/>
        <w:br/>
        <w:br/>
        <w:br/>
        <w:br/>
        <w:br/>
        <w:t>Figura 5.5. Cronología de la realización del estudio experimental</w:t>
        <w:br/>
        <w:br/>
        <w:br/>
        <w:br/>
        <w:br/>
        <w:br/>
        <w:t xml:space="preserve">                                                        MARÍA BRAVO SANTILLANA    251</w:t>
        <w:br/>
      </w:r>
    </w:p>
    <w:p>
      <w:r>
        <w:t>Página 252:</w:t>
        <w:br/>
        <w:t>EXP | Capítulo V</w:t>
        <w:br/>
        <w:br/>
        <w:br/>
        <w:br/>
        <w:br/>
        <w:br/>
        <w:t xml:space="preserve"> 252  MARÍA BRAVO SANTILLANA</w:t>
        <w:br/>
      </w:r>
    </w:p>
    <w:p>
      <w:r>
        <w:t>Página 253:</w:t>
        <w:br/>
        <w:t xml:space="preserve">                                           EXP | Capítulo V</w:t>
        <w:br/>
        <w:br/>
        <w:t>Figura resumen del método</w:t>
        <w:br/>
        <w:br/>
        <w:br/>
        <w:br/>
        <w:br/>
        <w:br/>
        <w:t xml:space="preserve">                                                 MARÍA BRAVO SANTILLANA  253</w:t>
        <w:br/>
      </w:r>
    </w:p>
    <w:p>
      <w:r>
        <w:t>Página 254:</w:t>
        <w:br/>
        <w:t>EXP | Capítulo V</w:t>
        <w:br/>
        <w:br/>
        <w:t>RESULTADOS</w:t>
        <w:br/>
        <w:br/>
        <w:br/>
        <w:br/>
        <w:t>Las neumonías por Pasteurella spp. constituyen uno de los procesos más frecuentes</w:t>
        <w:br/>
        <w:t>en los cebaderos de ovino</w:t>
        <w:br/>
        <w:br/>
        <w:t>Se estudió la historia clínica de un cebadero de ovino, que fue completada con la</w:t>
        <w:br/>
        <w:t>realización de 20 necropsias de animales fallecidos en los meses de mayo y junio de 2019</w:t>
        <w:br/>
        <w:br/>
        <w:t>para diagnosticar la principal causa de la muerte y diseñar un producto para prevenir los</w:t>
        <w:br/>
        <w:br/>
        <w:t>cuadros infecciosos más frecuentes. Se llevó a cabo la inspección macroscópica de los</w:t>
        <w:br/>
        <w:t>órganos torácicos y abdominales de todos los animales, pero solo se procesaron en el</w:t>
        <w:br/>
        <w:br/>
        <w:t>laboratorio los órganos de 19 animales debido a que uno de ellos presentaba un alto</w:t>
        <w:br/>
        <w:t>grado de autolisis.</w:t>
        <w:br/>
        <w:br/>
        <w:br/>
        <w:t>Se aislaron diferentes especies de Pasteurella spp. en el 83,33% de los pulmones con</w:t>
        <w:br/>
        <w:br/>
        <w:t>lesiones neumónicas, que fueron identificadas como P. multocida tipo A en el 60 % de</w:t>
        <w:br/>
        <w:t>ellos, tipo B en el 6,67 % y tipo D en el 13,33 %. Algunos de los pulmones presentaban</w:t>
        <w:br/>
        <w:br/>
        <w:t>coinfecciones con otros patógenos como Mycoplasma spp., Biberstenia trehalosi,</w:t>
        <w:br/>
        <w:t>Streptococcus spp. o E. coli.</w:t>
        <w:br/>
        <w:br/>
        <w:br/>
        <w:t>Se realizaron diferentes ensayos de actividad antimicrobiana de la colección de aislados</w:t>
        <w:br/>
        <w:t>de BAL frente a los patógenos más frecuentes del cebadero. Para la preparación del</w:t>
        <w:br/>
        <w:br/>
        <w:t>producto posbiótico para elaborar el pienso con actividad funcional, se seleccionaron</w:t>
        <w:br/>
        <w:t>varias BAL en función de los resultados de la actividad antimicrobiana. Además, también</w:t>
        <w:br/>
        <w:br/>
        <w:t>se tuvo en cuenta la activación de rutas del sistema inmunitario descrita en los capítulos</w:t>
        <w:br/>
        <w:t>anteriores de esta tesis doctoral y que puedan resultar de utilidad para la protección de</w:t>
        <w:br/>
        <w:br/>
        <w:t>los animales frente a estos patógenos.</w:t>
        <w:br/>
        <w:br/>
        <w:br/>
        <w:t>Todos los resultados del diagnóstico de procesos y de los ensayos de actividad se</w:t>
        <w:br/>
        <w:br/>
        <w:t>encuentran detallados en los Apéndices IIIA y IIIB, respectivamente.</w:t>
        <w:br/>
        <w:br/>
        <w:br/>
        <w:br/>
        <w:br/>
        <w:t xml:space="preserve"> 254  MARÍA BRAVO SANTILLANA</w:t>
        <w:br/>
      </w:r>
    </w:p>
    <w:p>
      <w:r>
        <w:t>Página 255:</w:t>
        <w:br/>
        <w:t xml:space="preserve">                                       EXP | Capítulo V</w:t>
        <w:br/>
        <w:br/>
        <w:br/>
        <w:t>Los animales suplementados presentan menos lesiones neumónicas y de menor</w:t>
        <w:br/>
        <w:br/>
        <w:t>extensión</w:t>
        <w:br/>
        <w:br/>
        <w:t>No se obtuvieron diferencias en el porcentaje de mortalidad, puesto que se registró un</w:t>
        <w:br/>
        <w:br/>
        <w:t>4 % de bajas en los dos grupos del estudio. Las causas de la muerte fueron similares en</w:t>
        <w:br/>
        <w:t>los dos grupos, registrándose en la mayoría de los casos lesiones neumónicas en las que</w:t>
        <w:br/>
        <w:br/>
        <w:t>se aisló Pasteurella spp., seguido de algún posible caso de Clostridium spp. en el grupo</w:t>
        <w:br/>
        <w:t>suplementado y otras causas no asociadas a procesos infecciosos de las cuales no se</w:t>
        <w:br/>
        <w:br/>
        <w:t>determinó el origen. El número de bajas no fue suficiente para realizar inferencia</w:t>
        <w:br/>
        <w:t>estadística.</w:t>
        <w:br/>
        <w:br/>
        <w:br/>
        <w:t>En cuanto a las lesiones neumónicas (Figura 5.6), se observó la misma tendencia cuando</w:t>
        <w:br/>
        <w:t>se exploran estas de forma cualitativa, es decir presencia o ausencia de lesiones, como</w:t>
        <w:br/>
        <w:br/>
        <w:t>de forma cuantitativa, es decir, porcentaje de extensión de las lesiones (Figura 5.7A y</w:t>
        <w:br/>
        <w:t>5.7B). Se detectaron lesiones neumónicas en 63 corderos del grupo control (65,62 %) y</w:t>
        <w:br/>
        <w:br/>
        <w:t>50 corderos del grupo suplementado (52,08 %) y la media de los porcentajes de</w:t>
        <w:br/>
        <w:t>extensión de estas fue de 15,24 % y 12,3 %, respectivamente. Se observan diferencias</w:t>
        <w:br/>
        <w:br/>
        <w:t>estadísticamente significativas con un nivel de confianza al 90 % (χ2= 3,097, P=0,078) en</w:t>
        <w:br/>
        <w:t>la presencia de lesiones, pero no en el porcentaje de extensión de las mismas (P=0,319),</w:t>
        <w:br/>
        <w:br/>
        <w:t>aunque la tendencia es igualmente positiva. Los animales suplementados con el</w:t>
        <w:br/>
        <w:t>posbiótico presentan menos lesiones y de menor extensión que los animales del grupo</w:t>
        <w:br/>
        <w:br/>
        <w:t>control. Por otro lado, el porcentaje de decomisos fue similar en ambos grupos (χ2=</w:t>
        <w:br/>
        <w:br/>
        <w:t>0,218, P=0,64) aunque se produjeron menos decomisos en el grupo suplementado, se</w:t>
        <w:br/>
        <w:t>encontraron un 33,33 % de decomisos en el grupo control y un 29,17 % en el grupo</w:t>
        <w:br/>
        <w:br/>
        <w:t>suplementado (Figura 5.7C). Por el contrario, con respecto a los patrones de las lesiones,</w:t>
        <w:br/>
        <w:t>así como su duración y el tipo de exudado, no se observa una tendencia clara y no se</w:t>
        <w:br/>
        <w:br/>
        <w:t>encontraron diferencias estadísticamente significativas (χ2= 3,93, P= 0,14; χ2= 1,156, P=</w:t>
        <w:br/>
        <w:t>0,763; χ2=4,628, P=0,592).</w:t>
        <w:br/>
        <w:br/>
        <w:br/>
        <w:br/>
        <w:br/>
        <w:br/>
        <w:t xml:space="preserve">                                           MARÍA BRAVO SANTILLANA  255</w:t>
        <w:br/>
      </w:r>
    </w:p>
    <w:p>
      <w:r>
        <w:t>Página 256:</w:t>
        <w:br/>
        <w:t>EXP | Capítulo V</w:t>
        <w:br/>
        <w:br/>
        <w:t>El patógeno P. multocida tipo A es más prevalente en las lesiones neumónicas del</w:t>
        <w:br/>
        <w:br/>
        <w:t>grupo control</w:t>
        <w:br/>
        <w:br/>
        <w:t>En el grupo control se obtuvieron cultivos puros de P. multocida (fundamentalmente</w:t>
        <w:br/>
        <w:t>tipo A, a excepción de un aislado de tipo D) en el 66,67 % de los pulmones muestreados.</w:t>
        <w:br/>
        <w:br/>
        <w:t>Sin embargo, en el grupo suplementado, P. multocida solo se registró en el 33,33 % de</w:t>
        <w:br/>
        <w:t>los pulmones muestreados. En el resto de los pulmones de este grupo se obtuvieron</w:t>
        <w:br/>
        <w:br/>
        <w:t>varios cultivos mixtos en los que no se determinó ningún patógeno predominante que</w:t>
        <w:br/>
        <w:t>pudiera ser causante de enfermedad. La especie Aeromonas hydrophila se detectó en la</w:t>
        <w:br/>
        <w:br/>
        <w:t>misma proporción en los dos grupos (Figura 5.7D).</w:t>
        <w:br/>
        <w:br/>
        <w:br/>
        <w:br/>
        <w:br/>
        <w:br/>
        <w:t xml:space="preserve">    Figura 5.6. Distintos tipos de lesiones neumónicas encontradas durante el análisis macroscópico</w:t>
        <w:br/>
        <w:t xml:space="preserve">                       realizado tras el sacrificio de los animales en el matadero.</w:t>
        <w:br/>
        <w:br/>
        <w:br/>
        <w:br/>
        <w:br/>
        <w:br/>
        <w:t xml:space="preserve"> 256  MARÍA BRAVO SANTILLANA</w:t>
        <w:br/>
      </w:r>
    </w:p>
    <w:p>
      <w:r>
        <w:t>Página 257:</w:t>
        <w:br/>
        <w:t xml:space="preserve">                                       EXP | Capítulo V</w:t>
        <w:br/>
        <w:br/>
        <w:br/>
        <w:br/>
        <w:br/>
        <w:br/>
        <w:t>Figura 5.7. Mejora en los indicadores sanitarios en el grupo suplementado con el posbiótico. (A) El grupo</w:t>
        <w:br/>
        <w:t>control muestra mayor porcentaje de pulmones con lesiones neumónicas y (B) el grupo control presenta</w:t>
        <w:br/>
        <w:t>lesiones más extensas, esto es, de mayor gravedad, que el grupo suplementado. Los resultados se</w:t>
        <w:br/>
        <w:t>expresan en porcentaje de media y el error estándar de esta. (C) Mayor porcentaje de decomisos en el</w:t>
        <w:br/>
        <w:t>grupo suplementado. (D) El patógeno Pasteurella spp. fue el aislamiento predominante en los pulmones</w:t>
        <w:br/>
        <w:t>con lesiones neumónicas del grupo control, a diferencia del grupo suplementado.</w:t>
        <w:br/>
        <w:br/>
        <w:br/>
        <w:br/>
        <w:br/>
        <w:br/>
        <w:t xml:space="preserve">                                           MARÍA BRAVO SANTILLANA  257</w:t>
        <w:br/>
      </w:r>
    </w:p>
    <w:p>
      <w:r>
        <w:t>Página 258:</w:t>
        <w:br/>
        <w:t>EXP | Capítulo V</w:t>
        <w:br/>
        <w:br/>
        <w:t>Los animales suplementados muestran una mayor velocidad de crecimiento y una</w:t>
        <w:br/>
        <w:br/>
        <w:t>mayor eficiencia alimentaria</w:t>
        <w:br/>
        <w:br/>
        <w:t>En cuanto a los pesos, se observaron diferencias estadísticamente significativas antes</w:t>
        <w:br/>
        <w:t>de comenzar el estudio, siendo el grupo suplementado el grupo con el peso medio más</w:t>
        <w:br/>
        <w:br/>
        <w:t>bajo (P=0,004). No obstante, durante la experiencia y una vez finalizado el periodo de</w:t>
        <w:br/>
        <w:t>suplementación, la media de los pesos fue similar entre los grupos (P= 0,849 y P=0,996,</w:t>
        <w:br/>
        <w:br/>
        <w:t>respectivamente). Esto viene refrendado por las diferencias encontradas en la GMD,</w:t>
        <w:br/>
        <w:t>que es un indicador de la velocidad de crecimiento, y que fue mayor en el grupo</w:t>
        <w:br/>
        <w:br/>
        <w:t>suplementado en el periodo inicial (P=0,003), así como en todo el periodo de cebo</w:t>
        <w:br/>
        <w:t>(P=0,14). La GMD del periodo final fue similar entre los grupos (P=0,776). Los animales</w:t>
        <w:br/>
        <w:br/>
        <w:t>del grupo que recibió el posbiótico tienen una velocidad de crecimiento más elevada y</w:t>
        <w:br/>
        <w:t>son capaces de alcanzar el mismo peso final partiendo de un peso inferior. De forma</w:t>
        <w:br/>
        <w:br/>
        <w:t>similar, se observó un IC inferior en el grupo suplementado, aunque las diferencias no</w:t>
        <w:br/>
        <w:br/>
        <w:t>son  estadísticamente  significativas  (P=0,126). Por  otro  lado, no se observaron</w:t>
        <w:br/>
        <w:t>diferencias en los pesos a la canal ni en los rendimientos de esta (P=0,992 y P=0,632,</w:t>
        <w:br/>
        <w:br/>
        <w:t>respectivamente). Todos los resultados se muestran en la Tabla 5.2 y la Figura 5.8.</w:t>
        <w:br/>
        <w:br/>
        <w:br/>
        <w:t xml:space="preserve">             Tabla 5.2. Resultados de los parámetros productivos por grupos de estudio</w:t>
        <w:br/>
        <w:br/>
        <w:t xml:space="preserve">         Parámetros                      Control                  Suplementado</w:t>
        <w:br/>
        <w:br/>
        <w:t xml:space="preserve">        Peso inicial (Kg)                     18,77                       18,22 ***</w:t>
        <w:br/>
        <w:br/>
        <w:t xml:space="preserve">        Peso mitad (Kg)                     24,13                           24,2</w:t>
        <w:br/>
        <w:br/>
        <w:t xml:space="preserve">        Peso final (Kg)                     27,58                         27,57</w:t>
        <w:br/>
        <w:br/>
        <w:t xml:space="preserve">       GMD 1 (g)                      165,99                      186,07 **</w:t>
        <w:br/>
        <w:br/>
        <w:t xml:space="preserve">       GMD 2 (g)                      178,95                        175,89</w:t>
        <w:br/>
        <w:br/>
        <w:t xml:space="preserve">      GMD Total (g)                     172,04                        182,80</w:t>
        <w:br/>
        <w:br/>
        <w:t xml:space="preserve">        Peso Canal (Kg)                     12,79                         12,79</w:t>
        <w:br/>
        <w:br/>
        <w:t xml:space="preserve">       Rendimiento (%)                    46,39                         46,24</w:t>
        <w:br/>
        <w:br/>
        <w:t xml:space="preserve">                 IC                            6,23                           5,14</w:t>
        <w:br/>
        <w:br/>
        <w:t xml:space="preserve"> ***Diferencias significativas entre grupos (P=0,004)</w:t>
        <w:br/>
        <w:t xml:space="preserve"> **Diferencias significativas entre grupos (P=0,003)</w:t>
        <w:br/>
        <w:br/>
        <w:br/>
        <w:br/>
        <w:br/>
        <w:br/>
        <w:t xml:space="preserve"> 258  MARÍA BRAVO SANTILLANA</w:t>
        <w:br/>
      </w:r>
    </w:p>
    <w:p>
      <w:r>
        <w:t>Página 259:</w:t>
        <w:br/>
        <w:t xml:space="preserve">                                       EXP | Capítulo V</w:t>
        <w:br/>
        <w:br/>
        <w:br/>
        <w:br/>
        <w:br/>
        <w:br/>
        <w:t>Figura 5.8. Mejora en los parámetros productivos del grupo suplementado. Los datos se expresan como</w:t>
        <w:br/>
        <w:t>media y error estándar de la media.  (Ai) El grupo suplementado partía de una media de pesos menor</w:t>
        <w:br/>
        <w:t>antes del inicio de la experiencia (P=0,004) y (Aii) alcanzó el mismo peso final que el grupo control al final</w:t>
        <w:br/>
        <w:t>del cebo (P=0,996) (B) El ritmo de crecimiento, expresado en Ganancia Media Diaria (GMD, g), fue superior</w:t>
        <w:br/>
        <w:t>en el grupo suplementado (GMD en el primer periodo P=0,0975, GMD total P=0,236). (C) El índice de</w:t>
        <w:br/>
        <w:t>conversión fue inferior en el grupo suplementado.</w:t>
        <w:br/>
        <w:br/>
        <w:br/>
        <w:br/>
        <w:br/>
        <w:t xml:space="preserve">                                           MARÍA BRAVO SANTILLANA  259</w:t>
        <w:br/>
      </w:r>
    </w:p>
    <w:p>
      <w:r>
        <w:t>Página 260:</w:t>
        <w:br/>
        <w:t>EXP | Capítulo V</w:t>
        <w:br/>
        <w:br/>
        <w:t>Las analíticas realizadas a los corderos no arrojan datos de interés clínico relevante y</w:t>
        <w:br/>
        <w:t>la urea podría indicar un mejor aprovechamiento de las proteínas del pienso</w:t>
        <w:br/>
        <w:br/>
        <w:t>No se observaron diferencias en los hemogramas de los grupos de estudio antes y</w:t>
        <w:br/>
        <w:t>después de la experiencia y todos los valores están dentro de los rangos de referencia</w:t>
        <w:br/>
        <w:br/>
        <w:t>para la especie ovina (Tablas 5.3 y 5.4).</w:t>
        <w:br/>
        <w:br/>
        <w:t>En los parámetros bioquímicos se observaron diferencias entre los grupos, pero no</w:t>
        <w:br/>
        <w:t>revisten de una importancia clínica relevante (Tablas 5.5 y 5.6). Se observó una</w:t>
        <w:br/>
        <w:br/>
        <w:t>diferencia estadísticamente significativa en la enzima ALP (P=0,094), que es superior en</w:t>
        <w:br/>
        <w:br/>
        <w:t>el grupo suplementado tras la suplementación, y podría estar relacionado con la mayor</w:t>
        <w:br/>
        <w:t>velocidad de crecimiento de estos corderos. Por otro lado, se detectaron valores</w:t>
        <w:br/>
        <w:br/>
        <w:t>superiores a los rangos de referencia para ovinos en general en las actividades</w:t>
        <w:br/>
        <w:t>enzimáticas de la AST y LDH en ambos grupos de estudio, posiblemente relacionado con</w:t>
        <w:br/>
        <w:br/>
        <w:t>la toma o el manejo de las muestras. En los corderos del grupo suplementado se</w:t>
        <w:br/>
        <w:t>encontró una diferencia estadísticamente significativa (P=0,001) en los niveles de urea</w:t>
        <w:br/>
        <w:br/>
        <w:t>detectados en suero, que por lo general son muy elevados en todos los animales,</w:t>
        <w:br/>
        <w:t>posiblemente por la alta concentración de proteínas del pienso de cebo. Es probable</w:t>
        <w:br/>
        <w:br/>
        <w:t>que en  estos  animales  la  urea  sea  significativamente  inferior  por un mejor</w:t>
        <w:br/>
        <w:t>aprovechamiento de las proteínas del pienso debido a la administración del posbiótico.</w:t>
        <w:br/>
        <w:br/>
        <w:br/>
        <w:br/>
        <w:br/>
        <w:br/>
        <w:t xml:space="preserve"> 260  MARÍA BRAVO SANTILLANA</w:t>
        <w:br/>
      </w:r>
    </w:p>
    <w:p>
      <w:r>
        <w:t>Página 261:</w:t>
        <w:br/>
        <w:t xml:space="preserve">                                       EXP | Capítulo V</w:t>
        <w:br/>
        <w:br/>
        <w:br/>
        <w:t xml:space="preserve"> Tabla 5.3. Hemogramas completos de cada grupo al inicio de la experiencia, valores de referencia y sus unidades</w:t>
        <w:br/>
        <w:br/>
        <w:t xml:space="preserve">  Serie           Parámetro               Valores referenciaa        Unidades       Control       Suplementado</w:t>
        <w:br/>
        <w:br/>
        <w:t xml:space="preserve"> Roja            Hematíes                      9-15                 106 /μl         10,78             10,87</w:t>
        <w:br/>
        <w:br/>
        <w:t xml:space="preserve">                Hemoglobina                   9-15                    g/dl           9,78                9,7</w:t>
        <w:br/>
        <w:br/>
        <w:t xml:space="preserve">                 Hematocrito                   27-45            %           32,15             32,36</w:t>
        <w:br/>
        <w:br/>
        <w:t xml:space="preserve">            VCM                         28-40                                fl            30,09             29,85</w:t>
        <w:br/>
        <w:br/>
        <w:t xml:space="preserve">            HCM                          8-12                 pg            9,62              8,95</w:t>
        <w:br/>
        <w:br/>
        <w:t xml:space="preserve">             CHMC                        31-34                    g/dl          30,12             30</w:t>
        <w:br/>
        <w:br/>
        <w:t xml:space="preserve"> Blanca           Leucocitos                     4-12                   103/μl         10,01             10,67</w:t>
        <w:br/>
        <w:br/>
        <w:t xml:space="preserve">                     Linfocitos                     40-75            %           43              39</w:t>
        <w:br/>
        <w:br/>
        <w:t xml:space="preserve">                   Neutrófilos                    10-50            %           51              50</w:t>
        <w:br/>
        <w:br/>
        <w:t xml:space="preserve">                 Monocitos                       0-6             %            2               3</w:t>
        <w:br/>
        <w:br/>
        <w:t xml:space="preserve">                    Eosinófilos                     0-10            %            4               7</w:t>
        <w:br/>
        <w:br/>
        <w:t xml:space="preserve"> Plaquetar        Plaquetas                    300-750                 103/μl         653,6             651,2</w:t>
        <w:br/>
        <w:br/>
        <w:t xml:space="preserve">  a Valores hematológicos de referencia para ovinos (Byers y Kramer, 2010)</w:t>
        <w:br/>
        <w:br/>
        <w:br/>
        <w:br/>
        <w:t>Tabla 5.4. Hemogramas completos al final de la experiencia de cada grupo de estudio, valores de referencia y sus unidades</w:t>
        <w:br/>
        <w:br/>
        <w:t xml:space="preserve">  Serie           Parámetro               Valores referenciaa        Unidades       Control       Suplementado</w:t>
        <w:br/>
        <w:br/>
        <w:t xml:space="preserve">  Roja            Hematíes                       9-15                 106 /μl         11,23             10,79</w:t>
        <w:br/>
        <w:br/>
        <w:t xml:space="preserve">                Hemoglobina                   9-15                     g/dl          10,10              9,93</w:t>
        <w:br/>
        <w:br/>
        <w:t xml:space="preserve">                 Hematocrito                   27-45            %           33,29              31,9</w:t>
        <w:br/>
        <w:br/>
        <w:t xml:space="preserve">             VCM                          28-40                                fl            29,43             29,82</w:t>
        <w:br/>
        <w:br/>
        <w:t xml:space="preserve">            HCM                           8-12                 pg            8,93               9,66</w:t>
        <w:br/>
        <w:br/>
        <w:t xml:space="preserve">             CHMC                        31-34                    g/dl          30,36             30,69</w:t>
        <w:br/>
        <w:br/>
        <w:t xml:space="preserve">  Blanca           Leucocitos                      4-12                   103/μl           8,4               8,36</w:t>
        <w:br/>
        <w:br/>
        <w:t xml:space="preserve">                     Linfocitos                     40-75            %            50              52</w:t>
        <w:br/>
        <w:br/>
        <w:t xml:space="preserve">                    Neutrófilos                    10-50            %            40              40</w:t>
        <w:br/>
        <w:br/>
        <w:t xml:space="preserve">                 Monocitos                       0-6             %            2               2</w:t>
        <w:br/>
        <w:br/>
        <w:t xml:space="preserve">                    Eosinófilos                     0-10            %            8                 2,9</w:t>
        <w:br/>
        <w:br/>
        <w:t xml:space="preserve">  Plaquetar        Plaquetas                    300-750                 103/μl         704,4            598</w:t>
        <w:br/>
        <w:br/>
        <w:t xml:space="preserve">  a Valores hematológicos de referencia para ovinos (Byers y Kramer, 2010)</w:t>
        <w:br/>
        <w:br/>
        <w:br/>
        <w:br/>
        <w:br/>
        <w:br/>
        <w:t xml:space="preserve">                                           MARÍA BRAVO SANTILLANA  261</w:t>
        <w:br/>
      </w:r>
    </w:p>
    <w:p>
      <w:r>
        <w:t>Página 262:</w:t>
        <w:br/>
        <w:t>EXP | Capítulo V</w:t>
        <w:br/>
        <w:br/>
        <w:t xml:space="preserve"> Tabla 5.5. Perfiles bioquímicos completos de cada grupo antes del estudio, valores de referencia y sus unidades</w:t>
        <w:br/>
        <w:br/>
        <w:t xml:space="preserve">     Perfil          Parámetro         Valores referenciaa   Unidades    Control       Suplementado</w:t>
        <w:br/>
        <w:br/>
        <w:t xml:space="preserve">   Proteico       Proteínas totales             5.9-7.8             g/dl        5,84              5,81</w:t>
        <w:br/>
        <w:br/>
        <w:t xml:space="preserve">                   Albúmina                2.7-3.7             g/dl        3,31            2,8***</w:t>
        <w:br/>
        <w:br/>
        <w:t xml:space="preserve">  Hepático           ALT                 20-25               UI/l       19,31            21,24</w:t>
        <w:br/>
        <w:br/>
        <w:t xml:space="preserve">                    AST                49-123              UI/l       261,6            192,4</w:t>
        <w:br/>
        <w:br/>
        <w:t xml:space="preserve">                        Bilirrubina                0-0.5           mg/dl      0,094             0,08</w:t>
        <w:br/>
        <w:br/>
        <w:t xml:space="preserve">    Renal            Creatinina                0.9-2           mg/dl       0,61              0,63</w:t>
        <w:br/>
        <w:br/>
        <w:t xml:space="preserve">                     Urea                 10-26           mg/dl      26,78            27,15</w:t>
        <w:br/>
        <w:br/>
        <w:t xml:space="preserve">   General           ALP                68-387              UI/l       265,7            280,9</w:t>
        <w:br/>
        <w:br/>
        <w:t xml:space="preserve">                   LDH                83-476              UI/l       1211            1101</w:t>
        <w:br/>
        <w:br/>
        <w:t xml:space="preserve">  a Valores bioquímicos de referencia para ovinos (Kaneko et al., 2008; Latimer, 2011)</w:t>
        <w:br/>
        <w:br/>
        <w:t xml:space="preserve"> ***Diferencias significativas entre grupos (albúmina P = 3,66x10-11)</w:t>
        <w:br/>
        <w:br/>
        <w:br/>
        <w:t>Tabla 5.6. Perfiles bioquímicos completos de cada grupo al finalizar el estudio, valores de referencia y sus unidades</w:t>
        <w:br/>
        <w:br/>
        <w:t xml:space="preserve">     Perfil        Parámetro        Valores referenciaa    Unidades    Control       Suplementado</w:t>
        <w:br/>
        <w:br/>
        <w:t xml:space="preserve">   Proteico     Proteínas totales            5.9-7.8              g/dl        20,95              6,12</w:t>
        <w:br/>
        <w:br/>
        <w:t xml:space="preserve">                 Albúmina                2.7-3.7              g/dl        3,37                3,3</w:t>
        <w:br/>
        <w:br/>
        <w:t xml:space="preserve">  Hepático         ALT                 20-25                UI/l        22,09             23,47</w:t>
        <w:br/>
        <w:br/>
        <w:t xml:space="preserve">                  AST                49-123               UI/l        156,4             160,8</w:t>
        <w:br/>
        <w:br/>
        <w:t xml:space="preserve">                     Bilirrubina                0-0.5            mg/dl     0,083**             0,13</w:t>
        <w:br/>
        <w:br/>
        <w:t xml:space="preserve">    Renal          Creatinina                0.9-2            mg/dl       0,64              0,63</w:t>
        <w:br/>
        <w:br/>
        <w:t xml:space="preserve">                   Urea                10-26            mg/dl       42,19            34,94**</w:t>
        <w:br/>
        <w:br/>
        <w:t xml:space="preserve">   General          ALP                68-387               UI/l        156,4            326,4*</w:t>
        <w:br/>
        <w:br/>
        <w:t xml:space="preserve">                 LDH                83-476               UI/l       1538            1607</w:t>
        <w:br/>
        <w:br/>
        <w:t xml:space="preserve">  a Valores bioquímicos de referencia para ovinos (Kaneko et al., 2008; Latimer, 2011)</w:t>
        <w:br/>
        <w:br/>
        <w:t xml:space="preserve">  ***Diferencias significativas entre grupos (P=0,094)</w:t>
        <w:br/>
        <w:br/>
        <w:t xml:space="preserve">  **Diferencias significativas entre grupos (bilirrubina P=0,002 y urea P = 0,001)</w:t>
        <w:br/>
        <w:br/>
        <w:br/>
        <w:br/>
        <w:br/>
        <w:br/>
        <w:t xml:space="preserve"> 262  MARÍA BRAVO SANTILLANA</w:t>
        <w:br/>
      </w:r>
    </w:p>
    <w:p>
      <w:r>
        <w:t>Página 263:</w:t>
        <w:br/>
        <w:t xml:space="preserve">                                       EXP | Capítulo V</w:t>
        <w:br/>
        <w:br/>
        <w:t>DISCUSIÓN</w:t>
        <w:br/>
        <w:br/>
        <w:br/>
        <w:t>La intensificación de las producciones ganaderas se ha incrementado como respuesta al</w:t>
        <w:br/>
        <w:br/>
        <w:t>aumento en la demanda de productos de origen animal y, además, ha contribuido a la</w:t>
        <w:br/>
        <w:t>diseminación de las resistencias antimicrobianas y a la emergencia de patógenos</w:t>
        <w:br/>
        <w:br/>
        <w:t>zoonósicos (Alexandratos y Bruinsma, 2012). De hecho, la creciente preocupación por la</w:t>
        <w:br/>
        <w:br/>
        <w:t>propagación de bacterias resistentes a los antibióticos ocasionó la prohibición de la</w:t>
        <w:br/>
        <w:t>utilización de estos como promotores del crecimiento en el año 2006 (EC/1831/2003),</w:t>
        <w:br/>
        <w:br/>
        <w:t>y a partir de ahí se han desarrollado distintas estrategias recogidas en el PRAN (Plan</w:t>
        <w:br/>
        <w:t>Nacional frente a la Resistencia a los Antibióticos, 2014-2018;2019-2021) cuyo objetivo</w:t>
        <w:br/>
        <w:br/>
        <w:t>es reducir el riesgo de selección y diseminación de resistencia a los antibióticos y,</w:t>
        <w:br/>
        <w:t>consecuentemente, reducir el impacto de este problema sobre la salud de las personas</w:t>
        <w:br/>
        <w:br/>
        <w:t>y los animales, preservando de manera sostenible la eficacia de los antibióticos</w:t>
        <w:br/>
        <w:t>existentes.. Desde ese momento, la comunidad científica busca alternativas para</w:t>
        <w:br/>
        <w:br/>
        <w:t>mejorar los indicadores productivos de los animales, para satisfacer la demanda de</w:t>
        <w:br/>
        <w:br/>
        <w:t>alimentos de origen animal y, sobre todo, su salud, para garantizar como fin último la</w:t>
        <w:br/>
        <w:t>salud humana bajo el concepto «One Health».</w:t>
        <w:br/>
        <w:br/>
        <w:br/>
        <w:t>La utilización de piensos funcionales enriquecidos con posbióticos constituyen una</w:t>
        <w:br/>
        <w:br/>
        <w:t>novedosa estrategia que se ha propuesto recientemente para mejorar tanto la salud</w:t>
        <w:br/>
        <w:t>como  el rendimiento productivo de  los  animales, pero han  sido escasamente</w:t>
        <w:br/>
        <w:br/>
        <w:t>investigados en estudios in vivo hasta la fecha, especialmente en el caso de los</w:t>
        <w:br/>
        <w:t>rumiantes. En este capítulo se describe la utilización de un posbiótico para evaluar su</w:t>
        <w:br/>
        <w:br/>
        <w:t>efecto sobre ciertos indicadores sanitarios, así como su impacto sobre los parámetros</w:t>
        <w:br/>
        <w:t>productivos, especialmente diseñado para el control de las pasteurelosis, un problema</w:t>
        <w:br/>
        <w:br/>
        <w:t>muy frecuente en cebaderos de ovino. La pasteurelosis es una de las enfermedades</w:t>
        <w:br/>
        <w:br/>
        <w:t>respiratorias que tiene un mayor impacto económico en todo el mundo (Radostits et al.,</w:t>
        <w:br/>
        <w:t>2007). En el ganado ovino, representa una de las principales causas de pérdidas</w:t>
        <w:br/>
        <w:br/>
        <w:t>económicas debido a la elevada morbilidad, gastos en tratamientos y a su influencia</w:t>
        <w:br/>
        <w:t>negativa sobre el rendimiento productivo de los corderos (Lacasta et al., 2008; Martín-</w:t>
        <w:br/>
        <w:br/>
        <w:br/>
        <w:t xml:space="preserve">                                           MARÍA BRAVO SANTILLANA  263</w:t>
        <w:br/>
      </w:r>
    </w:p>
    <w:p>
      <w:r>
        <w:t>Página 264:</w:t>
        <w:br/>
        <w:t>EXP | Capítulo V</w:t>
        <w:br/>
        <w:br/>
        <w:t>Palomino, 2020). Esta aproximación sanitaria es diferente a la del resto de estudios</w:t>
        <w:br/>
        <w:br/>
        <w:t>similares en esta y otras especies de animales de producción, puesto que se mejoró la</w:t>
        <w:br/>
        <w:br/>
        <w:t>rentabilidad de los corderos gracias al control de determinados procesos infecciosos</w:t>
        <w:br/>
        <w:t>mediante la utilización de un pienso funcional específicamente diseñado para la mejora</w:t>
        <w:br/>
        <w:br/>
        <w:t>de los problemas sanitarios más frecuentes de la explotación.</w:t>
        <w:br/>
        <w:br/>
        <w:br/>
        <w:t>En el análisis previo al estudio experimental descrito en este capítulo, se realizó una</w:t>
        <w:br/>
        <w:t>evaluación del historial clínico de un cebadero de ovino para detectar los momentos de</w:t>
        <w:br/>
        <w:br/>
        <w:t>mayor incidencia de procesos infecciosos, así como un diagnóstico completo para aislar</w:t>
        <w:br/>
        <w:t>los patógenos causantes de enfermedad. Se estableció la infección por P. multocida tipo</w:t>
        <w:br/>
        <w:br/>
        <w:t>A como la enfermedad más frecuente del cebadero, pese a que las neumonías que</w:t>
        <w:br/>
        <w:t>causa, en ocasiones, pueden manifestarse de forma subclínica sin presencia de</w:t>
        <w:br/>
        <w:br/>
        <w:t>sintomatología evidente (García-Jiménez et  al., 2019). De hecho, las lesiones que</w:t>
        <w:br/>
        <w:br/>
        <w:t>produce constituyen una causa frecuente de decomisos en matadero (García-Jiménez</w:t>
        <w:br/>
        <w:t>et al., 2019; Martín-Palomino, 2020). Los factores de estrés asociados al periodo de cebo</w:t>
        <w:br/>
        <w:br/>
        <w:t>y las condiciones climatológicas adversas pueden favorecer al padecimiento de la</w:t>
        <w:br/>
        <w:t>enfermedad y a la bajada consecuente del rendimiento productivo de los animales</w:t>
        <w:br/>
        <w:br/>
        <w:t>(González et al., 2016; Lacasta et al., 2008; Martín-Palomino, 2020). De hecho, se</w:t>
        <w:br/>
        <w:t>detectó que  la máxima incidencia de pasteurelosis en el cebadero analizado se</w:t>
        <w:br/>
        <w:br/>
        <w:t>corresponde con el final de la primavera y el verano en Extremadura, región en la que</w:t>
        <w:br/>
        <w:t>se localiza el mismo. Por todo esto, se realizó un estudio experimental para tratar de</w:t>
        <w:br/>
        <w:br/>
        <w:t>controlar las neumonías infecciosas producidas fundamentalmente por P. multocida,</w:t>
        <w:br/>
        <w:br/>
        <w:t>considerado un residente habitual de la microbiota respiratoria ovina, que puede actuar</w:t>
        <w:br/>
        <w:t>como patógeno  oportunista cuando  se dan  los  condicionantes  anteriormente</w:t>
        <w:br/>
        <w:br/>
        <w:t>mencionados y que afecta de forma sustancial al rendimiento productivo (Martín-</w:t>
        <w:br/>
        <w:t>Palomino, 2020).</w:t>
        <w:br/>
        <w:br/>
        <w:br/>
        <w:t>Para el diseño del posbiótico se realizó un exhaustivo trabajo previo de selección y</w:t>
        <w:br/>
        <w:br/>
        <w:t>caracterización de bacterias potencialmente beneficiosas, que ha sido descrito los</w:t>
        <w:br/>
        <w:t>capítulos anteriores de esta tesis doctoral, seguido de la infección experimental descrita</w:t>
        <w:br/>
        <w:br/>
        <w:t>en modelo ratón para garantizar la seguridad de los compuestos. Como estudio</w:t>
        <w:br/>
        <w:br/>
        <w:t>complementario, en este capítulo, las bacterias candidatas a ser incluidas en el producto</w:t>
        <w:br/>
        <w:t xml:space="preserve"> 264  MARÍA BRAVO SANTILLANA</w:t>
        <w:br/>
      </w:r>
    </w:p>
    <w:p>
      <w:r>
        <w:t>Página 265:</w:t>
        <w:br/>
        <w:t xml:space="preserve">                                       EXP | Capítulo V</w:t>
        <w:br/>
        <w:br/>
        <w:br/>
        <w:t>diseñado para el cebadero en cuestión, fueron enfrentadas a los aislados patógenos más</w:t>
        <w:br/>
        <w:br/>
        <w:t>comunes del cebadero, brindando especial interés a los resultados frente a las especies</w:t>
        <w:br/>
        <w:t>de la familia Pasteurellaceae. Este último estudio permitió acotar una selección final de</w:t>
        <w:br/>
        <w:br/>
        <w:t>BAL a partir de las cuales se fabricó el producto posbiótico. Este producto fue añadido a</w:t>
        <w:br/>
        <w:t>una concentración del 0,4 % a la alimentación estándar de un grupo de corderos en</w:t>
        <w:br/>
        <w:br/>
        <w:t>cebo, cuyos indicadores sanitarios y productivos fueron mejores que los del grupo que</w:t>
        <w:br/>
        <w:t>no fue suplementado.</w:t>
        <w:br/>
        <w:br/>
        <w:br/>
        <w:t>En cuanto a los indicadores sanitarios, el grupo suplementado mostró menores lesiones</w:t>
        <w:br/>
        <w:br/>
        <w:t>neumónicas y de menor extensión que el grupo control y, aunque las diferencias</w:t>
        <w:br/>
        <w:br/>
        <w:t>encontradas fueron menores, también se observó una tendencia positiva en  el</w:t>
        <w:br/>
        <w:t>porcentaje de decomisos, que fue menor en los corderos suplementados. De hecho, un</w:t>
        <w:br/>
        <w:br/>
        <w:t>resultado para tener en cuenta es que se detectó una menor presencia del patógeno P.</w:t>
        <w:br/>
        <w:t>multocida  tipo A en  los  pulmones  con  lesiones  neumónicas de  los  grupos</w:t>
        <w:br/>
        <w:br/>
        <w:t>suplementados, puesto que este patógeno se seleccionó como modelo frente al cual se</w:t>
        <w:br/>
        <w:t>diseñaron los experimentos de cribado para elaborar el posbiótico. Tal y como se</w:t>
        <w:br/>
        <w:br/>
        <w:t>describió en el capítulo II de esta tesis doctoral, las BAL contenidas en el producto tienen</w:t>
        <w:br/>
        <w:t>potencial para interaccionar con los macrófagos del hospedador, específicamente</w:t>
        <w:br/>
        <w:br/>
        <w:t>activando la ruta inmunitaria mediada por el factor de señalización NF-κB. Esta cascada</w:t>
        <w:br/>
        <w:t>de señalización podría estar contribuyendo al control de la infección producida por P.</w:t>
        <w:br/>
        <w:br/>
        <w:t>multocida en el cebadero y conferir cierta protección frente al desarrollo de las lesiones,</w:t>
        <w:br/>
        <w:br/>
        <w:t>puesto que se ha comprobado previamente que la activación de NF-κB vía TLR2 en el</w:t>
        <w:br/>
        <w:t>hospedador por esta y otras especies del género podría ser importante tanto para el</w:t>
        <w:br/>
        <w:br/>
        <w:t>control como para la prevención de la enfermedad (He et al., 2020; Hsuan et al., 1999).</w:t>
        <w:br/>
        <w:t>Por otro lado, se desconoce si los metabolitos antimicrobianos producidos por las BAL</w:t>
        <w:br/>
        <w:br/>
        <w:t>beneficiosas, que mostraron actividad antimicrobiana in vitro frente  al patógeno</w:t>
        <w:br/>
        <w:t>seleccionado, pueden alcanzar el pulmón cuando son administrados por vía oral, aunque</w:t>
        <w:br/>
        <w:br/>
        <w:t>tanto los resultados de la neumonía experimental descrita en el capítulo IV como estos</w:t>
        <w:br/>
        <w:t>podrían indicar que se produce una migración vía sistémica. De hecho, la modulación de</w:t>
        <w:br/>
        <w:br/>
        <w:t>la microbiota gastrointestinal puede favorecer la resolución de procesos que afectan al</w:t>
        <w:br/>
        <w:br/>
        <w:t>aparato respiratorio debido a la interacción conocida con el nombre de «eje intestino-</w:t>
        <w:br/>
        <w:br/>
        <w:t xml:space="preserve">                                           MARÍA BRAVO SANTILLANA  265</w:t>
        <w:br/>
      </w:r>
    </w:p>
    <w:p>
      <w:r>
        <w:t>Página 266:</w:t>
        <w:br/>
        <w:t>EXP | Capítulo V</w:t>
        <w:br/>
        <w:br/>
        <w:t>pulmón», que está recibiendo cada vez más atención en la comunidad científica durante</w:t>
        <w:br/>
        <w:br/>
        <w:t>los últimos años (He et al., 2017). En futuros estudios se ahondará en los mecanismos</w:t>
        <w:br/>
        <w:br/>
        <w:t>responsables de estos efectos beneficiosos observados.</w:t>
        <w:br/>
        <w:br/>
        <w:br/>
        <w:t>En cuanto a los indicadores productivos, la ganancia media diaria (GMD) es un indicador</w:t>
        <w:br/>
        <w:t>muy utilizado para medir la velocidad de crecimiento de los animales. El ritmo de</w:t>
        <w:br/>
        <w:br/>
        <w:t>crecimiento en animales de producción tiene una primera fase de crecimiento rápido en</w:t>
        <w:br/>
        <w:t>el que la GMD alcanza un valor máximo para comenzar a descender cuando el animal</w:t>
        <w:br/>
        <w:br/>
        <w:t>logra aproximadamente un 30 % de su peso adulto, que es cuando el crecimiento</w:t>
        <w:br/>
        <w:t>disminuye progresivamente hasta estabilizarse (Lawrence et al., 2012). Por ello, en este</w:t>
        <w:br/>
        <w:br/>
        <w:t>estudio, observamos que la mayor diferencia entre el grupo control y el suplementado</w:t>
        <w:br/>
        <w:t>se detecta en el primer periodo de cebo considerado, momento en el que el ritmo de</w:t>
        <w:br/>
        <w:br/>
        <w:t>crecimiento es mayor, y eso se traduce en una GMD total al final del periodo de cebo</w:t>
        <w:br/>
        <w:br/>
        <w:t>también superior. El índice de conversión (IC), un parámetro de eficiencia alimentaria</w:t>
        <w:br/>
        <w:t>fue menor en el grupo suplementado, lo que supone una tendencia positiva, aunque en</w:t>
        <w:br/>
        <w:br/>
        <w:t>este caso las diferencias detectadas no son estadísticamente significativas.</w:t>
        <w:br/>
        <w:br/>
        <w:br/>
        <w:t>La mejora en los indicadores productivos de los animales puede ser debida a que la</w:t>
        <w:br/>
        <w:t>administración de piensos con aditivos funcionales favorece la modulación de la</w:t>
        <w:br/>
        <w:br/>
        <w:t>microbiota, creando un equilibrio favorable entre poblaciones bacterianas que aportan</w:t>
        <w:br/>
        <w:t>un beneficio al hospedador y los grupos potencialmente nocivos (Pessione, 2012; Piqué</w:t>
        <w:br/>
        <w:br/>
        <w:t>et  al., 2019). La mayor proporción de poblaciones bacterianas como lactobacilos</w:t>
        <w:br/>
        <w:br/>
        <w:t>favorece el incremento en la actividad enzimática ruminal e intestinal, lo que aumenta</w:t>
        <w:br/>
        <w:t>la digestibilidad de determinados nutrientes (LeBlanc et al., 2011; Pessione, 2012).</w:t>
        <w:br/>
        <w:br/>
        <w:t>Además, también se ha descrito en algunos estudios el aumento en la longitud de las</w:t>
        <w:br/>
        <w:t>vellosidades intestinales, incrementando la superficie de absorción de nutrientes, lo que</w:t>
        <w:br/>
        <w:br/>
        <w:t>se traduce en un mejor aprovechamiento de los alimentos y, con ello, un crecimiento</w:t>
        <w:br/>
        <w:t>más eficiente de los animales (Bajagai et al., 2016; Fleige et al., 2007; Saleem et al.,</w:t>
        <w:br/>
        <w:br/>
        <w:t>2017). De hecho, un estudio realizado en corderos destetados suplementados con</w:t>
        <w:br/>
        <w:t>posbióticos de L. plantarum describe un incremento en la altura y anchura de las papilas</w:t>
        <w:br/>
        <w:br/>
        <w:t>ruminales y un incremento en la función de barrera intestinal (Izuddin et al., 2019a); y</w:t>
        <w:br/>
        <w:br/>
        <w:t>otro estudio, también en corderos destetados, describe un aumento en los indicadores</w:t>
        <w:br/>
        <w:t xml:space="preserve"> 266  MARÍA BRAVO SANTILLANA</w:t>
        <w:br/>
      </w:r>
    </w:p>
    <w:p>
      <w:r>
        <w:t>Página 267:</w:t>
        <w:br/>
        <w:t xml:space="preserve">                                       EXP | Capítulo V</w:t>
        <w:br/>
        <w:br/>
        <w:br/>
        <w:t>productivos, el consumo de alimento y nutrientes y su digestibilidad (Izuddin et al.,</w:t>
        <w:br/>
        <w:br/>
        <w:t>2019b). Estos autores encontraron un incremento de la GMD de un 12,17 % en el grupo</w:t>
        <w:br/>
        <w:t>suplementado, muy similar al 12,1 % de incremento observado en la GMD del primer</w:t>
        <w:br/>
        <w:br/>
        <w:t>periodo en este estudio. Estos resultados sugieren que la administración de posbióticos</w:t>
        <w:br/>
        <w:t>podría ser suficiente únicamente durante las primeras semanas para acelerar el</w:t>
        <w:br/>
        <w:br/>
        <w:t>crecimiento de los corderos que inicien el periodo de cebo con un peso menor. No</w:t>
        <w:br/>
        <w:t>obstante, se podría plantear incrementar el porcentaje de posbiótico añadido al pienso</w:t>
        <w:br/>
        <w:br/>
        <w:t>funcional durante las últimas semanas previas a la finalización del cebo para tratar de</w:t>
        <w:br/>
        <w:t>detectar diferencias en la fase final, cuando el crecimiento de los animales comienza a</w:t>
        <w:br/>
        <w:br/>
        <w:t>estabilizarse (Lawrence et al., 2012).</w:t>
        <w:br/>
        <w:br/>
        <w:br/>
        <w:t>Por otro lado, pese a que en todos los animales se observó una urea muy elevada, se</w:t>
        <w:br/>
        <w:br/>
        <w:t>descarta el fallo hepático o renal debido a que el resto de parámetros analíticos fueron</w:t>
        <w:br/>
        <w:t>normales y a que este parámetro no es un indicador válido para el diagnóstico de estas</w:t>
        <w:br/>
        <w:br/>
        <w:t>patologías debido al proceso fisiológico de reciclaje de la urea sanguínea que tiene lugar</w:t>
        <w:br/>
        <w:t>en el rumen (Getahun et al., 2019). La causa de estos niveles altos de urea podría ser el</w:t>
        <w:br/>
        <w:br/>
        <w:t>elevado porcentaje de proteína presente en el pienso de cebo. De hecho, en el grupo</w:t>
        <w:br/>
        <w:t>suplementado se encontraron unos niveles significativamente menores de urea en</w:t>
        <w:br/>
        <w:br/>
        <w:t>sangre, lo que parece indicar que estos animales poseen un mejor aprovechamiento de</w:t>
        <w:br/>
        <w:t>las proteínas del pienso. El metabolismo de las proteínas en rumiantes es diferente al</w:t>
        <w:br/>
        <w:br/>
        <w:t>del resto de mamíferos monogástricos, en el que los microorganismos del rumen tienen</w:t>
        <w:br/>
        <w:br/>
        <w:t>un papel fundamental para  la síntesis de proteína microbiana. La utilización de</w:t>
        <w:br/>
        <w:t>compuestos bioactivos que modulan la microbiota intestinal podría estar contribuyendo</w:t>
        <w:br/>
        <w:br/>
        <w:t>al proceso fisiológico de metabolismo y síntesis de proteínas, optimizando los nutrientes</w:t>
        <w:br/>
        <w:t>de la dieta (Getahun et al., 2019; McCann et al., 2017). Los valores de la enzima fosfatasa</w:t>
        <w:br/>
        <w:br/>
        <w:t>alcalina (ALP) son mayores en los corderos suplementados. Esta enzima no se asocia a</w:t>
        <w:br/>
        <w:t>daño hepático en esta especie, a diferencia de otras especies, y su elevada actividad</w:t>
        <w:br/>
        <w:br/>
        <w:t>enzimática se debe a que en animales jóvenes, especialmente aquellos cuyo crecimiento</w:t>
        <w:br/>
        <w:t>es mayor, la ALP indica una mayor actividad osteoblástica, ya que se libera durante el</w:t>
        <w:br/>
        <w:br/>
        <w:t>remodelado óseo (Latimer, 2011). De la misma forma, tanto la enzima AST como la LDH,</w:t>
        <w:br/>
        <w:br/>
        <w:t>ambas con valores por encima de los rangos de referencia para la especie ovina, no son</w:t>
        <w:br/>
        <w:br/>
        <w:t xml:space="preserve">                                           MARÍA BRAVO SANTILLANA  267</w:t>
        <w:br/>
      </w:r>
    </w:p>
    <w:p>
      <w:r>
        <w:t>Página 268:</w:t>
        <w:br/>
        <w:t>EXP | Capítulo V</w:t>
        <w:br/>
        <w:br/>
        <w:t>específicas para diagnóstico de patologías cuando se hallan de forma aislada, sino que</w:t>
        <w:br/>
        <w:br/>
        <w:t>sus valores se ven alterados si durante el procedimiento de toma de muestra o de</w:t>
        <w:br/>
        <w:br/>
        <w:t>obtención del suero, esta se encuentra moderadamente hemolizada (Latimer, 2011).</w:t>
        <w:br/>
        <w:br/>
        <w:t>Por último, otros de los procesos comunes en el cebadero analizado se corresponden</w:t>
        <w:br/>
        <w:t>con las patologías digestivas de etiología infecciosa, debido a la disbiosis que producen</w:t>
        <w:br/>
        <w:br/>
        <w:t>los factores de estrés asociados al periodo de cebo, incluido el cambio de alimentación,</w:t>
        <w:br/>
        <w:t>el transporte y el hacinamiento de los animales. Los procesos digestivos no se han tenido</w:t>
        <w:br/>
        <w:br/>
        <w:t>en cuenta en el diseño del estudio experimental y, dado que el producto se administra</w:t>
        <w:br/>
        <w:br/>
        <w:t>por vía oral, es muy probable que los efectos detectados también se puedan estar</w:t>
        <w:br/>
        <w:t>viendo  beneficiados por  este y tengan una repercusión sobre  los  indicadores</w:t>
        <w:br/>
        <w:br/>
        <w:t>productivos. En futuras líneas de investigación, se tratará de dilucidar esta cuestión y se</w:t>
        <w:br/>
        <w:t>incluirán los patógenos digestivos en el procedimiento de cribado de BAL beneficiosas</w:t>
        <w:br/>
        <w:br/>
        <w:t>como paso previo a la elaboración del producto posbiótico.</w:t>
        <w:br/>
        <w:br/>
        <w:br/>
        <w:t>El periodo de cebo es una etapa crucial para alcanzar la productividad óptima de los</w:t>
        <w:br/>
        <w:t>animales, pero las condiciones de intensificación conllevan situaciones de estrés para</w:t>
        <w:br/>
        <w:br/>
        <w:t>estos que pueden repercutir sobre su salud y, por ende, sobre el rendimiento productivo</w:t>
        <w:br/>
        <w:t>(González et al., 2016). Actualmente, el empleo de piensos funcionales enriquecidos con</w:t>
        <w:br/>
        <w:br/>
        <w:t>compuestos  bioactivos es  la  principal  alternativa para mejorar  los parámetros</w:t>
        <w:br/>
        <w:br/>
        <w:t>productivos de los animales, incluso en situaciones de estrés, manteniendo tanto sus</w:t>
        <w:br/>
        <w:t>indicadores sanitarios en valores óptimos y respetando el bienestar animal, así como la</w:t>
        <w:br/>
        <w:br/>
        <w:t>normativa europea en materia de aditivos y regulación del uso de antimicrobianos</w:t>
        <w:br/>
        <w:t>(Bajagai et al., 2016). La gran ventaja que ofrecen los posbióticos con respecto a los</w:t>
        <w:br/>
        <w:br/>
        <w:t>probióticos es que no se requiere de la colonización para ejercer su acción, puesto que</w:t>
        <w:br/>
        <w:t>se añaden las moléculas funcionales producidas de forma óptima y además, el hecho de</w:t>
        <w:br/>
        <w:br/>
        <w:t>no incluir bacterias vivas en la preparación final facilita su conservación en condiciones</w:t>
        <w:br/>
        <w:t>de campo (Aguilar-Toalá et al., 2018; Wegh et al., 2019).</w:t>
        <w:br/>
        <w:br/>
        <w:br/>
        <w:t>En este estudio, se realizó por primera vez una aproximación sanitaria para  la</w:t>
        <w:br/>
        <w:t>consecución de una mejora en los parámetros productivos. El control de determinados</w:t>
        <w:br/>
        <w:br/>
        <w:t>procesos sanitarios, gracias a la utilización de un pienso funcional específicamente</w:t>
        <w:br/>
        <w:br/>
        <w:t xml:space="preserve"> 268  MARÍA BRAVO SANTILLANA</w:t>
        <w:br/>
      </w:r>
    </w:p>
    <w:p>
      <w:r>
        <w:t>Página 269:</w:t>
        <w:br/>
        <w:t xml:space="preserve">                                       EXP | Capítulo V</w:t>
        <w:br/>
        <w:br/>
        <w:br/>
        <w:t>diseñado para el patógeno más común del cebadero tuvo repercusión positiva, no solo</w:t>
        <w:br/>
        <w:br/>
        <w:t>sobre los indicadores sanitarios de los corderos, sino también sobre los indicadores</w:t>
        <w:br/>
        <w:t>productivos, mejorando la rentabilidad de estos.</w:t>
        <w:br/>
        <w:br/>
        <w:br/>
        <w:br/>
        <w:br/>
        <w:br/>
        <w:t xml:space="preserve">                                           MARÍA BRAVO SANTILLANA  269</w:t>
        <w:br/>
      </w:r>
    </w:p>
    <w:p>
      <w:r>
        <w:t>Página 270:</w:t>
        <w:br/>
        <w:t>EXP | Capítulo V</w:t>
        <w:br/>
        <w:br/>
        <w:br/>
        <w:br/>
        <w:br/>
        <w:br/>
        <w:t xml:space="preserve"> 270  MARÍA BRAVO SANTILLANA</w:t>
        <w:br/>
      </w:r>
    </w:p>
    <w:p>
      <w:r>
        <w:t>Página 271:</w:t>
        <w:br/>
        <w:t xml:space="preserve">                                      EXP | Capítulo V</w:t>
        <w:br/>
        <w:br/>
        <w:br/>
        <w:br/>
        <w:br/>
        <w:br/>
        <w:t>CAPÍTULO VI: Administración de posbióticos para el control de</w:t>
        <w:br/>
        <w:t>tuberculosis en fauna silvestre</w:t>
        <w:br/>
        <w:br/>
        <w:br/>
        <w:br/>
        <w:br/>
        <w:br/>
        <w:t xml:space="preserve">                                          MARÍA BRAVO SANTILLANA  271</w:t>
        <w:br/>
      </w:r>
    </w:p>
    <w:p>
      <w:r>
        <w:t>Página 272:</w:t>
        <w:br/>
        <w:t>EXP | Capítulo V</w:t>
        <w:br/>
        <w:br/>
        <w:br/>
        <w:br/>
        <w:br/>
        <w:br/>
        <w:t xml:space="preserve"> 272  MARÍA BRAVO SANTILLANA</w:t>
        <w:br/>
      </w:r>
    </w:p>
    <w:p>
      <w:r>
        <w:t>Página 273:</w:t>
        <w:br/>
        <w:t xml:space="preserve">                                      EXP | Capítulo VI</w:t>
        <w:br/>
        <w:br/>
        <w:t>INTRODUCCIÓN</w:t>
        <w:br/>
        <w:br/>
        <w:br/>
        <w:br/>
        <w:t>Importancia de la tuberculosis en todo el mundo</w:t>
        <w:br/>
        <w:br/>
        <w:t>La tuberculosis (TB) es una enfermedad crónica que afecta a un gran número de</w:t>
        <w:br/>
        <w:br/>
        <w:t>mamíferos, incluida la especie humana, y está causada por bacterias pertenecientes al</w:t>
        <w:br/>
        <w:t>Complejo Mycobacterium tuberculosis (MTC, Mycobacterium tuberculosis Complex),</w:t>
        <w:br/>
        <w:br/>
        <w:t>conocidas de forma general como «micobacterias». En la especie humana, hasta el año</w:t>
        <w:br/>
        <w:t>2019, la TB figuraba entre las primeras 10 causas de muerte en todo el mundo.</w:t>
        <w:br/>
        <w:br/>
        <w:t>Actualmente, solo en África y Asia Sudoriental continúa siendo una de las principales</w:t>
        <w:br/>
        <w:t>causas de muerte, donde es la octava y quinta causa principal, respectivamente (WHO</w:t>
        <w:br/>
        <w:br/>
        <w:t>Methods and Data Sources for Country-Level Causes of Death 2000-2019, 2020).</w:t>
        <w:br/>
        <w:br/>
        <w:br/>
        <w:t>En animales, la TB está causada por otras micobacterias pertenecientes al MTC y puede</w:t>
        <w:br/>
        <w:t>afectar a una gran variedad de hospedadores,  como bovinos, cérvidos, caprinos,</w:t>
        <w:br/>
        <w:br/>
        <w:t>camélidos y otras especies domésticas y silvestres (Corner, 2006). La especie de</w:t>
        <w:br/>
        <w:br/>
        <w:t>micobacteria más importante en el mundo animal es M. bovis, causante de la TB bovina,</w:t>
        <w:br/>
        <w:t>pero también existen otras de relevancia como M. caprae. La TB bovina causa</w:t>
        <w:br/>
        <w:br/>
        <w:t>importantes pérdidas económicas en toda la cabaña ganadera mundial debido a su</w:t>
        <w:br/>
        <w:t>carácter crónico, que produce disminución de las producciones, y también debido a los</w:t>
        <w:br/>
        <w:br/>
        <w:t>decomisos producidos en mataderos y a la restricción en el movimiento de animales</w:t>
        <w:br/>
        <w:t>vivos (Ayele et al., 2004; Naranjo et al., 2008). En el caso de especies silvestres, la TB</w:t>
        <w:br/>
        <w:br/>
        <w:t>supone un problema sanitario importante en especies caza mayor y una amenaza</w:t>
        <w:br/>
        <w:t>importante para la conservación de especies en peligro de extinción, como el lince</w:t>
        <w:br/>
        <w:br/>
        <w:t>ibérico (Briones et al., 2000). Asimismo, está considerada como un problema de Salud</w:t>
        <w:br/>
        <w:br/>
        <w:t>Pública, puesto que  la posibilidad de transmisión  al ser humano hace que esta</w:t>
        <w:br/>
        <w:t>enfermedad sea una zoonosis. La principal vía de contagio al hombre suele ser la</w:t>
        <w:br/>
        <w:br/>
        <w:t>respiratoria mediante aerosoles, pero también se ha descrito la ingesta de material</w:t>
        <w:br/>
        <w:t>contaminado como vía de transmisión (De la Rua-Domenech, 2006; Luciano y Roess,</w:t>
        <w:br/>
        <w:br/>
        <w:t>2020).</w:t>
        <w:br/>
        <w:br/>
        <w:t xml:space="preserve">                                           MARÍA BRAVO SANTILLANA  273</w:t>
        <w:br/>
      </w:r>
    </w:p>
    <w:p>
      <w:r>
        <w:t>Página 274:</w:t>
        <w:br/>
        <w:t>EXP | Capítulo VI</w:t>
        <w:br/>
        <w:br/>
        <w:t>Situación de la tuberculosis bovina en España</w:t>
        <w:br/>
        <w:br/>
        <w:t>Gracias a los programas de erradicación de la TB bovina que se han llevado a cabo en</w:t>
        <w:br/>
        <w:br/>
        <w:t>España durante las últimas décadas, el porcentaje de rebaños positivos se ha reducido</w:t>
        <w:br/>
        <w:t>del 20 % en los años 70 a menos del 2 % en los últimos años (Plan de Actuación Sobre</w:t>
        <w:br/>
        <w:br/>
        <w:t>Tuberculosis En Especies Silvestres, 2017). No obstante, España es el tercer país de la UE,</w:t>
        <w:br/>
        <w:t>por detrás de Reino Unido e Irlanda, en prevalencia de esta enfermedad en la cabaña</w:t>
        <w:br/>
        <w:br/>
        <w:t>ganadera. Además, la situación epidemiológica de la TB bovina en España es variable</w:t>
        <w:br/>
        <w:t>entre las diferentes localizaciones geográficas: las regiones insulares se encuentran</w:t>
        <w:br/>
        <w:br/>
        <w:t>prácticamente libres, la zona norte y este tienen prevalencias relativamente bajas y las</w:t>
        <w:br/>
        <w:t>regiones del suroeste son las más problemáticas, con zonas de alta prevalencia (Informe</w:t>
        <w:br/>
        <w:br/>
        <w:t>Final Técnico-Financiero Programa Nacional de La Tuberculosis Bovina Año 2019, 2019)</w:t>
        <w:br/>
        <w:t>(Figura 6.1). Estos datos y algunos estudios realizados en España y en otros países</w:t>
        <w:br/>
        <w:br/>
        <w:t>demuestran que la TB bovina continúa siendo muy prevalentes en zonas con alta</w:t>
        <w:br/>
        <w:br/>
        <w:t>densidad de hospedadores silvestres (Corner, 2006; Naranjo et al., 2008).</w:t>
        <w:br/>
        <w:br/>
        <w:br/>
        <w:br/>
        <w:br/>
        <w:br/>
        <w:t xml:space="preserve">  Figura 6.1. Mapa epidemiológico de la tuberculosis bovina en España, prevalencia por comarcas, año</w:t>
        <w:br/>
        <w:br/>
        <w:t xml:space="preserve">        2019. Fuente: Ministerio de Agricultura, Pesca y Alimentación del Gobierno de España.</w:t>
        <w:br/>
        <w:br/>
        <w:br/>
        <w:br/>
        <w:t xml:space="preserve"> 274  MARÍA BRAVO SANTILLANA</w:t>
        <w:br/>
      </w:r>
    </w:p>
    <w:p>
      <w:r>
        <w:t>Página 275:</w:t>
        <w:br/>
        <w:t xml:space="preserve">                                      EXP | Capítulo VI</w:t>
        <w:br/>
        <w:br/>
        <w:t>El jabalí como reservorio silvestre principal de M. bovis en el suroeste de la Península</w:t>
        <w:br/>
        <w:br/>
        <w:t>Ibérica</w:t>
        <w:br/>
        <w:br/>
        <w:t>En la Península Ibérica, los jabalíes; los cérvidos, como los ciervos o los gamos; y los</w:t>
        <w:br/>
        <w:t>tejones, actúan como reservorios silvestres de M. bovis y complican los programas de</w:t>
        <w:br/>
        <w:br/>
        <w:t>erradicación de la enfermedad en zonas con altas prevalencias. De hecho, el Ministerio</w:t>
        <w:br/>
        <w:t>de Agricultura, Pesca y Alimentación del Gobierno de España también clasifica las</w:t>
        <w:br/>
        <w:br/>
        <w:t>diferentes comarcas o unidades veterinarias en función del riesgo en fauna silvestre,</w:t>
        <w:br/>
        <w:t>considerando como especial riesgo (alto) la zona suroeste de la Península Ibérica (Real</w:t>
        <w:br/>
        <w:br/>
        <w:t>Decreto 138/2020, de 28 de Enero, por el que se establece la normativa básica en</w:t>
        <w:br/>
        <w:t>materia de actuaciones sanitarias en especies cinegéticas que actúan como reservorio</w:t>
        <w:br/>
        <w:br/>
        <w:t>de la tuberculosis (Complejo Mycobacterium Tuberculosis)., 2020) .</w:t>
        <w:br/>
        <w:br/>
        <w:br/>
        <w:t>El jabalí es el reservorio principal de la TB en ecosistemas mediterráneos del sur de</w:t>
        <w:br/>
        <w:br/>
        <w:t>Portugal y del suroeste de España, con prevalencias que pueden llegar a superar el 50%</w:t>
        <w:br/>
        <w:t>(Risco et al., 2019). Los factores de riesgo que pueden predisponer a los jabalíes a</w:t>
        <w:br/>
        <w:br/>
        <w:t>mostrar estas prevalencias tan altas han sido estudiados en profundidad durante los</w:t>
        <w:br/>
        <w:t>últimos años e incluyen las altas densidades poblacionales, la edad y las coinfecciones</w:t>
        <w:br/>
        <w:br/>
        <w:t>con otros patógenos (Gortázar et al., 2006; Risco et al., 2014; Vicente et al., 2007).</w:t>
        <w:br/>
        <w:br/>
        <w:br/>
        <w:t>El jabalí es una especie animal altamente susceptible a la TB, que presenta de forma</w:t>
        <w:br/>
        <w:t>frecuente lesiones generalizadas de curso crónico, pese a no mostrar signos clínicos de</w:t>
        <w:br/>
        <w:br/>
        <w:t>la  enfermedad.  Muchos  de  estos  animales  con  lesiones  generalizadas  son</w:t>
        <w:br/>
        <w:br/>
        <w:t>«superexcretores», que excretan la bacteria por una o varias rutas (oronasal, fecal e</w:t>
        <w:br/>
        <w:t>incluso urinaria), aumentando su probabilidad de diseminación y manteniendo latente</w:t>
        <w:br/>
        <w:br/>
        <w:t>la enfermedad en el sistema multihospedador de estos ecosistemas (Risco et al., 2019;</w:t>
        <w:br/>
        <w:t>Santos et al., 2015).</w:t>
        <w:br/>
        <w:br/>
        <w:br/>
        <w:br/>
        <w:br/>
        <w:br/>
        <w:t xml:space="preserve">                                           MARÍA BRAVO SANTILLANA  275</w:t>
        <w:br/>
      </w:r>
    </w:p>
    <w:p>
      <w:r>
        <w:t>Página 276:</w:t>
        <w:br/>
        <w:t>EXP | Capítulo VI</w:t>
        <w:br/>
        <w:br/>
        <w:t>Medidas de control de tuberculosis en animales silvestres</w:t>
        <w:br/>
        <w:br/>
        <w:t>La erradicación de una enfermedad multihospedador, es decir, que afecta como</w:t>
        <w:br/>
        <w:br/>
        <w:t>acabamos de ver a un gran número de hospedadores diferentes, requiere que se lleven</w:t>
        <w:br/>
        <w:t>a  cabo  medidas  de  manejo  en  todos  los  hospedadores  que  contribuyan</w:t>
        <w:br/>
        <w:br/>
        <w:t>significativamente a su mantenimiento (Byrne et al., 2019; García-Jiménez et al., 2013).</w:t>
        <w:br/>
        <w:t>Debido  a  la  situación  epidemiológica que  existe en  España  con  relación  al</w:t>
        <w:br/>
        <w:br/>
        <w:t>mantenimiento de altas prevalencias de TB bovina en zonas con altas densidades de</w:t>
        <w:br/>
        <w:t>animales silvestres, es necesario llevar a cabo medidas de prevención y control en estos</w:t>
        <w:br/>
        <w:br/>
        <w:t>reservorios para lograr una eliminación completa de esta enfermedad (Byrne et al.,</w:t>
        <w:br/>
        <w:t>2019; Risco et al., 2018).</w:t>
        <w:br/>
        <w:br/>
        <w:br/>
        <w:t>El Plan de Actuación sobre TB en Especies Silvestres indica que, para las zonas con</w:t>
        <w:br/>
        <w:br/>
        <w:t>prevalencias bajas, no es necesaria una intervención más allá de la vigilancia poblacional</w:t>
        <w:br/>
        <w:br/>
        <w:t>y sanitaria. En cambio, en las zonas con riesgo especial, se requieren medidas de lucha</w:t>
        <w:br/>
        <w:t>encaminadas a controlar la enfermedad en la fauna silvestre que complementen el</w:t>
        <w:br/>
        <w:br/>
        <w:t>Programa Nacional de Erradicación de la TB en España (Plan de Actuación Sobre</w:t>
        <w:br/>
        <w:t>Tuberculosis En Especies Silvestres, 2017). Por otro lado, el Real Decreto 138/2020</w:t>
        <w:br/>
        <w:br/>
        <w:t>establece  la normativa básica en materia de actuaciones sanitarias en especies</w:t>
        <w:br/>
        <w:t>cinegéticas que puedan actuar como reservorios de la TB y establece una clasificación</w:t>
        <w:br/>
        <w:br/>
        <w:t>administrativa de las explotaciones y los terrenos cinegéticos, que se muestra en la</w:t>
        <w:br/>
        <w:t>Figura 6.2.</w:t>
        <w:br/>
        <w:br/>
        <w:br/>
        <w:br/>
        <w:br/>
        <w:br/>
        <w:t>Figura 6.2. Categorización administrativa de las explotaciones y los terrenos cinegéticos. Fuente: Guía de</w:t>
        <w:br/>
        <w:t>Aplicación para el sector cinegético del Real Decreto 138/2020, por el que se establece la normativa básica</w:t>
        <w:br/>
        <w:t>en materia de actuaciones sanitarias en especies cinegéticas que actúan como reservorio de  la</w:t>
        <w:br/>
        <w:t>tuberculosis.</w:t>
        <w:br/>
        <w:br/>
        <w:t xml:space="preserve"> 276  MARÍA BRAVO SANTILLANA</w:t>
        <w:br/>
      </w:r>
    </w:p>
    <w:p>
      <w:r>
        <w:t>Página 277:</w:t>
        <w:br/>
        <w:t xml:space="preserve">                                      EXP | Capítulo VI</w:t>
        <w:br/>
        <w:br/>
        <w:br/>
        <w:t>Las medidas de control de TB en reservorios silvestres incluyen, primer lugar, las</w:t>
        <w:br/>
        <w:br/>
        <w:t>acciones preventivas y las medidas de bioseguridad como las medidas de gestión en</w:t>
        <w:br/>
        <w:t>granjas cinegéticas y de traslado de los animales, así como la utilización de barreras</w:t>
        <w:br/>
        <w:br/>
        <w:t>como vallados y la gestión de los residuos de caza, entre otros (Aranaz et al., 2004;</w:t>
        <w:br/>
        <w:t>Gortazar et al., 2015; Plan de Actuación Sobre Tuberculosis En Especies Silvestres, 2017).</w:t>
        <w:br/>
        <w:br/>
        <w:t>Una de las principales medidas de lucha es el control poblacional mediante reducción</w:t>
        <w:br/>
        <w:br/>
        <w:t>del aporte de alimento o mediante sacrificios aleatorios o eliminación selectiva de</w:t>
        <w:br/>
        <w:t>jabalíes (Aranaz et al., 2004; García-Jiménez et al., 2013; Gortazar et al., 2015; Naranjo</w:t>
        <w:br/>
        <w:br/>
        <w:t>et al., 2008). En cuanto a la inmunización de los animales que pueden actuar como</w:t>
        <w:br/>
        <w:t>reservorios, existen diversos estudios en jabalíes sobre la vacunación oral o parenteral</w:t>
        <w:br/>
        <w:br/>
        <w:t>con M. bovis inactivado y con M. bovis BCG (Beltrán-Beck et al., 2012; Buddle et al.,</w:t>
        <w:br/>
        <w:t>2018; Díez-Delgado et al., 2018). Por otro lado, otras alternativas más recientes e</w:t>
        <w:br/>
        <w:br/>
        <w:t>innovadoras incluyen la potenciación del sistema inmunitario mediante suplementación</w:t>
        <w:br/>
        <w:t>con vitamina D3 (Risco et al., 2016) y la estrategia de actuar frente a las infecciones</w:t>
        <w:br/>
        <w:br/>
        <w:t>concomitantes, como la vacunación de circovirus porcino (Risco et al., 2018).</w:t>
        <w:br/>
        <w:br/>
        <w:br/>
        <w:t>En la mayoría de los casos, además de ser técnica y económicamente inviable, la</w:t>
        <w:br/>
        <w:br/>
        <w:t>intervención en un ecosistema natural, en especial cuando se trata de control</w:t>
        <w:br/>
        <w:t>poblacional, puede resultar controvertida para algunos sectores (Aranaz et al., 2004;</w:t>
        <w:br/>
        <w:br/>
        <w:t>Gortazar et al., 2015; Naranjo et al., 2008). Por ello, las estrategias disponibles en la</w:t>
        <w:br/>
        <w:t>actualidad son cada vez más limitadas y son necesarias medidas alternativas que sean</w:t>
        <w:br/>
        <w:br/>
        <w:t>económicas, factibles y lo suficientemente efectivas.</w:t>
        <w:br/>
        <w:br/>
        <w:br/>
        <w:br/>
        <w:t>Suplementación con posbióticos como una alternativa novedosa para el control de la</w:t>
        <w:br/>
        <w:br/>
        <w:t>TB</w:t>
        <w:br/>
        <w:br/>
        <w:t>En este sentido, las bacterias beneficiosas como las BAL surgen como una alternativa</w:t>
        <w:br/>
        <w:t>ecológica y  sostenible en  la prevención de  la  transmisión y diseminación de</w:t>
        <w:br/>
        <w:br/>
        <w:t>enfermedades, incluida la TB en poblaciones silvestres (Sivaraj et al., 2018; Stedman et</w:t>
        <w:br/>
        <w:t>al., 2018). Como se ha comentado previamente a lo largo de esta tesis doctoral, el</w:t>
        <w:br/>
        <w:br/>
        <w:br/>
        <w:t xml:space="preserve">                                           MARÍA BRAVO SANTILLANA  277</w:t>
        <w:br/>
      </w:r>
    </w:p>
    <w:p>
      <w:r>
        <w:t>Página 278:</w:t>
        <w:br/>
        <w:t>EXP | Capítulo VI</w:t>
        <w:br/>
        <w:br/>
        <w:t>proceso de elaboración de los posbióticos consiste en la optimización de la producción</w:t>
        <w:br/>
        <w:br/>
        <w:t>de subproductos metabólicos en condiciones controladas de cultivo y fermentación de</w:t>
        <w:br/>
        <w:br/>
        <w:t>microorganismos beneficiosos, incluyendo tanto los compuestos secretados como los</w:t>
        <w:br/>
        <w:t>componentes de la pared celular liberados después de la lisis bacteriana (Salminen et</w:t>
        <w:br/>
        <w:br/>
        <w:t>al., 2021). Estas moléculas pueden mejorar la salud del hospedador debido a su actividad</w:t>
        <w:br/>
        <w:t>antiinflamatoria, inmunomoduladora y antimicrobiana (Aguilar-Toalá et al., 2018; Wegh</w:t>
        <w:br/>
        <w:br/>
        <w:t>et al., 2019).</w:t>
        <w:br/>
        <w:br/>
        <w:br/>
        <w:t>En los ensayos in vitro descritos en el bloque  I de esta tesis doctoral se describen</w:t>
        <w:br/>
        <w:t>diferentes moléculas de BAL con capacidad para antagonizar la supervivencia de las</w:t>
        <w:br/>
        <w:br/>
        <w:t>micobacterias mediante mecanismos  sinérgicos que  incluyen  la producción de</w:t>
        <w:br/>
        <w:t>metabolitos antimicrobianos y acidificación del pH, y también mediante su influencia en</w:t>
        <w:br/>
        <w:br/>
        <w:t>el proceso de fagocitosis por las células sanguíneas. Algunos aislados de BAL tienen</w:t>
        <w:br/>
        <w:br/>
        <w:t>capacidad para  producir  diferentes  tipos de  bacteriocinas y  otros  metabolitos</w:t>
        <w:br/>
        <w:t>antimicrobianos como ácidos orgánicos, etanol o dióxido de carbono, además de varios</w:t>
        <w:br/>
        <w:br/>
        <w:t>compuestos solubles y componentes de la pared celular, como exopolisacáridos o los</w:t>
        <w:br/>
        <w:t>ácidos  teicoico  y  lipoteicoico (WTA,  LTA), que  podrían  actuar como  agentes</w:t>
        <w:br/>
        <w:br/>
        <w:t>antimicobacterianos  e  inmunomoduladores,  respectivamente,  protegiendo   al</w:t>
        <w:br/>
        <w:t>hospedador frente a la diseminación de la micobacteria por el organismo.</w:t>
        <w:br/>
        <w:br/>
        <w:br/>
        <w:t>Por otro lado, algunos estudios sugieren que la utilización de otras moléculas derivadas</w:t>
        <w:br/>
        <w:br/>
        <w:t>de bacterias diferentes a las BAL, como las micobacterias no productoras de TB, pueden</w:t>
        <w:br/>
        <w:br/>
        <w:t>inducir una  respuesta  inmunitaria  beneficiosa  confiriendo  protección  contra  la</w:t>
        <w:br/>
        <w:t>diseminación de la enfermedad (Cardona et al., 2016; Shah et al., 2019; Von Reyn et al.,</w:t>
        <w:br/>
        <w:br/>
        <w:t>2010).</w:t>
        <w:br/>
        <w:br/>
        <w:br/>
        <w:t>En fauna silvestre, las estrategias basadas en el manejo y la modulación de la microbiota,</w:t>
        <w:br/>
        <w:t>así como la utilización de los microorganismos que forman parte de ella, por ejemplo</w:t>
        <w:br/>
        <w:br/>
        <w:t>mediante la administración de productos posbióticos, se han propuesto recientemente</w:t>
        <w:br/>
        <w:t>como un método relativamente natural y sostenible para hacer frente a algunas</w:t>
        <w:br/>
        <w:br/>
        <w:t>enfermedades que afectan a las poblaciones silvestres de todo el mundo, incluida la TB</w:t>
        <w:br/>
        <w:br/>
        <w:br/>
        <w:t xml:space="preserve"> 278  MARÍA BRAVO SANTILLANA</w:t>
        <w:br/>
      </w:r>
    </w:p>
    <w:p>
      <w:r>
        <w:t>Página 279:</w:t>
        <w:br/>
        <w:t xml:space="preserve">                                      EXP | Capítulo VI</w:t>
        <w:br/>
        <w:br/>
        <w:t>(Harrison et al., 2020; McKenzie et al., 2018; Stedman et al., 2020). Sin embargo y pese</w:t>
        <w:br/>
        <w:br/>
        <w:t>a la importancia de la TB en estas poblaciones, no se dispone de estudios realizados</w:t>
        <w:br/>
        <w:br/>
        <w:t>directamente en poblaciones silvestres que confirmen la utilidad real de estas nuevas</w:t>
        <w:br/>
        <w:t>alternativas.</w:t>
        <w:br/>
        <w:br/>
        <w:br/>
        <w:t>Por ello, el objetivo general de este capítulo fue evaluar el efecto de la suplementación</w:t>
        <w:br/>
        <w:br/>
        <w:t>oral con  metabolitos  antimicobacterianos  posbióticos  producidos por  bacterias</w:t>
        <w:br/>
        <w:t>beneficiosas sobre el desarrollo de la TB en poblaciones de jabalíes.</w:t>
        <w:br/>
        <w:br/>
        <w:br/>
        <w:t>Los objetivos específicos son los siguientes:</w:t>
        <w:br/>
        <w:br/>
        <w:br/>
        <w:t xml:space="preserve">     -   Diseñar y elaborar un producto posbiótico a partir de los compuestos bioactivos</w:t>
        <w:br/>
        <w:br/>
        <w:t xml:space="preserve">      de una selección de bacterias beneficiosas que pueda contribuir al control de la</w:t>
        <w:br/>
        <w:br/>
        <w:t xml:space="preserve">       TB.</w:t>
        <w:br/>
        <w:br/>
        <w:br/>
        <w:t xml:space="preserve">     -   Analizar el efecto de la administración del producto añadido al pienso durante la</w:t>
        <w:br/>
        <w:t xml:space="preserve">      época de suplementación llevada a cabo en poblaciones de jabalíes sobre la</w:t>
        <w:br/>
        <w:br/>
        <w:t xml:space="preserve">       situación epidemiológica de la TB</w:t>
        <w:br/>
        <w:br/>
        <w:br/>
        <w:br/>
        <w:br/>
        <w:br/>
        <w:t xml:space="preserve">                                           MARÍA BRAVO SANTILLANA  279</w:t>
        <w:br/>
      </w:r>
    </w:p>
    <w:p>
      <w:r>
        <w:t>Página 280:</w:t>
        <w:br/>
        <w:t xml:space="preserve">  EXP | Capítulo VI</w:t>
        <w:br/>
        <w:br/>
        <w:t xml:space="preserve">  MÉTODO</w:t>
        <w:br/>
        <w:br/>
        <w:br/>
        <w:br/>
        <w:t>1.  Elaboración del producto posbiótico</w:t>
        <w:br/>
        <w:br/>
        <w:t xml:space="preserve">   En función de la caracterización de las BAL descrita a lo largo de esta tesis doctoral, se</w:t>
        <w:br/>
        <w:br/>
        <w:t xml:space="preserve">    seleccionó una combinación de moléculas derivadas de estas que pueda contribuir al</w:t>
        <w:br/>
        <w:t xml:space="preserve">    control de la TB en diferentes poblaciones de jabalíes. Las BAL seleccionadas están</w:t>
        <w:br/>
        <w:br/>
        <w:t xml:space="preserve">   depositadas en la Colección Española de Cultivos Tipo (CECT) y fueron utilizada para</w:t>
        <w:br/>
        <w:br/>
        <w:t xml:space="preserve">    desarrollar un producto posbiótico cuya composición está protegida por secreto</w:t>
        <w:br/>
        <w:t xml:space="preserve">    industrial.</w:t>
        <w:br/>
        <w:br/>
        <w:br/>
        <w:t xml:space="preserve">   Además, el proceso de selección y caracterización de bacterias que potencialmente</w:t>
        <w:br/>
        <w:br/>
        <w:t xml:space="preserve">   tienen utilidad como posbióticos y que está descrito en esta tesis doctoral, permitió</w:t>
        <w:br/>
        <w:t xml:space="preserve">   extenderEl contenidolos procedimientosdea otrasestabacteriasseccióndiferentesestáde BAL, cuyas moléculas</w:t>
        <w:br/>
        <w:br/>
        <w:t xml:space="preserve">   pueden actuar en sinergia con las ya mencionadas. Se incluyeron en este nuevo     sujeto a protección.</w:t>
        <w:br/>
        <w:t xml:space="preserve">   producto posbiótico los extractos proteicos derivados de otras bacterias diferentes a</w:t>
        <w:br/>
        <w:br/>
        <w:t xml:space="preserve">    estas y que están protegidos mediante la patente (OEP/202030658).</w:t>
        <w:br/>
        <w:br/>
        <w:br/>
        <w:t xml:space="preserve">    El producto final, presentado como gránulos desecados que se añaden al pienso animal</w:t>
        <w:br/>
        <w:br/>
        <w:t xml:space="preserve">    sin alterar los patrones dietéticos, está obtenido a partir de los metabolitos generados</w:t>
        <w:br/>
        <w:t xml:space="preserve">   mediante la fermentación de los cultivos de los microorganismos seleccionados. Estos</w:t>
        <w:br/>
        <w:br/>
        <w:t xml:space="preserve">   procedimientos han sido descritos en el capítulo V de esta tesis doctoral y su fabricación</w:t>
        <w:br/>
        <w:t xml:space="preserve">   se realiza conforme al reglamento (UE) 2017/1017 (European Commission, 2017).</w:t>
        <w:br/>
        <w:br/>
        <w:br/>
        <w:br/>
        <w:t>2.  Diseño del estudio experimental: selección de las fincas y elaboración de los grupos</w:t>
        <w:br/>
        <w:t xml:space="preserve">   de estudio</w:t>
        <w:br/>
        <w:br/>
        <w:t xml:space="preserve">   Se seleccionaron 20 fincas cinegéticas, ubicadas en el centro-oeste de España (Figura</w:t>
        <w:br/>
        <w:t xml:space="preserve">    6.3), que están dedicadas principalmente a la gestión y al manejo de las poblaciones</w:t>
        <w:br/>
        <w:br/>
        <w:t xml:space="preserve">    cinegéticas y que disponen de vallado perimetral para evitar tanto la dispersión de los</w:t>
        <w:br/>
        <w:br/>
        <w:t xml:space="preserve">    jabalíes como la entrada de otros animales, por lo que estas fincas están categorizadas</w:t>
        <w:br/>
        <w:br/>
        <w:t xml:space="preserve">    280  MARÍA BRAVO SANTILLANA</w:t>
        <w:br/>
      </w:r>
    </w:p>
    <w:p>
      <w:r>
        <w:t>Página 281:</w:t>
        <w:br/>
        <w:t xml:space="preserve">                                      EXP | Capítulo VI</w:t>
        <w:br/>
        <w:br/>
        <w:t>como tipo II según el RD 138/2020. En todas estas fincas se dispone de información</w:t>
        <w:br/>
        <w:br/>
        <w:t>detallada sobre el historial epidemiológico de la TB, incluyendo prevalencia de lesiones</w:t>
        <w:br/>
        <w:br/>
        <w:t>compatibles con TB y serologías de anticuerpos frente a esta, prevalencia de la infección</w:t>
        <w:br/>
        <w:t>en otros ungulados como ciervos, así como datos relativos a la densidad de jabalíes y</w:t>
        <w:br/>
        <w:br/>
        <w:t>otros ungulados.</w:t>
        <w:br/>
        <w:br/>
        <w:br/>
        <w:t>La suplementación llevada a cabo en todas las fincas se realiza de la misma manera,</w:t>
        <w:br/>
        <w:t>aportando el alimento durante al menos 6 meses al año mediante comederos selectivos</w:t>
        <w:br/>
        <w:br/>
        <w:t>que solo permiten la entrada de jabalíes. La realización del estudio se llevó a cabo</w:t>
        <w:br/>
        <w:t>durante el periodo comprendido entre el 1 de julio y el 1 de septiembre, debido a que</w:t>
        <w:br/>
        <w:br/>
        <w:t>el verano es la época del año en la que existe una mayor escasez de alimento natural en</w:t>
        <w:br/>
        <w:t>estas zonas de España, lo que hace necesario el aporte de alimento suplementario y</w:t>
        <w:br/>
        <w:br/>
        <w:t>asegura que el porcentaje de jabalíes que acuden a los comederos es máximo.</w:t>
        <w:br/>
        <w:br/>
        <w:br/>
        <w:br/>
        <w:br/>
        <w:br/>
        <w:t xml:space="preserve">               Figura 6.3. Localización geográfica de las 20 fincas incluidas en el estudio</w:t>
        <w:br/>
        <w:br/>
        <w:br/>
        <w:br/>
        <w:br/>
        <w:br/>
        <w:t xml:space="preserve">                                           MARÍA BRAVO SANTILLANA  281</w:t>
        <w:br/>
      </w:r>
    </w:p>
    <w:p>
      <w:r>
        <w:t>Página 282:</w:t>
        <w:br/>
        <w:t xml:space="preserve">  EXP | Capítulo VI</w:t>
        <w:br/>
        <w:br/>
        <w:t xml:space="preserve">   Elaboración de los grupos</w:t>
        <w:br/>
        <w:br/>
        <w:br/>
        <w:t xml:space="preserve">   En todos los casos se administró el mismo pienso estándar (Jabalíes Mantenimiento</w:t>
        <w:br/>
        <w:t xml:space="preserve">   Reforzado, INALSA S.A.) y los jabalíes no tuvieron acceso a otra fuente de alimentación</w:t>
        <w:br/>
        <w:br/>
        <w:t xml:space="preserve">   complementaria durante el periodo de realización del estudio. Los animales de las 15</w:t>
        <w:br/>
        <w:t xml:space="preserve">    fincas suplementadas que conformaron el grupo «posbiótico» recibieron el pienso</w:t>
        <w:br/>
        <w:br/>
        <w:t xml:space="preserve">   mencionado con la adición de 3 gramos por kilogramo del producto posbiótico durante</w:t>
        <w:br/>
        <w:t xml:space="preserve">   30 días consecutivos, mientras que las 5 fincas del grupo «control» recibieron la misma</w:t>
        <w:br/>
        <w:br/>
        <w:t xml:space="preserve">   pauta con el mismo pienso, pero sin la adición del producto.</w:t>
        <w:br/>
        <w:br/>
        <w:br/>
        <w:br/>
        <w:t>3.  Recogida de datos y muestras para la valoración de la situación epidemiológica con</w:t>
        <w:br/>
        <w:br/>
        <w:t xml:space="preserve">    relación a la TB</w:t>
        <w:br/>
        <w:br/>
        <w:t xml:space="preserve">   Se llevó a cabo una valoración de la situación epidemiológica de la TB en las poblaciones</w:t>
        <w:br/>
        <w:br/>
        <w:t xml:space="preserve">   de jabalíes de todas las fincas incluidas en el estudio, tanto antes del comienzo de este,</w:t>
        <w:br/>
        <w:br/>
        <w:t xml:space="preserve">   para evaluar la homogeneidad de las fincas; como después de la suplementación, para</w:t>
        <w:br/>
        <w:t xml:space="preserve">    valorar el efecto del producto. La recogida de datos se llevó a cabo durante las acciones</w:t>
        <w:br/>
        <w:br/>
        <w:t xml:space="preserve">    cinegéticas llevadas a cabo en la temporada de octubre de 2017 a febrero de 2018, antes</w:t>
        <w:br/>
        <w:t xml:space="preserve">   de la suplementación; y de octubre de 2018 a febrero de 2019, después de la</w:t>
        <w:br/>
        <w:br/>
        <w:t xml:space="preserve">   suplementación.</w:t>
        <w:br/>
        <w:br/>
        <w:br/>
        <w:t xml:space="preserve">   Estimación de edad y evaluación macroscópica de las lesiones</w:t>
        <w:br/>
        <w:br/>
        <w:br/>
        <w:t xml:space="preserve">   Para evitar sesgos en la recopilación de los datos, se seleccionaron aleatoriamente al</w:t>
        <w:br/>
        <w:br/>
        <w:t xml:space="preserve">   menos 10 jabalíes por montería, si el número total de animales abatidos lo permitía. Los</w:t>
        <w:br/>
        <w:t xml:space="preserve">    jabalíes se categorizaron por edad en función de su patrón de erupción dental,</w:t>
        <w:br/>
        <w:br/>
        <w:t xml:space="preserve">   considerando jóvenes los animales de edades comprendidas entre 6 a 12 meses y</w:t>
        <w:br/>
        <w:t xml:space="preserve">   adultos los jabalíes de más de 12 meses (Boitani, 1992; Risco et al., 2018). Se realizó</w:t>
        <w:br/>
        <w:br/>
        <w:t xml:space="preserve">   una inspección post-mortem completa de los jabalíes, que consistió en la valoración</w:t>
        <w:br/>
        <w:t xml:space="preserve">   macroscópica  de   los   nódulos   linfáticos   submandibulares,   retrofaríngeos,</w:t>
        <w:br/>
        <w:br/>
        <w:t xml:space="preserve">   traqueobronquiales, mediastínicos, gastrohepáticos y mesentéricos;  así como  las</w:t>
        <w:br/>
        <w:br/>
        <w:br/>
        <w:t xml:space="preserve">    282  MARÍA BRAVO SANTILLANA</w:t>
        <w:br/>
      </w:r>
    </w:p>
    <w:p>
      <w:r>
        <w:t>Página 283:</w:t>
        <w:br/>
        <w:t xml:space="preserve">                                      EXP | Capítulo VI</w:t>
        <w:br/>
        <w:br/>
        <w:t>cavidades y órganos torácicos y abdominales, pulmones, hígado, bazo y aparato</w:t>
        <w:br/>
        <w:br/>
        <w:t>digestivo, principalmente. Los jabalíes con lesiones compatibles con TB se clasificaron</w:t>
        <w:br/>
        <w:br/>
        <w:t>según la gravedad de estas en dos tipos de patrones, denominando «localizado» cuando</w:t>
        <w:br/>
        <w:t>afecte solo a los ganglios linfáticos cefálicos o mesentéricos y «generalizado» al que</w:t>
        <w:br/>
        <w:br/>
        <w:t>afecta al menos a dos órganos o ganglios linfáticos diferentes. El diagnóstico de TB</w:t>
        <w:br/>
        <w:t>basado en la presencia de lesiones macroscópicas post-mortem en las canales es la</w:t>
        <w:br/>
        <w:br/>
        <w:t>inspección oficial reconocida por las Autoridades Sanitarias españolas y se considera un</w:t>
        <w:br/>
        <w:t>método adecuado para estimar la prevalencia de TB (García-Jiménez et al., 2013).</w:t>
        <w:br/>
        <w:br/>
        <w:br/>
        <w:t>Toma de muestras sanguíneas y análisis serológico</w:t>
        <w:br/>
        <w:br/>
        <w:br/>
        <w:t>Además, se realizó un estudio serológico en 14 fincas suplementadas y 4 fincas control</w:t>
        <w:br/>
        <w:br/>
        <w:t>incluidas en el estudio con el fin de detectar anticuerpos contra M. bovis. La sangre de</w:t>
        <w:br/>
        <w:br/>
        <w:t>los  jabalíes  seleccionados  fue obtenida mediante punción  del seno cavernoso</w:t>
        <w:br/>
        <w:t>retroorbital, y fue inmediatamente refrigerada a 4 ºC y transportada al laboratorio,</w:t>
        <w:br/>
        <w:br/>
        <w:t>donde se extrajeron los sueros por centrifugación a 3000 r.p.m. durante cinco minutos</w:t>
        <w:br/>
        <w:t>y se mantuvieron a -21 ºC hasta su procesamiento. Para detectar la presencia de</w:t>
        <w:br/>
        <w:br/>
        <w:t>anticuerpos contra M. bovis en los sueros sanguíneos se utilizó un kit ELISA comercial</w:t>
        <w:br/>
        <w:t>que se encuentra validado para muestras de jabalí (INGEZIM TB PORCINA, INGENASA,</w:t>
        <w:br/>
        <w:br/>
        <w:t>Madrid, España), siguiendo las instrucciones del fabricante.</w:t>
        <w:br/>
        <w:br/>
        <w:br/>
        <w:t>El diseño experimental descrito permite monitorizar la situación epidemiológica de la</w:t>
        <w:br/>
        <w:br/>
        <w:t>TB mediante la evaluación de la presencia y la gravedad de lesiones macroscópicas</w:t>
        <w:br/>
        <w:t>compatibles con TB y  seropositividad  frente a M.  bovis, en  fincas  control y</w:t>
        <w:br/>
        <w:br/>
        <w:t>suplementadas, antes y después de la adición del posbiótico. Por este motivo, este</w:t>
        <w:br/>
        <w:t>diseño se considera  útil para valorar  el efecto del producto sobre  la situación</w:t>
        <w:br/>
        <w:br/>
        <w:t>epidemiológica con relación a la TB en estas poblaciones de jabalíes.</w:t>
        <w:br/>
        <w:br/>
        <w:br/>
        <w:br/>
        <w:br/>
        <w:br/>
        <w:t xml:space="preserve">                                           MARÍA BRAVO SANTILLANA  283</w:t>
        <w:br/>
      </w:r>
    </w:p>
    <w:p>
      <w:r>
        <w:t>Página 284:</w:t>
        <w:br/>
        <w:t xml:space="preserve">  EXP | Capítulo VI</w:t>
        <w:br/>
        <w:br/>
        <w:t>4.  Análisis estadístico</w:t>
        <w:br/>
        <w:br/>
        <w:t xml:space="preserve">   Los parámetros utilizados para monitorizar la evolución de la TB en los dos grupos de</w:t>
        <w:br/>
        <w:br/>
        <w:t xml:space="preserve">   estudio son los comentados anteriormente e incluyen el porcentaje de jabalíes con</w:t>
        <w:br/>
        <w:t xml:space="preserve">    lesiones compatibles con TB, el porcentaje de animales con lesiones generalizadas y la</w:t>
        <w:br/>
        <w:br/>
        <w:t xml:space="preserve">   seroprevalencia de TB. Todos los parámetros se compararon entre las poblaciones de</w:t>
        <w:br/>
        <w:t xml:space="preserve">    control y suplementadas entre las dos temporadas de caza muestreadas, para evaluar</w:t>
        <w:br/>
        <w:br/>
        <w:t xml:space="preserve">    las diferencias antes y después de la suplementación con el posbiótico. También se</w:t>
        <w:br/>
        <w:t xml:space="preserve">    analizaron las diferencias dentro de cada grupo para evaluar el efecto de los posbióticos</w:t>
        <w:br/>
        <w:br/>
        <w:t xml:space="preserve">   en las poblaciones suplementadas y para detectar posibles variaciones de la situación</w:t>
        <w:br/>
        <w:t xml:space="preserve">   de la TB en las poblaciones de control. Las comparaciones se realizaron utilizando la</w:t>
        <w:br/>
        <w:br/>
        <w:t xml:space="preserve">   prueba de Chi-cuadrado considerando un 5% de significancia.</w:t>
        <w:br/>
        <w:br/>
        <w:br/>
        <w:t xml:space="preserve">   Por otro lado, las diferencias dentro de cada grupo se analizaron más a fondo dividiendo</w:t>
        <w:br/>
        <w:br/>
        <w:t xml:space="preserve">    la población suplementada en dos subconjuntos cribados por edad. Esto nos permitió</w:t>
        <w:br/>
        <w:t xml:space="preserve">    distinguir entre animales con infecciones relativamente recientes, es decir, los animales</w:t>
        <w:br/>
        <w:br/>
        <w:t xml:space="preserve">   jóvenes de entre 6 y 12 meses, y evitar el sesgo por la presencia de lesiones crónicas y</w:t>
        <w:br/>
        <w:t xml:space="preserve">    la seropositividad en animales que puedan llevar desarrollando la enfermedad durante</w:t>
        <w:br/>
        <w:br/>
        <w:t xml:space="preserve">   mucho tiempo, que es más probable que ocurra en animales adultos mayores de 12</w:t>
        <w:br/>
        <w:t xml:space="preserve">   meses. Este parámetro permite el cálculo de la incidencia de la enfermedad, es decir, la</w:t>
        <w:br/>
        <w:br/>
        <w:t xml:space="preserve">    tasa de nuevos contagios, un parámetro muy interesante cuando se trata de valorar el</w:t>
        <w:br/>
        <w:t xml:space="preserve">   efecto del producto sobre una enfermedad crónica que ya estaba presente en la</w:t>
        <w:br/>
        <w:br/>
        <w:t xml:space="preserve">   población antes de la realización del estudio.</w:t>
        <w:br/>
        <w:br/>
        <w:br/>
        <w:br/>
        <w:br/>
        <w:br/>
        <w:t xml:space="preserve">    284  MARÍA BRAVO SANTILLANA</w:t>
        <w:br/>
      </w:r>
    </w:p>
    <w:p>
      <w:r>
        <w:t>Página 285:</w:t>
        <w:br/>
        <w:t xml:space="preserve">                                           EXP | Capítulo VI</w:t>
        <w:br/>
        <w:br/>
        <w:t>Figura resumen del método</w:t>
        <w:br/>
        <w:br/>
        <w:br/>
        <w:br/>
        <w:br/>
        <w:br/>
        <w:t xml:space="preserve">                                                 MARÍA BRAVO SANTILLANA  285</w:t>
        <w:br/>
      </w:r>
    </w:p>
    <w:p>
      <w:r>
        <w:t>Página 286:</w:t>
        <w:br/>
        <w:t>EXP | Capítulo VI</w:t>
        <w:br/>
        <w:br/>
        <w:t>RESULTADOS</w:t>
        <w:br/>
        <w:br/>
        <w:br/>
        <w:br/>
        <w:t>El porcentaje de lesiones compatibles con TB fue similar en ambos grupos antes de la</w:t>
        <w:br/>
        <w:t>suplementación y disminuyó en las poblaciones de jabalíes suplementadas con el</w:t>
        <w:br/>
        <w:br/>
        <w:t>posbiótico</w:t>
        <w:br/>
        <w:br/>
        <w:t>El número final de jabalíes analizados y el resultado de las evaluaciones patológicas</w:t>
        <w:br/>
        <w:br/>
        <w:t>durante las dos temporadas del estudio se puede encontrar en el Apéndice IV.</w:t>
        <w:br/>
        <w:br/>
        <w:br/>
        <w:t>Durante el periodo de realización del estudio, un total de 3449 jabalíes fueron abatidos</w:t>
        <w:br/>
        <w:br/>
        <w:t>en monterías durante las 51 acciones cinegéticas realizadas en las 20 fincas del estudio.</w:t>
        <w:br/>
        <w:t>Se observaron lesiones macroscópicas compatibles con TB en el 35,69 % de los 409</w:t>
        <w:br/>
        <w:br/>
        <w:t>jabalíes inspeccionados. Entre los animales afectados con lesiones compatibles con TB,</w:t>
        <w:br/>
        <w:t>32 jabalíes mostraron lesiones en múltiples órganos, lo que se corresponde con un 27,82</w:t>
        <w:br/>
        <w:br/>
        <w:t>% de patrones generalizados de TB. No obstante, no fue posible la realización de una</w:t>
        <w:br/>
        <w:t>evaluación patológica completa en 31 jabalíes que presentaban lesiones por falta de</w:t>
        <w:br/>
        <w:br/>
        <w:t>ciertos órganos en el momento de la inspección, debido a disparos, mordeduras de</w:t>
        <w:br/>
        <w:t>perro, etc; o porque no fueron eviscerados, debido a la decisión de decomiso total por</w:t>
        <w:br/>
        <w:br/>
        <w:t>parte del veterinario oficial por presentar lesiones en nódulos linfáticos cefálicos.</w:t>
        <w:br/>
        <w:br/>
        <w:br/>
        <w:t>Los resultados obtenidos en el estudio anatomopatológico de los dos grupos del estudio</w:t>
        <w:br/>
        <w:br/>
        <w:t>se resumen en la Tabla 6.1. El porcentaje de lesiones compatibles con TB en la</w:t>
        <w:br/>
        <w:t>temporada previa a la suplementación fue similar en ambos grupos (47,45 % vs 39,35</w:t>
        <w:br/>
        <w:br/>
        <w:t>%, χ2 = 0,84, P = 0,35). Sin embargo, en la temporada posterior a la suplementación,</w:t>
        <w:br/>
        <w:t>este porcentaje fue significativamente mayor en los jabalíes del grupo control que en</w:t>
        <w:br/>
        <w:br/>
        <w:t>los jabalíes que fueron suplementados (45,23 % vs 24,84 %, χ2 = 5,68, P = 0,017). La</w:t>
        <w:br/>
        <w:t>proporción de  patrones  generalizados no  mostró  diferencias  estadísticamente</w:t>
        <w:br/>
        <w:br/>
        <w:t>significativas entre los grupos a lo largo de la experiencia (25 % vs 26,41 % en la</w:t>
        <w:br/>
        <w:br/>
        <w:t>temporada previa a la suplementación, χ2 = 0,40, P = 0,52 y 16,67 % vs 50 % en la</w:t>
        <w:br/>
        <w:t>temporada posterior a la suplementación, χ2 = 1,99, P = 0,32).</w:t>
        <w:br/>
        <w:br/>
        <w:br/>
        <w:t xml:space="preserve"> 286  MARÍA BRAVO SANTILLANA</w:t>
        <w:br/>
      </w:r>
    </w:p>
    <w:p>
      <w:r>
        <w:t>Página 287:</w:t>
        <w:br/>
        <w:t xml:space="preserve">                                      EXP | Capítulo VI</w:t>
        <w:br/>
        <w:br/>
        <w:t>En cuanto a las comparaciones intragrupo, los animales pertenecientes al grupo control</w:t>
        <w:br/>
        <w:br/>
        <w:t>no mostraron diferencias significativas entre las dos temporadas cinegéticas, ni en el</w:t>
        <w:br/>
        <w:br/>
        <w:t>porcentaje de lesiones, ni en la proporción de patrones generalizados. Por el contrario,</w:t>
        <w:br/>
        <w:t>se observó un menor porcentaje de lesiones compatibles con TB en los jabalíes</w:t>
        <w:br/>
        <w:br/>
        <w:t>suplementados tras la administración del posbiótico en comparación con la temporada</w:t>
        <w:br/>
        <w:t>previa a la suplementación (24,84 % Vs 39,35 %, χ2 = 6,7 / 96, P = 0,01), pero no se</w:t>
        <w:br/>
        <w:br/>
        <w:t>detectaron diferencias en el porcentaje de patrones generalizados (41,18% vs 29,51%,</w:t>
        <w:br/>
        <w:t>χ2 = 0,38, valor de p = 0,53) entre el mismo grupo de animales.</w:t>
        <w:br/>
        <w:br/>
        <w:br/>
        <w:br/>
        <w:t>La seroprevalencia de TB fue similar en ambos grupos antes de la suplementación y</w:t>
        <w:br/>
        <w:t>disminuyó en el grupo suplementado</w:t>
        <w:br/>
        <w:br/>
        <w:t>Los resultados obtenidos en la prueba serológica revelaron que el 35,18 % de los sueros</w:t>
        <w:br/>
        <w:t>analizados  contenían  anticuerpos  contra M.  bovis.  El  porcentaje  de  jabalíes</w:t>
        <w:br/>
        <w:br/>
        <w:t>seropositivos fue similar en ambos grupos de estudio en la temporada previa a la</w:t>
        <w:br/>
        <w:br/>
        <w:t>suplementación (45,59 % vs 35,48 % χ2 = 1,63, P = 0,2). Sin embargo, después de la</w:t>
        <w:br/>
        <w:t>suplementación,  la  seropositividad  fue  significativamente  inferior en  el  grupo</w:t>
        <w:br/>
        <w:t>suplementado (48,61 % vs 22,73 %, χ2 = 17,26, P = 3,24 x 10-5).</w:t>
        <w:br/>
        <w:br/>
        <w:br/>
        <w:t>Al igual que con el parámetro anterior, mientras que la seropositividad no cambió a lo</w:t>
        <w:br/>
        <w:t>largo de la experiencia en el grupo control (45,59 % vs 48,61 %, χ2 = 0,26, P = 0,6),</w:t>
        <w:br/>
        <w:br/>
        <w:t>observamos una reducción en el porcentaje de animales seropositivos en las fincas</w:t>
        <w:br/>
        <w:t>suplementadas (35,48 % vs 22,73 %, χ2 = 5,48, P = 0,019).</w:t>
        <w:br/>
        <w:br/>
        <w:br/>
        <w:t>Los resultados obtenidos en el estudio anatomopatológico de los dos grupos del estudio</w:t>
        <w:br/>
        <w:t>se resumen en la Tabla 6.1.</w:t>
        <w:br/>
        <w:br/>
        <w:br/>
        <w:br/>
        <w:br/>
        <w:br/>
        <w:t xml:space="preserve">                                           MARÍA BRAVO SANTILLANA  287</w:t>
        <w:br/>
      </w:r>
    </w:p>
    <w:p>
      <w:r>
        <w:t>Página 288:</w:t>
        <w:br/>
        <w:t>EXP | Capítulo VI</w:t>
        <w:br/>
        <w:br/>
        <w:t xml:space="preserve"> Tabla 6.1. Resultados de la evaluación patológica y del estudio serológico de los dos grupos de estudio</w:t>
        <w:br/>
        <w:br/>
        <w:t xml:space="preserve">                   en las temporadas previa y posterior a la suplementación</w:t>
        <w:br/>
        <w:br/>
        <w:br/>
        <w:t xml:space="preserve"> Grupo                                           Pre-suplementacióna   Pos-suplementaciónb</w:t>
        <w:br/>
        <w:br/>
        <w:t xml:space="preserve"> Control             Lesiones          Jabalíes              28                  19</w:t>
        <w:br/>
        <w:t xml:space="preserve">                   compatibles      positivos (%)          (47,45 %)               (45,23 %)</w:t>
        <w:br/>
        <w:t xml:space="preserve">                   con TB            Total</w:t>
        <w:br/>
        <w:t xml:space="preserve">                                                     59                  42</w:t>
        <w:br/>
        <w:t xml:space="preserve">                                  inspeccionado</w:t>
        <w:br/>
        <w:br/>
        <w:t xml:space="preserve">                     Patrón           Jabalíes              5                   2</w:t>
        <w:br/>
        <w:br/>
        <w:t xml:space="preserve">                   generalizado      positivos (%)            (25 %)                (16,67 %)</w:t>
        <w:br/>
        <w:br/>
        <w:t xml:space="preserve">                                          Total</w:t>
        <w:br/>
        <w:t xml:space="preserve">                                                     25                  12</w:t>
        <w:br/>
        <w:t xml:space="preserve">                                  inspeccionado</w:t>
        <w:br/>
        <w:br/>
        <w:t xml:space="preserve">                  Seropositividad       Jabalíes              31                  35</w:t>
        <w:br/>
        <w:t xml:space="preserve">                     a TB          positivos (%)          (45,59 %)               (48,61 %)</w:t>
        <w:br/>
        <w:br/>
        <w:t xml:space="preserve">                                          Total</w:t>
        <w:br/>
        <w:t xml:space="preserve">                                                     68                  72</w:t>
        <w:br/>
        <w:t xml:space="preserve">                                  inspeccionado</w:t>
        <w:br/>
        <w:br/>
        <w:t xml:space="preserve"> Suplementado      Lesiones          Jabalíes              61                  38</w:t>
        <w:br/>
        <w:t xml:space="preserve">                   compatibles      positivos (%)          (39,35 %)               (24,84 %)</w:t>
        <w:br/>
        <w:t xml:space="preserve">                   con TB            Total</w:t>
        <w:br/>
        <w:t xml:space="preserve">                                                    155                 153</w:t>
        <w:br/>
        <w:t xml:space="preserve">                                  inspeccionado</w:t>
        <w:br/>
        <w:br/>
        <w:t xml:space="preserve">                     Patrón           Jabalíes              18                   7</w:t>
        <w:br/>
        <w:br/>
        <w:t xml:space="preserve">                   generalizado      positivos (%)          (29,51 %)              (41,18 %) *</w:t>
        <w:br/>
        <w:br/>
        <w:t xml:space="preserve">                                          Total</w:t>
        <w:br/>
        <w:t xml:space="preserve">                                                     61                  17</w:t>
        <w:br/>
        <w:t xml:space="preserve">                                  inspeccionado</w:t>
        <w:br/>
        <w:br/>
        <w:t xml:space="preserve">                  Seropositividad       Jabalíes              55                  35</w:t>
        <w:br/>
        <w:t xml:space="preserve">                     a TB          positivos (%)          (35,48 %)             (22,73 %) **</w:t>
        <w:br/>
        <w:br/>
        <w:t xml:space="preserve">                                          Total</w:t>
        <w:br/>
        <w:t xml:space="preserve">                                                    155                 154</w:t>
        <w:br/>
        <w:t xml:space="preserve">                                  inspeccionado</w:t>
        <w:br/>
        <w:br/>
        <w:t xml:space="preserve">  a Temporada pre-suplementación: de octubre 2017 a febrero 2018</w:t>
        <w:br/>
        <w:t xml:space="preserve">  b Temporada pos-suplementación: de octubre 2018 a febrero 2019</w:t>
        <w:br/>
        <w:t xml:space="preserve"> *Diferencias significativas entre grupos (P = 0,017) e intragrupo (P = 0,01)</w:t>
        <w:br/>
        <w:t xml:space="preserve"> **Diferencias significativas entre grupos (P = 3,24 x 10-5) e intragrupo (P = 0,019)</w:t>
        <w:br/>
        <w:br/>
        <w:br/>
        <w:br/>
        <w:br/>
        <w:br/>
        <w:t xml:space="preserve"> 288  MARÍA BRAVO SANTILLANA</w:t>
        <w:br/>
      </w:r>
    </w:p>
    <w:p>
      <w:r>
        <w:t>Página 289:</w:t>
        <w:br/>
        <w:t xml:space="preserve">                                      EXP | Capítulo VI</w:t>
        <w:br/>
        <w:br/>
        <w:t>El porcentaje de lesiones compatibles y la seroprevalencia de TB correspondiente a las</w:t>
        <w:br/>
        <w:br/>
        <w:t>nuevas infecciones disminuyeron en el grupo suplementado</w:t>
        <w:br/>
        <w:br/>
        <w:t>Las comparaciones dentro de cada grupo se analizaron en función de la edad de los</w:t>
        <w:br/>
        <w:t>animales divididos en dos subclases de edad, para evitar malinterpretar la presencia de</w:t>
        <w:br/>
        <w:br/>
        <w:t>lesiones crónicas en animales adultos que pudieron infectarse antes del inicio de la</w:t>
        <w:br/>
        <w:t>experiencia. El porcentaje de animales jóvenes infectados se corresponde con la</w:t>
        <w:br/>
        <w:br/>
        <w:t>incidencia de la enfermedad o la tasa de nuevos contagios.</w:t>
        <w:br/>
        <w:br/>
        <w:br/>
        <w:t>Los parámetros de TB obtenidos en cada clase de edad (jóvenes y adultos) de la</w:t>
        <w:br/>
        <w:t>población suplementada se resumen en la Tabla 6.2. En los adultos, no se detectaron</w:t>
        <w:br/>
        <w:br/>
        <w:t>diferencias significativas al comparar los parámetros de TB en las temporadas de pre y</w:t>
        <w:br/>
        <w:t>pos-suplementación. Sin embargo, en los animales jóvenes del grupo suplementado, el</w:t>
        <w:br/>
        <w:br/>
        <w:t>porcentaje de lesiones compatibles con TB (χ2 = 9,9, P = 0,002) y la presencia de</w:t>
        <w:br/>
        <w:br/>
        <w:t>anticuerpos frente a M. bovis (χ2 = 6,64, P = 0,009) disminuyeron de forma significativa</w:t>
        <w:br/>
        <w:t>después de la suplementación.</w:t>
        <w:br/>
        <w:br/>
        <w:br/>
        <w:br/>
        <w:br/>
        <w:br/>
        <w:t xml:space="preserve">                  Figura 6.4. Animal adulto junto a varios animales jóvenes (rayones)</w:t>
        <w:br/>
        <w:br/>
        <w:t xml:space="preserve">                                           MARÍA BRAVO SANTILLANA  289</w:t>
        <w:br/>
      </w:r>
    </w:p>
    <w:p>
      <w:r>
        <w:t>Página 290:</w:t>
        <w:br/>
        <w:t>EXP | Capítulo VI</w:t>
        <w:br/>
        <w:br/>
        <w:br/>
        <w:br/>
        <w:t xml:space="preserve"> Tabla 6.2. Resultados por grupos de edad de la evaluación patológica y el estudio serológico del grupo</w:t>
        <w:br/>
        <w:t xml:space="preserve">              suplementado antes y después de la suplementación con el posbiótico</w:t>
        <w:br/>
        <w:br/>
        <w:br/>
        <w:t xml:space="preserve">                                                 Pre-suplementación a   Pos-suplementación b</w:t>
        <w:br/>
        <w:br/>
        <w:t xml:space="preserve"> Jabalíes         Lesiones        Jabalíes positivos          17                  12</w:t>
        <w:br/>
        <w:t xml:space="preserve"> jóvenes      compatibles con          (%)                (47,22 %)             (16,66 %) *</w:t>
        <w:br/>
        <w:t xml:space="preserve">                  TB                 Total               36                  72</w:t>
        <w:br/>
        <w:t xml:space="preserve"> (6-12                            inspeccionado</w:t>
        <w:br/>
        <w:t xml:space="preserve"> meses)          Patrón         Jabalíes positivos           9                   3</w:t>
        <w:br/>
        <w:t xml:space="preserve">                generalizado            (%)                (52,94 %)              (37,50 %)</w:t>
        <w:br/>
        <w:br/>
        <w:t xml:space="preserve">                                         Total               17                  8</w:t>
        <w:br/>
        <w:t xml:space="preserve">                                  inspeccionado</w:t>
        <w:br/>
        <w:br/>
        <w:t xml:space="preserve">                Seropositividad     Jabalíes positivos           7                   3</w:t>
        <w:br/>
        <w:br/>
        <w:t xml:space="preserve">                  a TB                (%)                (26,92 %)              (4,90 %) **</w:t>
        <w:br/>
        <w:br/>
        <w:t xml:space="preserve">                                         Total               26                  61</w:t>
        <w:br/>
        <w:t xml:space="preserve">                                  inspeccionado</w:t>
        <w:br/>
        <w:br/>
        <w:t xml:space="preserve"> Jabalíes         Lesiones        Jabalíes positivos          44                  26</w:t>
        <w:br/>
        <w:t xml:space="preserve"> adultos      compatibles con          (%)                (36,97 %)              (32,09 %)</w:t>
        <w:br/>
        <w:t xml:space="preserve">                  TB                 Total               119                 81</w:t>
        <w:br/>
        <w:t xml:space="preserve"> (&gt;12                            inspeccionado</w:t>
        <w:br/>
        <w:t xml:space="preserve"> meses)          Patrón         Jabalíes positivos           9                   4</w:t>
        <w:br/>
        <w:t xml:space="preserve">                generalizado            (%)                (20,45 %)              (44,44 %)</w:t>
        <w:br/>
        <w:br/>
        <w:t xml:space="preserve">                                         Total               44                  9</w:t>
        <w:br/>
        <w:t xml:space="preserve">                                  inspeccionado</w:t>
        <w:br/>
        <w:br/>
        <w:t xml:space="preserve">                Seropositividad     Jabalíes positivos          45                  25</w:t>
        <w:br/>
        <w:br/>
        <w:t xml:space="preserve">                  a TB                (%)                (37,81 %)              (33,78 %)</w:t>
        <w:br/>
        <w:br/>
        <w:t xml:space="preserve">                                         Total               119                 74</w:t>
        <w:br/>
        <w:t xml:space="preserve">                                  inspeccionado</w:t>
        <w:br/>
        <w:br/>
        <w:t xml:space="preserve">  a Temporada pre-suplementación: de octubre 2017 a febrero 2018</w:t>
        <w:br/>
        <w:t xml:space="preserve">  b Temporada pos-suplementación: de octubre 2018 a febrero 2019</w:t>
        <w:br/>
        <w:t xml:space="preserve"> *Diferencias significativas (P = 0,002)</w:t>
        <w:br/>
        <w:br/>
        <w:t xml:space="preserve"> **Diferencias significativas (P = 0,009)</w:t>
        <w:br/>
        <w:br/>
        <w:br/>
        <w:br/>
        <w:br/>
        <w:br/>
        <w:t xml:space="preserve"> 290  MARÍA BRAVO SANTILLANA</w:t>
        <w:br/>
      </w:r>
    </w:p>
    <w:p>
      <w:r>
        <w:t>Página 291:</w:t>
        <w:br/>
        <w:t xml:space="preserve">                                      EXP | Capítulo VI</w:t>
        <w:br/>
        <w:br/>
        <w:t>DISCUSIÓN</w:t>
        <w:br/>
        <w:br/>
        <w:br/>
        <w:t>La utilización de microorganismos beneficiosos se ha propuesto en los últimos años</w:t>
        <w:br/>
        <w:t>como una nueva herramienta para el control de enfermedades que afectan a la fauna</w:t>
        <w:br/>
        <w:br/>
        <w:t>silvestre, incluida la TB (Harrison et al., 2020; McKenzie et al., 2018). Existen diversas</w:t>
        <w:br/>
        <w:t>estrategias para elaborar productos a partir de microorganismos beneficiosos, que se</w:t>
        <w:br/>
        <w:br/>
        <w:t>denominan en función de las características del producto final y que se engloban de</w:t>
        <w:br/>
        <w:br/>
        <w:t>forma general bajo el término de «piensos funcionales» cuando se incorporan a la</w:t>
        <w:br/>
        <w:t>alimentación animal. Los piensos funcionales son aquellos que incorporan compuestos</w:t>
        <w:br/>
        <w:br/>
        <w:t>bioactivos para mejorar determinados parámetros más allá de lo que cabría esperar por</w:t>
        <w:br/>
        <w:t>su simple potencial nutricional (Velasco et al., 2006). Por otro lado, los compuestos</w:t>
        <w:br/>
        <w:br/>
        <w:t>bioactivos producidos a partir de microorganismos beneficiosos que se encuentran de</w:t>
        <w:br/>
        <w:t>forma más frecuente en el mercado son los probióticos y los simbióticos, cuyos términos</w:t>
        <w:br/>
        <w:br/>
        <w:t>han sido definidos en capítulos previos de esta tesis doctoral. Los posbióticos son</w:t>
        <w:br/>
        <w:t>productos novedosos cuya definición ha alcanzado un consenso en la comunidad</w:t>
        <w:br/>
        <w:br/>
        <w:t>científica muy recientemente (Salminen et al., 2021). Pese a que se han propuesto por</w:t>
        <w:br/>
        <w:t>algunos autores como una estrategia potencial para el control de enfermedades en</w:t>
        <w:br/>
        <w:br/>
        <w:t>humanos, animales de compañía y en ganadería, en el campo de la fauna silvestre es un</w:t>
        <w:br/>
        <w:br/>
        <w:t>concepto aún desconocido.</w:t>
        <w:br/>
        <w:br/>
        <w:br/>
        <w:t>Los resultados de las pruebas in vitro llevadas a cabo en el capítulo  I de esta tesis</w:t>
        <w:br/>
        <w:t>doctoral, así como otros estudios, sugieren un potencial efecto saludable de los</w:t>
        <w:br/>
        <w:br/>
        <w:t>componentes de microorganismos, especialmente BAL, para el control de la bacteria M.</w:t>
        <w:br/>
        <w:t>bovis, el agente causal de la TB (Stedman et al., 2018). No obstante, este es el primer</w:t>
        <w:br/>
        <w:br/>
        <w:t>estudio que diseña y evalúa la eficacia de un producto de estas características. Los</w:t>
        <w:br/>
        <w:t>resultados de este capítulo sugieren un efecto beneficioso del producto posbiótico</w:t>
        <w:br/>
        <w:br/>
        <w:t>sobre el desarrollo de la TB en poblaciones de jabalíes expuestos de forma natural a la</w:t>
        <w:br/>
        <w:br/>
        <w:t>infección.</w:t>
        <w:br/>
        <w:br/>
        <w:br/>
        <w:br/>
        <w:br/>
        <w:br/>
        <w:t xml:space="preserve">                                           MARÍA BRAVO SANTILLANA  291</w:t>
        <w:br/>
      </w:r>
    </w:p>
    <w:p>
      <w:r>
        <w:t>Página 292:</w:t>
        <w:br/>
        <w:t>EXP | Capítulo VI</w:t>
        <w:br/>
        <w:br/>
        <w:t>Este estudio de campo se considera correctamente validado para el objetivo propuesto,</w:t>
        <w:br/>
        <w:br/>
        <w:t>ya que se han cumplido los requisitos para su justificación. En primer lugar, al tratarse</w:t>
        <w:br/>
        <w:br/>
        <w:t>de infecciones naturales, es importante garantizar que todos los grupos de fincas parten</w:t>
        <w:br/>
        <w:t>de la misma situación epidemiológica. En ese sentido, no se encontraron diferencias</w:t>
        <w:br/>
        <w:br/>
        <w:t>entre grupos antes de la experiencia. Por el contrario, mientras que la situación</w:t>
        <w:br/>
        <w:t>epidemiológica con relación a la TB en el grupo control permaneció estable, se</w:t>
        <w:br/>
        <w:br/>
        <w:t>obtuvieron diferencias en los parámetros analizados después de la realización del</w:t>
        <w:br/>
        <w:t>estudio en  el grupo suplementado. Concretamente,  el  porcentaje de  lesiones</w:t>
        <w:br/>
        <w:br/>
        <w:t>compatibles con TB y la presencia de anticuerpos frente a M. bovis disminuyeron</w:t>
        <w:br/>
        <w:t>respectivamente en un 36,87 % y 35,94 % después de la suplementación oral con el</w:t>
        <w:br/>
        <w:br/>
        <w:t>producto posbiótico en las poblaciones suplementadas. Además, estos parámetros</w:t>
        <w:br/>
        <w:t>fueron significativamente más bajos en las fincas suplementadas en comparación con</w:t>
        <w:br/>
        <w:br/>
        <w:t>las fincas control después de la suplementación, lo que supone una reducción del 45,08</w:t>
        <w:br/>
        <w:br/>
        <w:t>% y 53,24 %, respectivamente. Estos hallazgos sugieren un efecto positivo de la</w:t>
        <w:br/>
        <w:t>suplementación sobre la situación de la TB con resultados comparables a otras medidas</w:t>
        <w:br/>
        <w:br/>
        <w:t>de control que han sido utilizadas previamente.</w:t>
        <w:br/>
        <w:br/>
        <w:br/>
        <w:br/>
        <w:t>Las principales estrategias para controlar la transmisión de TB entre la fauna silvestre y</w:t>
        <w:br/>
        <w:t>la cabaña ganadera incluyen medidas preventivas y de bioseguridad, control poblacional</w:t>
        <w:br/>
        <w:br/>
        <w:t>y  la inmunización mediante vacunación (Che’Amat et  al., 2016). Algunas de  las</w:t>
        <w:br/>
        <w:t>estrategias de vacunación en poblaciones de jabalíes llevadas a cabo en condiciones</w:t>
        <w:br/>
        <w:br/>
        <w:t>similares a  las de este estudio arrojaron resultados comparables. Las vacunas</w:t>
        <w:br/>
        <w:br/>
        <w:t>inactivadas por calor redujeron las lesiones compatibles con TB en un 34 % (Díez-</w:t>
        <w:br/>
        <w:t>Delgado et al., 2018) y en un 43,3 % (Garrido et al., 2011) cuando se administraron por</w:t>
        <w:br/>
        <w:br/>
        <w:t>vía oral y en un 43,3 % (Garrido et al., 2011) y en un 66 % (Díez-Delgado et al., 2017)</w:t>
        <w:br/>
        <w:t>cuando se administraron por vía parenteral. Por otro lado, la vacunación oral con BCG</w:t>
        <w:br/>
        <w:br/>
        <w:t>confiere una protección variable (Díez-Delgado et al., 2018, 2019; Garrido et al., 2011).</w:t>
        <w:br/>
        <w:t>Otros estudios que tenían un enfoque similar arrojaron resultados muy diferentes entre</w:t>
        <w:br/>
        <w:br/>
        <w:t>sí. Mientras que el control poblacional mediante eliminación no selectiva de jabalíes</w:t>
        <w:br/>
        <w:t>disminuyó el porcentaje de lesiones compatibles con TB y los anticuerpos frente a M.</w:t>
        <w:br/>
        <w:br/>
        <w:t>bovis en un 21-48% (Boadella et al., 2012), la eliminación selectiva de animales no logró</w:t>
        <w:br/>
        <w:br/>
        <w:t xml:space="preserve"> 292  MARÍA BRAVO SANTILLANA</w:t>
        <w:br/>
      </w:r>
    </w:p>
    <w:p>
      <w:r>
        <w:t>Página 293:</w:t>
        <w:br/>
        <w:t xml:space="preserve">                                      EXP | Capítulo VI</w:t>
        <w:br/>
        <w:br/>
        <w:t>reducir la seroprevalencia de TB (Che’Amat et al., 2016). De hecho, algunos estudios</w:t>
        <w:br/>
        <w:br/>
        <w:t>sugieren que las estrategias de eliminación deben implementarse conjuntamente con</w:t>
        <w:br/>
        <w:br/>
        <w:t>otras medidas complementarias para observar un  efecto  significativo sobre  la</w:t>
        <w:br/>
        <w:t>prevalencia de la TB  (García-Jiménez et al., 2013; Mentaberre et al., 2014). En esta</w:t>
        <w:br/>
        <w:br/>
        <w:t>experiencia, el porcentaje de lesiones generalizadas se mantuvo estable en ambos</w:t>
        <w:br/>
        <w:t>grupos antes y después de la suplementación, a diferencia de otros estudios similares</w:t>
        <w:br/>
        <w:br/>
        <w:t>(Risco et al., 2016, 2018).</w:t>
        <w:br/>
        <w:br/>
        <w:br/>
        <w:br/>
        <w:t>Al explorar el efecto de los posbióticos en animales jóvenes para distinguir entre</w:t>
        <w:br/>
        <w:t>infecciones relativamente recientes con respecto a infecciones crónicas, observamos</w:t>
        <w:br/>
        <w:br/>
        <w:t>que el porcentaje de lesiones compatibles con TB y de anticuerpos frente a M. bovis en</w:t>
        <w:br/>
        <w:t>las nuevas infecciones disminuyó en un 64,72 % y un 81,80 % respectivamente después</w:t>
        <w:br/>
        <w:br/>
        <w:t>de  la suplementación. Esto sugiere que  la administración de posbióticos podría</w:t>
        <w:br/>
        <w:br/>
        <w:t>contribuir a una disminución en el número de nuevos contagios, es decir, la reducir la</w:t>
        <w:br/>
        <w:t>incidencia de la enfermedad. Curiosamente, estas diferencias no se detectaron en</w:t>
        <w:br/>
        <w:br/>
        <w:t>adultos, posiblemente debido al carácter crónico de la TB, ya que estos animales podrían</w:t>
        <w:br/>
        <w:t>haberse infectado antes del inicio de la experiencia y continuar desarrollando la</w:t>
        <w:br/>
        <w:br/>
        <w:t>enfermedad en el momento de la recogida de muestras y datos. Para evaluar si puede</w:t>
        <w:br/>
        <w:t>alcanzarse un efecto similar sobre los animales adultos, habría que repetir esta pauta de</w:t>
        <w:br/>
        <w:br/>
        <w:t>administración en los periodos de suplementación de los próximos años.</w:t>
        <w:br/>
        <w:br/>
        <w:br/>
        <w:br/>
        <w:t>El suplemento diseñado en este estudio contiene una combinación de metabolitos y</w:t>
        <w:br/>
        <w:br/>
        <w:t>componentes de la pared microbiana de microorganismos beneficiosos que han sido</w:t>
        <w:br/>
        <w:t>transformados durante el propio proceso de producción y que se han descrito en</w:t>
        <w:br/>
        <w:br/>
        <w:t>capítulos previos de esta tesis doctoral, aunque la composición exacta del mismo está</w:t>
        <w:br/>
        <w:t>protegida por secreto industrial. Por tanto, el mecanismo de acción del posbiótico que</w:t>
        <w:br/>
        <w:br/>
        <w:t>se propone es complejo y requiere de la actuación sinérgica de las moléculas que se</w:t>
        <w:br/>
        <w:t>incluyen en el producto, lo que lo hace más completo y efectivo. Los metabolitos</w:t>
        <w:br/>
        <w:br/>
        <w:t>posbióticos podrían contener  la propagación de  la enfermedad en los animales</w:t>
        <w:br/>
        <w:t>infectados por M. bovis a través de dos efectos principalmente: por un lado, su efecto</w:t>
        <w:br/>
        <w:br/>
        <w:t xml:space="preserve">                                           MARÍA BRAVO SANTILLANA  293</w:t>
        <w:br/>
      </w:r>
    </w:p>
    <w:p>
      <w:r>
        <w:t>Página 294:</w:t>
        <w:br/>
        <w:t>EXP | Capítulo VI</w:t>
        <w:br/>
        <w:br/>
        <w:t>antimicobacteriano reduciría la viabilidad de la bacteria y, por otro, su interacción con</w:t>
        <w:br/>
        <w:br/>
        <w:t>el sistema inmunitario de los animales potenciaría sus propios mecanismos de defensa.</w:t>
        <w:br/>
        <w:br/>
        <w:t>Debido a sus propiedades antimicrobianas, los posbióticos administrados por vía oral</w:t>
        <w:br/>
        <w:t>podrían disminuir la carga micobacteriana en el tracto gastrointestinal (Sosunov et al.,</w:t>
        <w:br/>
        <w:br/>
        <w:t>2007; Stedman et al., 2018), reduciendo así la transmisión del contagio indirecto fecal-</w:t>
        <w:br/>
        <w:t>oral, lo que se considera de gran importancia epidemiológica en jabalíes puesto que la</w:t>
        <w:br/>
        <w:br/>
        <w:t>excreción fecal es una de las principales vías de diseminación de M. bovis en esta especie</w:t>
        <w:br/>
        <w:t>(Barasona et al., 2017; Santos et al., 2015). Por otro lado, la interacción de las moléculas</w:t>
        <w:br/>
        <w:br/>
        <w:t>de las BAL con las células inmunitarias del hospedador, pueden desencadenar una</w:t>
        <w:br/>
        <w:t>respuesta inmunitaria favorable para que el animal pueda hacer frente a la infección por</w:t>
        <w:br/>
        <w:br/>
        <w:t>M. bovis. La respuesta fagocítica del hospedador frente a las micobacterias es crucial</w:t>
        <w:br/>
        <w:t>para la supervivencia de las bacterias en el organismo y el desarrollo de la enfermedad</w:t>
        <w:br/>
        <w:br/>
        <w:t>(de Martino et al., 2019), por lo que la utilización de moléculas de BAL que influyan en</w:t>
        <w:br/>
        <w:br/>
        <w:t>la capacidad de los fagocitos podría estar contribuyendo al control de la TB en estas</w:t>
        <w:br/>
        <w:t>poblaciones. Los metabolitos antimicobacterianos y las moléculas inmunomoduladoras</w:t>
        <w:br/>
        <w:br/>
        <w:t>de las BAL aisladas, han sido descritos en profundidad en el bloque  I de esta tesis</w:t>
        <w:br/>
        <w:t>doctoral. Por último, algunos metabolitos de las BAL y los extractos proteicos de otras</w:t>
        <w:br/>
        <w:br/>
        <w:t>bacterias que pueden utilizarse como posbióticos pueden aumentan los niveles de</w:t>
        <w:br/>
        <w:t>citoquinas Th1 y disminuir las citoquinas asociadas a Th2 (Aguilar-Toalá et al., 2018;</w:t>
        <w:br/>
        <w:br/>
        <w:t>Wegh et al., 2019), lo que también podría ser positivo para un mayor control del</w:t>
        <w:br/>
        <w:t>desarrollo de la TB bovina en los jabalíes infectados, ya que la respuesta Th1 es</w:t>
        <w:br/>
        <w:br/>
        <w:t>fundamental para este propósito (de Martino et al., 2019; Welsh et al., 2005). No</w:t>
        <w:br/>
        <w:br/>
        <w:t>obstante, estos mecanismos no han sido evaluados de forma directa en este estudio por</w:t>
        <w:br/>
        <w:t>la dificultad del diseño adecuado para este planteamiento en infecciones naturales y,</w:t>
        <w:br/>
        <w:br/>
        <w:t>más concretamente, en poblaciones silvestres. Por ello, en estudios futuros en modelos</w:t>
        <w:br/>
        <w:t>experimentales  se  llevará  a  cabo  una  caracterización  completa  del   perfil</w:t>
        <w:br/>
        <w:br/>
        <w:t>inmunomodulador y de citoquinas de la suplementación con el producto posbiótico para</w:t>
        <w:br/>
        <w:t>dilucidar estas cuestiones, que permitirá optimizar el desarrollo de nuevos productos.</w:t>
        <w:br/>
        <w:br/>
        <w:t>La erradicación de una enfermedad transmisible en un complejo multihospedador</w:t>
        <w:br/>
        <w:t>requiere que se lleven a cabo medidas de control en todos sus reservorios (Byrne et al.,</w:t>
        <w:br/>
        <w:br/>
        <w:t>2019; García-Jiménez et al., 2013). Debido a la situación epidemiológica que existe en</w:t>
        <w:br/>
        <w:br/>
        <w:t xml:space="preserve"> 294  MARÍA BRAVO SANTILLANA</w:t>
        <w:br/>
      </w:r>
    </w:p>
    <w:p>
      <w:r>
        <w:t>Página 295:</w:t>
        <w:br/>
        <w:t xml:space="preserve">                                      EXP | Capítulo VI</w:t>
        <w:br/>
        <w:br/>
        <w:t>España con relación al mantenimiento de altas prevalencias de TB bovina en zonas con</w:t>
        <w:br/>
        <w:br/>
        <w:t>altas densidades de animales  silvestres, es necesario  llevar a cabo medidas de</w:t>
        <w:br/>
        <w:br/>
        <w:t>prevención y control en estos reservorios de M. bovis para lograr una eliminación</w:t>
        <w:br/>
        <w:t>completa de esta enfermedad (Byrne et al., 2019; Risco et al., 2018). El producto</w:t>
        <w:br/>
        <w:br/>
        <w:t>posbiótico elaborado podría ser útil para el control de la TB en poblaciones de jabalíes</w:t>
        <w:br/>
        <w:t>silvestres que complican los programas de erradicación de esta enfermedad en la</w:t>
        <w:br/>
        <w:br/>
        <w:t>cabaña ganadera. Esta medida es particularmente  factible en aquellos terrenos</w:t>
        <w:br/>
        <w:t>cinegéticos o explotaciones en los que la normativa actual requiera la implantación de</w:t>
        <w:br/>
        <w:br/>
        <w:t>actuaciones sanitarias en especies cinegéticas que actúan como reservorio de la TB,</w:t>
        <w:br/>
        <w:t>entre las que se incluye el jabalí (RD 138/2020). La normativa española permite la</w:t>
        <w:br/>
        <w:br/>
        <w:t>suplementación sistemática en las categorías I y II, que son granjas o núcleos zoológicos</w:t>
        <w:br/>
        <w:t>y  explotaciones  valladas perimetralmente, respectivamente. En  la  categoría   III,</w:t>
        <w:br/>
        <w:br/>
        <w:t>explotaciones valladas sin aporte sistemático de suplementación y la categoría IV, cotos</w:t>
        <w:br/>
        <w:br/>
        <w:t>abiertos o Parques Nacionales, solo se permiten estas actuaciones sanitarias de forma</w:t>
        <w:br/>
        <w:t>puntual, previamente autorizada, cuando se den condiciones muy particulares, como</w:t>
        <w:br/>
        <w:br/>
        <w:t>una incidencia especialmente elevada de TB o cuando exista carencia de alimentación</w:t>
        <w:br/>
        <w:t>natural en periodos determinados.</w:t>
        <w:br/>
        <w:br/>
        <w:br/>
        <w:br/>
        <w:t>El uso de suplementos posbióticos en fauna silvestre se plantea como alternativa a otras</w:t>
        <w:br/>
        <w:br/>
        <w:t>medidas que podrían ser controvertidas, como  el control poblacional mediante</w:t>
        <w:br/>
        <w:t>eliminación de animales, ya que el jabalí es una especie con gran un valor económico y</w:t>
        <w:br/>
        <w:br/>
        <w:t>cultural en España; y medidas que requieren un manejo considerable de los animales,</w:t>
        <w:br/>
        <w:br/>
        <w:t>como la vacunación parenteral, que podría ser técnicamente complicada en la mayoría</w:t>
        <w:br/>
        <w:t>de las poblaciones silvestres (Gortazar et al., 2015; O’Connor et al., 2012; Stedman et</w:t>
        <w:br/>
        <w:br/>
        <w:t>al.,  2020). No  obstante,  esta  medida  podría  considerarse  una  herramienta</w:t>
        <w:br/>
        <w:t>complementaria en los programas de erradicación de la enfermedad a gran escala y</w:t>
        <w:br/>
        <w:br/>
        <w:t>podría extenderse a otros reservorios que limitan la eficacia de estos programas en</w:t>
        <w:br/>
        <w:t>España y otros países. Así, podría ensayarse en poblaciones de ciervo rojo (Cervus</w:t>
        <w:br/>
        <w:br/>
        <w:t>elaphus) y gamo (Dama dama) en España, tejón euroasiático (Meles meles) en el Reino</w:t>
        <w:br/>
        <w:t>Unido, el venado de cola blanca (Odocoileus virginianus) en América del Norte, en la</w:t>
        <w:br/>
        <w:br/>
        <w:t>zarigüeyas australiana (Trichosurus vulpecula) en Nueva Zelanda o búfalo africano</w:t>
        <w:br/>
        <w:br/>
        <w:t xml:space="preserve">                                           MARÍA BRAVO SANTILLANA  295</w:t>
        <w:br/>
      </w:r>
    </w:p>
    <w:p>
      <w:r>
        <w:t>Página 296:</w:t>
        <w:br/>
        <w:t>EXP | Capítulo VI</w:t>
        <w:br/>
        <w:br/>
        <w:t>(Syncerus caffer) en Sudáfrica (Corner, 2006), e introducirse en los programas para la</w:t>
        <w:br/>
        <w:br/>
        <w:t>conservación de especies en peligro de extinción, como el lince ibérico (Briones et al.,</w:t>
        <w:br/>
        <w:br/>
        <w:t>2000).</w:t>
        <w:br/>
        <w:br/>
        <w:br/>
        <w:br/>
        <w:t>La utilización de posbióticos se propone como una estrategia factible, económicamente</w:t>
        <w:br/>
        <w:t>viable, con una intervención mínima y basada en productos naturales, que están</w:t>
        <w:br/>
        <w:br/>
        <w:t>demostrando ser eficaces en los últimos años y que se postulan como una novedosa</w:t>
        <w:br/>
        <w:t>alternativa para el control de enfermedades infecciosas en medicina humana y animal</w:t>
        <w:br/>
        <w:br/>
        <w:t>(Salminen et  al., 2021). En el caso concreto de la TB, debido a la necesidad de</w:t>
        <w:br/>
        <w:t>introducción de nuevas herramientas de control de la enfermedad, estos resultados</w:t>
        <w:br/>
        <w:br/>
        <w:t>arrojan prospectivas de futuro con enormes posibilidades, no solo sobre la fauna</w:t>
        <w:br/>
        <w:t>doméstica y silvestre, sino también sobre la salud humana bajo el enfoque One Health,</w:t>
        <w:br/>
        <w:br/>
        <w:t>pudiendo contribuir de forma significativa a la Salud Pública mundial, debido a que TB</w:t>
        <w:br/>
        <w:br/>
        <w:t>humana continúa siendo una de las principales causas de muerte las zonas del mundo</w:t>
        <w:br/>
        <w:t>con menores posibilidades económicas.</w:t>
        <w:br/>
        <w:br/>
        <w:br/>
        <w:br/>
        <w:br/>
        <w:br/>
        <w:t xml:space="preserve"> 296  MARÍA BRAVO SANTILLANA</w:t>
        <w:br/>
      </w:r>
    </w:p>
    <w:p>
      <w:r>
        <w:t>Página 297:</w:t>
        <w:br/>
        <w:t xml:space="preserve">                                      EXP | Capítulo VI</w:t>
        <w:br/>
        <w:br/>
        <w:t>BLOQUE    III:  TRANSFERENCIA  DE  TECNOLOGÍA  Y</w:t>
        <w:br/>
        <w:t>CONOCIMIENTO CIENTÍFICO</w:t>
        <w:br/>
        <w:br/>
        <w:br/>
        <w:br/>
        <w:br/>
        <w:br/>
        <w:t xml:space="preserve">                                          MARÍA BRAVO SANTILLANA  297</w:t>
        <w:br/>
      </w:r>
    </w:p>
    <w:p>
      <w:r>
        <w:t>Página 298:</w:t>
        <w:br/>
        <w:t>298  MARÍA BRAVO SANTILLANA</w:t>
        <w:br/>
      </w:r>
    </w:p>
    <w:p>
      <w:r>
        <w:t>Página 299:</w:t>
        <w:br/>
        <w:t xml:space="preserve">                                            TEC | Índice</w:t>
        <w:br/>
        <w:br/>
        <w:t>ÍNDICE BLOQUE III</w:t>
        <w:br/>
        <w:br/>
        <w:br/>
        <w:br/>
        <w:br/>
        <w:br/>
        <w:t>CAPÍTULO VII: Difusión e impacto del conocimiento científico generado en la transferencia tecnológica</w:t>
        <w:br/>
        <w:br/>
        <w:t xml:space="preserve">                                                                                 301</w:t>
        <w:br/>
        <w:br/>
        <w:t xml:space="preserve">  INTRODUCCIÓN                                                                 303</w:t>
        <w:br/>
        <w:br/>
        <w:br/>
        <w:br/>
        <w:br/>
        <w:br/>
        <w:t xml:space="preserve">                                           MARÍA BRAVO SANTILLANA  299</w:t>
        <w:br/>
      </w:r>
    </w:p>
    <w:p>
      <w:r>
        <w:t>Página 300:</w:t>
        <w:br/>
        <w:t>300  MARÍA BRAVO SANTILLANA</w:t>
        <w:br/>
      </w:r>
    </w:p>
    <w:p>
      <w:r>
        <w:t>Página 301:</w:t>
        <w:br/>
        <w:t xml:space="preserve">                                        TEC | Capítulo VII</w:t>
        <w:br/>
        <w:br/>
        <w:br/>
        <w:br/>
        <w:br/>
        <w:t>CAPÍTULO VII: Difusión e impacto del conocimiento científico</w:t>
        <w:br/>
        <w:t>generado en la transferencia tecnológica</w:t>
        <w:br/>
        <w:br/>
        <w:br/>
        <w:br/>
        <w:br/>
        <w:br/>
        <w:t xml:space="preserve">                                          MARÍA BRAVO SANTILLANA  301</w:t>
        <w:br/>
      </w:r>
    </w:p>
    <w:p>
      <w:r>
        <w:t>Página 302:</w:t>
        <w:br/>
        <w:t>TEC | Capítulo VII</w:t>
        <w:br/>
        <w:br/>
        <w:br/>
        <w:br/>
        <w:br/>
        <w:br/>
        <w:t xml:space="preserve"> 302  MARÍA BRAVO SANTILLANA</w:t>
        <w:br/>
      </w:r>
    </w:p>
    <w:p>
      <w:r>
        <w:t>Página 303:</w:t>
        <w:br/>
        <w:t xml:space="preserve">                                         TEC | Capítulo VII</w:t>
        <w:br/>
        <w:br/>
        <w:t>INTRODUCCIÓN</w:t>
        <w:br/>
        <w:br/>
        <w:br/>
        <w:t>La modalidad de «doctorado industrial» incluye un concepto relativamente nuevo que</w:t>
        <w:br/>
        <w:t>está cobrando cada vez más relevancia en España durante los últimos años. El RD</w:t>
        <w:br/>
        <w:br/>
        <w:t>195/2016 introduce los doctorados industriales, que son aquellos en los que  el</w:t>
        <w:br/>
        <w:t>doctorando participa en un proyecto de investigación industrial o de desarrollo</w:t>
        <w:br/>
        <w:br/>
        <w:t>experimental directamente relacionado con su tesis, desarrollado en una empresa o</w:t>
        <w:br/>
        <w:br/>
        <w:t>Administración Pública distinta a la universidad. Esta legislación propone por primera</w:t>
        <w:br/>
        <w:t>vez en nuestro país la Mención Industrial al título de Doctor, a la que opta la presente</w:t>
        <w:br/>
        <w:br/>
        <w:t>tesis doctoral, cuyo fin es estimular la participación de las empresas en los programas</w:t>
        <w:br/>
        <w:t>de Doctorado. Este tipo de proyectos doctorales se realizarían con la colaboración del</w:t>
        <w:br/>
        <w:br/>
        <w:t>tejido industrial para garantizar los lazos entre el mundo académico y el mundo</w:t>
        <w:br/>
        <w:t>empresarial, lo que aporta numerosas ventajas, como veremos a continuación (RD</w:t>
        <w:br/>
        <w:br/>
        <w:t>99/2011, RD 195/2016).</w:t>
        <w:br/>
        <w:br/>
        <w:br/>
        <w:t>Uno de los retos del sistema público de investigación en España, que se propuso hace</w:t>
        <w:br/>
        <w:t>un par de décadas y se está llevando a cabo de forma más fehaciente en los últimos</w:t>
        <w:br/>
        <w:br/>
        <w:t>años, es  la creación de un mercado tecnológico más competitivo mediante  la</w:t>
        <w:br/>
        <w:br/>
        <w:t>transferencia de la tecnología y los conocimientos generados en el entorno de la</w:t>
        <w:br/>
        <w:t>investigación pública para su transformación en el sector empresarial. La transferencia</w:t>
        <w:br/>
        <w:br/>
        <w:t>de conocimiento y tecnología se refiere normalmente a la transmisión del conocimiento</w:t>
        <w:br/>
        <w:t>científico y tecnológico generado en las universidades y centros de investigación al tejido</w:t>
        <w:br/>
        <w:br/>
        <w:t>social y productivo, esto es, persigue incorporar el conocimiento a una cadena de valor</w:t>
        <w:br/>
        <w:t>para que  genere un  retorno  económico.  El  proceso de  transferencia  resulta</w:t>
        <w:br/>
        <w:br/>
        <w:t>enriquecedor tanto para las empresas, los centros de generación de conocimiento, si</w:t>
        <w:br/>
        <w:t>son distintas a estas, y para la sociedad en general. Por tanto, los beneficios de este</w:t>
        <w:br/>
        <w:br/>
        <w:t>sistema suponen la generación de una mayor competitividad empresarial y, con ello, un</w:t>
        <w:br/>
        <w:br/>
        <w:t>mayor crecimiento económico, mayor bienestar social y pleno empleo (Rubiralta y</w:t>
        <w:br/>
        <w:t>Bellavista, 2003).</w:t>
        <w:br/>
        <w:br/>
        <w:br/>
        <w:br/>
        <w:br/>
        <w:t xml:space="preserve">                                           MARÍA BRAVO SANTILLANA  303</w:t>
        <w:br/>
      </w:r>
    </w:p>
    <w:p>
      <w:r>
        <w:t>Página 304:</w:t>
        <w:br/>
        <w:t>TEC | Capítulo VII</w:t>
        <w:br/>
        <w:br/>
        <w:t>Por otro lado, el conocimiento generado de una investigación puede difundirse a través</w:t>
        <w:br/>
        <w:br/>
        <w:t>de diferentes canales. La difusión per se es la propagación del conocimiento científico</w:t>
        <w:br/>
        <w:br/>
        <w:t>entre especialistas de un área en cuestión y puede realizarse mediante la publicación de</w:t>
        <w:br/>
        <w:t>la investigación en revistas científicas o mediante la comunicación de los resultados en</w:t>
        <w:br/>
        <w:br/>
        <w:t>congresos, seminarios o foros especializados, entre otros. Por otro lado, la divulgación</w:t>
        <w:br/>
        <w:t>hace referencia a la comunicación de los resultados a la comunidad mediante un</w:t>
        <w:br/>
        <w:br/>
        <w:t>lenguaje y diferentes canales que sean más accesibles a la sociedad en general</w:t>
        <w:br/>
        <w:t>(Espinosa-Santos, 2010).</w:t>
        <w:br/>
        <w:br/>
        <w:br/>
        <w:t>El objetivo general de este bloque es transferir la tecnología y el conocimiento científico</w:t>
        <w:br/>
        <w:br/>
        <w:t>derivado del desarrollo de la presente tesis doctoral.</w:t>
        <w:br/>
        <w:br/>
        <w:br/>
        <w:t>Para ello, se proponen los siguientes objetivos específicos:</w:t>
        <w:br/>
        <w:br/>
        <w:br/>
        <w:t xml:space="preserve">     -   La protección de las invenciones que sean sujetas a explotación comercial por</w:t>
        <w:br/>
        <w:br/>
        <w:t xml:space="preserve">       parte de la empresa, mediante la solicitud de patentes.</w:t>
        <w:br/>
        <w:br/>
        <w:br/>
        <w:t xml:space="preserve">     -   La incorporación de la tecnología a una cadena de valor que genere retorno</w:t>
        <w:br/>
        <w:t xml:space="preserve">      económico y la aplicación de los conocimientos al desarrollo de procesos como</w:t>
        <w:br/>
        <w:br/>
        <w:t xml:space="preserve">       parte de la actividad productiva de la empresa.</w:t>
        <w:br/>
        <w:br/>
        <w:br/>
        <w:t xml:space="preserve">     -   La publicación en revistas científicas de impacto de aquellos contenidos que se</w:t>
        <w:br/>
        <w:br/>
        <w:t xml:space="preserve">       consideren relevantes para la comunidad científica en general, así como la</w:t>
        <w:br/>
        <w:t xml:space="preserve">       difusión de los hallazgos en seminarios y congresos específicos del área.</w:t>
        <w:br/>
        <w:br/>
        <w:br/>
        <w:t xml:space="preserve">     -   La publicación en revistas de divulgación científica, bien destinada a sectores</w:t>
        <w:br/>
        <w:br/>
        <w:t xml:space="preserve">       específicos del área de sanidad animal, como a revistas para la sociedad en</w:t>
        <w:br/>
        <w:t xml:space="preserve">       general.</w:t>
        <w:br/>
        <w:br/>
        <w:br/>
        <w:br/>
        <w:br/>
        <w:br/>
        <w:t xml:space="preserve"> 304  MARÍA BRAVO SANTILLANA</w:t>
        <w:br/>
      </w:r>
    </w:p>
    <w:p>
      <w:r>
        <w:t>Página 305:</w:t>
        <w:br/>
        <w:t xml:space="preserve">                                           TEC | Capítulo VII</w:t>
        <w:br/>
        <w:br/>
        <w:t>1. Materialización de la transferencia tecnológica de la presente tesis doctoral</w:t>
        <w:br/>
        <w:br/>
        <w:t xml:space="preserve">   El conjunto de las técnicas diseñadas y los procedimientos descritos en los bloques</w:t>
        <w:br/>
        <w:br/>
        <w:t xml:space="preserve">   anteriores de este documento, así como el conocimiento científico generado a partir del</w:t>
        <w:br/>
        <w:t xml:space="preserve">   desarrollo de esta tesis doctoral, han sido aplicados en contextos muy similares para la</w:t>
        <w:br/>
        <w:br/>
        <w:t xml:space="preserve">   materialización de la transferencia tecnológica en forma de patentes. Todos estos</w:t>
        <w:br/>
        <w:t xml:space="preserve">   conocimientos se conocen en el mundo empresarial como know how y forman parte del</w:t>
        <w:br/>
        <w:br/>
        <w:t xml:space="preserve">   conjunto de procesos que conforman la estrategia competitiva de una empresa con</w:t>
        <w:br/>
        <w:t xml:space="preserve">   respecto a sus competidores dentro del mismo sector productivo. Para la protección de</w:t>
        <w:br/>
        <w:br/>
        <w:t xml:space="preserve">   las invenciones industriales, la Ley 24/2015 de Patentes concede el título de «patente</w:t>
        <w:br/>
        <w:t xml:space="preserve">  de invención» a aquellos productos y procedimientos que impliquen una actividad</w:t>
        <w:br/>
        <w:br/>
        <w:t xml:space="preserve">   inventiva y sean susceptibles de reproducción y reiteración industrial, incluidos los</w:t>
        <w:br/>
        <w:t xml:space="preserve">   productos obtenidos mediante un procedimiento microbiológico. Por otro lado, las</w:t>
        <w:br/>
        <w:br/>
        <w:t xml:space="preserve">   patentes pueden conllevar una extensión internacional a través del Tratado de</w:t>
        <w:br/>
        <w:br/>
        <w:t xml:space="preserve">   Cooperación en materia de Patentes (PCT, Patent Cooperation Treaty) para proteger la</w:t>
        <w:br/>
        <w:t xml:space="preserve">   invención en un gran número de países.</w:t>
        <w:br/>
        <w:br/>
        <w:br/>
        <w:t xml:space="preserve">   Los aislados y las cepas mencionadas a lo largo de todo este documento son objeto de</w:t>
        <w:br/>
        <w:br/>
        <w:t xml:space="preserve">   publicación científica como parte del proceso de la aplicación del método científico y es</w:t>
        <w:br/>
        <w:t xml:space="preserve">  una parte relevante en el desarrollo de una tesis doctoral. Sin embargo, dos aislados</w:t>
        <w:br/>
        <w:br/>
        <w:t xml:space="preserve">   bacterianos que han sido seleccionados y caracterizados mediante procedimientos</w:t>
        <w:br/>
        <w:t xml:space="preserve">   similares a los descritos anteriormente, así como los productos generados por las</w:t>
        <w:br/>
        <w:br/>
        <w:t xml:space="preserve">  mismas, constan de actividad inventiva suficiente como para ser candidatos a la</w:t>
        <w:br/>
        <w:br/>
        <w:t xml:space="preserve">   protección mediante patente de invención.</w:t>
        <w:br/>
        <w:br/>
        <w:br/>
        <w:t xml:space="preserve">   Solicitud de patente internacional mediante PCT: Novel Lactococcus lactis strain for</w:t>
        <w:br/>
        <w:t xml:space="preserve">   the production of bioactive compounds having antimicrobial effect</w:t>
        <w:br/>
        <w:t xml:space="preserve">     El contenido de esta sección está</w:t>
        <w:br/>
        <w:t xml:space="preserve">   Las técnicas experimentales diseñadas y descritas en esta tesis doctoral han permitido    sujeto a protección.</w:t>
        <w:br/>
        <w:t xml:space="preserve">   extender los procedimientos validados de aislamiento, selección y caracterización de</w:t>
        <w:br/>
        <w:t xml:space="preserve">  BAL para lograr el descubrimiento de una cepa aislada de la microbiota nasal de jabalí</w:t>
        <w:br/>
        <w:br/>
        <w:t xml:space="preserve">  con propiedades muy particulares nunca antes descritas. La nueva cepa de BAL se ha</w:t>
        <w:br/>
        <w:br/>
        <w:t xml:space="preserve">                                              MARÍA BRAVO SANTILLANA  305</w:t>
        <w:br/>
      </w:r>
    </w:p>
    <w:p>
      <w:r>
        <w:t>Página 306:</w:t>
        <w:br/>
        <w:t>TEC | Capítulo VII</w:t>
        <w:br/>
        <w:br/>
        <w:t>identificado como Lactococcus lactis subespecie lactis y ha sido depositada en la</w:t>
        <w:br/>
        <w:br/>
        <w:t>colección alemana de microorganismos y cultivos celulares de Leibniz-Institute (DSM</w:t>
        <w:br/>
        <w:br/>
        <w:t>33521). La actividad inventiva está relacionada no solo con la cepa en cuestión, sino</w:t>
        <w:br/>
        <w:t>también con  las  composiciones  alimentarias,  farmacéuticas o  veterinarias que</w:t>
        <w:br/>
        <w:br/>
        <w:t>comprenden los compuestos bioactivos producidos por esta.</w:t>
        <w:br/>
        <w:br/>
        <w:br/>
        <w:t>La cepa de Lactococcus  lactis C11JN tiene capacidad para producir compuestos</w:t>
        <w:br/>
        <w:t>bioactivos eficaces contra una amplia gama de bacterias patógenas Gram+ y Gram-, que</w:t>
        <w:br/>
        <w:br/>
        <w:t>incluyen  diferentes  serotipos de  Pasteurella  multocida,  Listeria monocytogenes,</w:t>
        <w:br/>
        <w:t>Streptococcus suis, Staphylococcus aureus y Enterococcus faecium, mediante diferentes</w:t>
        <w:br/>
        <w:br/>
        <w:t>mecanismos de acción en función del patógeno. Los compuestos bioactivos son</w:t>
        <w:br/>
        <w:t>fundamentalmente metabolitos antimicrobianos de fermentación y bacteriocinas, que   El contenido de esta sección está</w:t>
        <w:br/>
        <w:t>han sujetosido detectadasa protección.mediante análisis bioinformático y purificadas mediante los</w:t>
        <w:br/>
        <w:t>métodos de ultracentrifugación y filtrado. Todos los procedimientos han sido descritos</w:t>
        <w:br/>
        <w:t>en capítulos previos de este documento.</w:t>
        <w:br/>
        <w:br/>
        <w:br/>
        <w:t>La  principal  utilidad de  dichos compuestos  bioactivos  radica en  su  actividad</w:t>
        <w:br/>
        <w:br/>
        <w:t>antimicrobiana. Estos compuestos podrían incluirse en el desarrollo de biofármacos</w:t>
        <w:br/>
        <w:t>sustitución de los tratamientos actuales o en conjunto con estos para mejorar el</w:t>
        <w:br/>
        <w:br/>
        <w:t>resultado en la terapia frente a un amplio espectro de bacterias patógenas, incluso en</w:t>
        <w:br/>
        <w:t>el caso de bacterias con resistencia a los antibióticos actuales, tanto en humanos como</w:t>
        <w:br/>
        <w:br/>
        <w:t>en animales.</w:t>
        <w:br/>
        <w:br/>
        <w:br/>
        <w:t>La solicitud de esta patente presenta un total de 15 reivindicaciones que fueron</w:t>
        <w:br/>
        <w:br/>
        <w:t>tramitadas el 12 de junio de 2020 (EP20382508.8) y cuya protección se extendió a PCT</w:t>
        <w:br/>
        <w:t>el 12 de junio de 2021. Los documentos que certifican la solicitud de la mencionada</w:t>
        <w:br/>
        <w:br/>
        <w:t>patente se presentaron para la solicitud de protección de esta tesis doctoral y se</w:t>
        <w:br/>
        <w:t>corresponden con el comprobante de presentación y la designación de inventores.</w:t>
        <w:br/>
        <w:br/>
        <w:br/>
        <w:br/>
        <w:br/>
        <w:br/>
        <w:t xml:space="preserve"> 306  MARÍA BRAVO SANTILLANA</w:t>
        <w:br/>
      </w:r>
    </w:p>
    <w:p>
      <w:r>
        <w:t>Página 307:</w:t>
        <w:br/>
        <w:t xml:space="preserve">                                         TEC | Capítulo VII</w:t>
        <w:br/>
        <w:br/>
        <w:t>Solicitud de patente española: Cepa de Mycobacterium chelonae y composiciones</w:t>
        <w:br/>
        <w:br/>
        <w:t>farmacéuticas, veterinarias y alimenticias que la contienen para la prevención y/o</w:t>
        <w:br/>
        <w:br/>
        <w:t>control de tuberculosis</w:t>
        <w:br/>
        <w:br/>
        <w:br/>
        <w:t>Por otro lado, el conocimiento científico generado a partir del desarrollo de esta tesis</w:t>
        <w:br/>
        <w:t>doctoral ha permitido extrapolar estos procedimientos para el aislamiento de una</w:t>
        <w:br/>
        <w:br/>
        <w:t>bacteria que no pertenece al grupo de las BAL pero que tiene propiedades beneficiosas</w:t>
        <w:br/>
        <w:t>que actúan en sinergia con estas. Este hecho pone de manifiesto la prospectiva</w:t>
        <w:br/>
        <w:br/>
        <w:t>estratégica de la utilización de bacterias beneficiosas para el control de enfermedades</w:t>
        <w:br/>
        <w:t>infecciosas y plasma las posibilidades de aplicar este conocimiento en líneas futuras de</w:t>
        <w:br/>
        <w:br/>
        <w:t>investigación, abriendo un importante campo en el desarrollo de las alternativas al</w:t>
        <w:br/>
        <w:t>tratamiento de muchas enfermedades.   El contenido de esta sección está</w:t>
        <w:br/>
        <w:t xml:space="preserve">  sujeto a protección.</w:t>
        <w:br/>
        <w:t>En este caso, la nueva cepa de Mycobacterium chelonae CAR47 (Número de depósito</w:t>
        <w:br/>
        <w:t>DSM 33522) tiene la capacidad de modular la respuesta inmunitaria frente a otras</w:t>
        <w:br/>
        <w:br/>
        <w:t>micobacterias patógenas y ayuda a controlar la diseminación de la tuberculosis en los</w:t>
        <w:br/>
        <w:t>organismos infectados. Los mecanismos de la actividad inmunomoduladora incluyen la</w:t>
        <w:br/>
        <w:br/>
        <w:t>interacción de la mencionada cepa con las células inmunitarias del hospedador para el</w:t>
        <w:br/>
        <w:t>desencadenamiento de una cascada de señalización que activa las rutas inmunitarias y</w:t>
        <w:br/>
        <w:br/>
        <w:t>controlan la producción de diferentes tipos de citoquinas. La actividad inventiva de la</w:t>
        <w:br/>
        <w:t>solicitud de patente se refiere a la utilización de esta cepa y sus composiciones derivadas</w:t>
        <w:br/>
        <w:br/>
        <w:t>que comprenden la bacteria inactivada para su uso en la prevención y/o control de la</w:t>
        <w:br/>
        <w:br/>
        <w:t>tuberculosis mediante su administración por vía oral en animales.</w:t>
        <w:br/>
        <w:br/>
        <w:br/>
        <w:t>En este caso, se presentó una solicitud de patente española con un total de 14</w:t>
        <w:br/>
        <w:t>reivindicaciones el 30 de junio de 2020 (P202030658). Los documentos que certifican la</w:t>
        <w:br/>
        <w:br/>
        <w:t>solicitud de la mencionada patente se presentaron para la solicitud de protección de</w:t>
        <w:br/>
        <w:t>esta tesis doctoral y se corresponden con el comprobante de presentación y la</w:t>
        <w:br/>
        <w:br/>
        <w:t>designación de inventores.</w:t>
        <w:br/>
        <w:br/>
        <w:br/>
        <w:br/>
        <w:br/>
        <w:br/>
        <w:t xml:space="preserve">                                           MARÍA BRAVO SANTILLANA  307</w:t>
        <w:br/>
      </w:r>
    </w:p>
    <w:p>
      <w:r>
        <w:t>Página 308:</w:t>
        <w:br/>
        <w:t xml:space="preserve">  TEC | Capítulo VII</w:t>
        <w:br/>
        <w:br/>
        <w:t>2. Impacto industrial de la tesis doctoral para la empresa</w:t>
        <w:br/>
        <w:br/>
        <w:t xml:space="preserve">  Se entiende como «investigación industrial» a los estudios planificados cuyo objetivo es</w:t>
        <w:br/>
        <w:br/>
        <w:t xml:space="preserve">   la adquisición de nuevos conocimientos y aptitudes que puedan resultar de utilidad para</w:t>
        <w:br/>
        <w:t xml:space="preserve">   desarrollar  nuevos  productos,  procesos  o   servicios,  o  permitan  mejorar</w:t>
        <w:br/>
        <w:br/>
        <w:t xml:space="preserve">   considerablemente  los ya  existentes, especialmente en  el entorno  empresarial</w:t>
        <w:br/>
        <w:t xml:space="preserve">   (ECC/1402/2013).</w:t>
        <w:br/>
        <w:br/>
        <w:br/>
        <w:t xml:space="preserve">   El Plan Estatal de Investigación Científica y Técnica y de Innovación (Plan Estatal I+D)</w:t>
        <w:br/>
        <w:br/>
        <w:t xml:space="preserve">   recoge en su estructura los objetivos de la Estrategia Española de Ciencia y Tecnología y</w:t>
        <w:br/>
        <w:t xml:space="preserve">  de Innovación. Dentro de este plan, el Programa Estatal de Promoción del Talento y su</w:t>
        <w:br/>
        <w:br/>
        <w:t xml:space="preserve">   Empleabilidad convoca las ayudas para contratos para la formación de doctores en</w:t>
        <w:br/>
        <w:t xml:space="preserve">  empresa «Doctorados Industriales» mediante un sistema de concurrencia competitiva.</w:t>
        <w:br/>
        <w:br/>
        <w:t xml:space="preserve">   La finalidad de estas ayudas es promover la realización de proyectos de investigación</w:t>
        <w:br/>
        <w:br/>
        <w:t xml:space="preserve">   industrial en empresas para favorecer la inserción laboral de personal investigador en</w:t>
        <w:br/>
        <w:t xml:space="preserve">   estas, contribuir a la empleabilidad de estos investigadores y promover la incorporación</w:t>
        <w:br/>
        <w:br/>
        <w:t xml:space="preserve">  de talento en el tejido productivo para elevar la competitividad del mismo.</w:t>
        <w:br/>
        <w:br/>
        <w:br/>
        <w:t xml:space="preserve">   El impacto que ha tenido el proyecto de investigación industrial para la empresa</w:t>
        <w:br/>
        <w:t xml:space="preserve">  INGULADOS se ha materializado en tres hitos fundamentalmente. Por un lado, el</w:t>
        <w:br/>
        <w:br/>
        <w:t xml:space="preserve">  método científico y los procesos tecnológicos descritos en esta tesis doctoral han</w:t>
        <w:br/>
        <w:t xml:space="preserve">  desembocado en la creación de la línea de Desarrollo de Productos Alternativos a</w:t>
        <w:br/>
        <w:br/>
        <w:t xml:space="preserve">   Antibióticos, dentro del departamento de «Desarrollo de Productos» para centralizar los</w:t>
        <w:br/>
        <w:br/>
        <w:t xml:space="preserve">   procedimientos encaminados a la elaboración de productos innovadores que den una</w:t>
        <w:br/>
        <w:t xml:space="preserve">   respuesta  eficaz a  los problemas planteados por  los clientes de  la empresa, y</w:t>
        <w:br/>
        <w:br/>
        <w:t xml:space="preserve">  complementar otras líneas de productos de  la empresa como son las Fórmulas</w:t>
        <w:br/>
        <w:t xml:space="preserve">   nutricionales y Autovacunas. Por otro lado, el lanzamiento al mercado de una gama de</w:t>
        <w:br/>
        <w:br/>
        <w:t xml:space="preserve">   productos posbióticos ha tenido un impacto significativo sobre la actividad económica</w:t>
        <w:br/>
        <w:t xml:space="preserve">  de la empresa. Por último, para favorecer la empleabilidad de los investigadores y su</w:t>
        <w:br/>
        <w:br/>
        <w:t xml:space="preserve">   incorporación a las empresas, y así responder a la finalidad de la ayuda recibida por parte</w:t>
        <w:br/>
        <w:t xml:space="preserve">   del  Ministerio de  Ciencia e  Innovación, se crea en INGULADOS  el puesto de</w:t>
        <w:br/>
        <w:br/>
        <w:br/>
        <w:br/>
        <w:t xml:space="preserve">   308  MARÍA BRAVO SANTILLANA</w:t>
        <w:br/>
      </w:r>
    </w:p>
    <w:p>
      <w:r>
        <w:t>Página 309:</w:t>
        <w:br/>
        <w:t xml:space="preserve">                                         TEC | Capítulo VII</w:t>
        <w:br/>
        <w:br/>
        <w:t>«Responsable de Calidad» para asegurar la excelencia en todos estos procedimientos</w:t>
        <w:br/>
        <w:br/>
        <w:t>descritos y lograr la implantación de un sistema de gestión de la calidad.</w:t>
        <w:br/>
        <w:br/>
        <w:br/>
        <w:t>Instauración de la línea de productos alternativos a los antibióticos</w:t>
        <w:br/>
        <w:br/>
        <w:br/>
        <w:t>Esta línea de Productos en INGULADOS pretende aportar soluciones innovadoras a las</w:t>
        <w:br/>
        <w:br/>
        <w:t>necesidades planteadas por los clientes de la empresa, que pueden ser los ganaderos,</w:t>
        <w:br/>
        <w:t>los veterinarios o los propios propietarios de las fincas que la entidad gestiona y asesora.</w:t>
        <w:br/>
        <w:br/>
        <w:t>Dentro de este departamento, los conocimientos generados del desarrollo de esta tesis</w:t>
        <w:br/>
        <w:t>doctoral se establecen dentro de una línea propia mediante un conjunto de procesos,</w:t>
        <w:br/>
        <w:br/>
        <w:t>que se describen en la Figura 7.1 y cuyo fin es prestar este servicio a los clientes. Las</w:t>
        <w:br/>
        <w:t>bacterias beneficiosas  aisladas y caracterizadas en esta  tesis doctoral, que son</w:t>
        <w:br/>
        <w:br/>
        <w:t>candidatas a ser incluidas en los productos innovadores, constituyen la colección de</w:t>
        <w:br/>
        <w:br/>
        <w:t>bacterias de INGULADOS.</w:t>
        <w:br/>
        <w:br/>
        <w:br/>
        <w:t>Las fases de este procedimiento se muestran en el diagrama de flujo de la Figura 7.1 y</w:t>
        <w:br/>
        <w:t>son las siguientes:</w:t>
        <w:br/>
        <w:br/>
        <w:br/>
        <w:t>Identificación del problema o necesidad</w:t>
        <w:br/>
        <w:br/>
        <w:t>El proceso comienza cuando se detecta un problema o una necesidad en una finca, bien</w:t>
        <w:br/>
        <w:t>por parte de los veterinarios o asesores de INGULADOS, o bien a petición del cliente,</w:t>
        <w:br/>
        <w:br/>
        <w:t>que pueden ser los ganaderos, los veterinarios de las granjas de animales de producción</w:t>
        <w:br/>
        <w:br/>
        <w:t>o cinegéticas o los propietarios de las fincas.</w:t>
        <w:br/>
        <w:br/>
        <w:br/>
        <w:t>Caracterización microbiológica</w:t>
        <w:br/>
        <w:t>En la mayoría de las ocasiones, los problemas responden a una casuística infecciosa de</w:t>
        <w:br/>
        <w:br/>
        <w:t>base, esto es, un problema que requiere el aislamiento y la caracterización del agente</w:t>
        <w:br/>
        <w:t>patógeno mediante la aplicación de procedimientos microbiológicos que incluyen</w:t>
        <w:br/>
        <w:br/>
        <w:t>cultivo e identificación por pruebas bioquímicas y moleculares.</w:t>
        <w:br/>
        <w:br/>
        <w:br/>
        <w:br/>
        <w:br/>
        <w:br/>
        <w:t xml:space="preserve">                                           MARÍA BRAVO SANTILLANA  309</w:t>
        <w:br/>
      </w:r>
    </w:p>
    <w:p>
      <w:r>
        <w:t>Página 310:</w:t>
        <w:br/>
        <w:t>TEC | Capítulo VII</w:t>
        <w:br/>
        <w:br/>
        <w:br/>
        <w:br/>
        <w:t>Preselección de bacterias candidatas</w:t>
        <w:br/>
        <w:br/>
        <w:t>Para el diseño de una estrategia que pueda ser favorable para la resolución del</w:t>
        <w:br/>
        <w:t>problema, se realiza una preselección de bacterias beneficiosas en función de estudios</w:t>
        <w:br/>
        <w:br/>
        <w:t>previos. En primer lugar, se seleccionan las bacterias que pueden ser candidatas incluirse</w:t>
        <w:br/>
        <w:t>en el producto. Estas pueden pertenecer a la colección de INGULADOS, las cuales ya se</w:t>
        <w:br/>
        <w:br/>
        <w:t>encuentran caracterizadas; o bien se puede realizar una búsqueda de nuevas bacterias</w:t>
        <w:br/>
        <w:t>en función de las necesidades, que deberán seguir procedimientos más complejos de</w:t>
        <w:br/>
        <w:br/>
        <w:t>para asegurar su viabilidad e inocuidad.</w:t>
        <w:br/>
        <w:br/>
        <w:br/>
        <w:t>Selección final de bacterias beneficiosas</w:t>
        <w:br/>
        <w:t>La selección final de bacterias candidatas se realizará en tres fases:</w:t>
        <w:br/>
        <w:br/>
        <w:br/>
        <w:t xml:space="preserve">     -   Estudio de seguridad de los candidatos: solo en el caso de que las bacterias</w:t>
        <w:br/>
        <w:t xml:space="preserve">       seleccionadas sean nuevas y no pertenezcan a la colección de INGULADOS. Dicho</w:t>
        <w:br/>
        <w:br/>
        <w:t xml:space="preserve">       estudio  consiste en  la detección  fenotípica y  genotípica de  resistencias</w:t>
        <w:br/>
        <w:t xml:space="preserve">       antimicrobianas, factores de virulencia y marcadores de patogenicidad.</w:t>
        <w:br/>
        <w:br/>
        <w:br/>
        <w:t xml:space="preserve">     -   Actividad antimicrobiana: se realiza la detección genotípica y fenotípica de</w:t>
        <w:br/>
        <w:br/>
        <w:t xml:space="preserve">       metabolitos  antibacterianos producidos por  las  bacterias que inhiban  el</w:t>
        <w:br/>
        <w:t xml:space="preserve">      patógeno concreto caracterizado en las primeras fases del procedimiento. La</w:t>
        <w:br/>
        <w:br/>
        <w:t xml:space="preserve">       detección genotípica se realiza mediante análisis bioinformático y la detección</w:t>
        <w:br/>
        <w:br/>
        <w:t xml:space="preserve">       fenotípica  mediante  técnicas  que  incluyen  los  cocultivos,  ensayo  de</w:t>
        <w:br/>
        <w:t xml:space="preserve">       microdilución en caldo y difusión de sobrenadantes.</w:t>
        <w:br/>
        <w:br/>
        <w:br/>
        <w:t xml:space="preserve">     -   Capacidad inmunomoduladora: se realizan estudios genotípicos y fenotípicos de</w:t>
        <w:br/>
        <w:br/>
        <w:t xml:space="preserve">       interacción con células inmunitarias y activación de rutas de señalización</w:t>
        <w:br/>
        <w:t xml:space="preserve">      mediante diferentes marcadores.</w:t>
        <w:br/>
        <w:br/>
        <w:br/>
        <w:br/>
        <w:t xml:space="preserve">   En  función de  estos  tres  parámetros  se  seleccionarían  las  bacterias que</w:t>
        <w:br/>
        <w:br/>
        <w:t xml:space="preserve">   potencialmente pueden aportar una solución al problema planteado.</w:t>
        <w:br/>
        <w:br/>
        <w:t xml:space="preserve"> 310  MARÍA BRAVO SANTILLANA</w:t>
        <w:br/>
      </w:r>
    </w:p>
    <w:p>
      <w:r>
        <w:t>Página 311:</w:t>
        <w:br/>
        <w:t xml:space="preserve">                                         TEC | Capítulo VII</w:t>
        <w:br/>
        <w:br/>
        <w:t>Elaboración del producto</w:t>
        <w:br/>
        <w:br/>
        <w:t>Las bacterias seleccionadas se envían a un proveedor subcontratado (PENTA SL), que</w:t>
        <w:br/>
        <w:br/>
        <w:t>realiza la fabricación del suplemento alimentario mediante procedimientos que incluyen</w:t>
        <w:br/>
        <w:t>unas etapas que ya han sido descritas previamente.</w:t>
        <w:br/>
        <w:br/>
        <w:br/>
        <w:t>Validación del producto</w:t>
        <w:br/>
        <w:br/>
        <w:t>La validación se realiza a través de diseño experimental, en el caso de nuevos productos</w:t>
        <w:br/>
        <w:t>desarrollados, o mediante la valoración del cumplimiento de la necesidad detectada. En</w:t>
        <w:br/>
        <w:br/>
        <w:t>el caso de que la validación sea positiva y se dé respuesta de forma satisfactoria a la</w:t>
        <w:br/>
        <w:t>necesidad, se establecerán diferentes pautas de administración. En el caso de que el</w:t>
        <w:br/>
        <w:br/>
        <w:t>resultado de la validación sea negativo, se realizarían las acciones para volver a las fases</w:t>
        <w:br/>
        <w:t>anteriores de preselección/selección, continuando el proceso definido con anterioridad.</w:t>
        <w:br/>
        <w:br/>
        <w:br/>
        <w:br/>
        <w:br/>
        <w:br/>
        <w:t xml:space="preserve">      Figura 7.1. Diagrama de flujo de los procesos del Departamento de Desarrollo de Productos</w:t>
        <w:br/>
        <w:br/>
        <w:t xml:space="preserve">                                           MARÍA BRAVO SANTILLANA  311</w:t>
        <w:br/>
      </w:r>
    </w:p>
    <w:p>
      <w:r>
        <w:t>Página 312:</w:t>
        <w:br/>
        <w:t>TEC | Capítulo VII</w:t>
        <w:br/>
        <w:br/>
        <w:br/>
        <w:br/>
        <w:t>Lanzamiento al mercado de la gama de productos INGUBAL</w:t>
        <w:br/>
        <w:br/>
        <w:br/>
        <w:t>El proyecto de investigación industrial descrito en esta tesis doctoral ha tenido un</w:t>
        <w:br/>
        <w:br/>
        <w:t>impacto muy  significativo en  la empresa INGULADOS, permitiendo incorporar  la</w:t>
        <w:br/>
        <w:t>investigación desarrollada a una cadena de valor mediante su materialización en el</w:t>
        <w:br/>
        <w:br/>
        <w:t>lanzamiento al mercado de una gama de productos denominada INGUBAL (Figura 7.2).</w:t>
        <w:br/>
        <w:t>Estos productos son posbióticos que incluyen una combinación de metabolitos</w:t>
        <w:br/>
        <w:br/>
        <w:t>producidos por bacterias beneficiosas cuya composición está protegida por secreto</w:t>
        <w:br/>
        <w:t>industrial. La gama de productos está registrada como piensos suplementarios y se</w:t>
        <w:br/>
        <w:br/>
        <w:t>comercializa para el control de determinados procesos en diferentes especies animales,</w:t>
        <w:br/>
        <w:t>una vez han sido validados por los procedimientos descritos anteriormente, generando</w:t>
        <w:br/>
        <w:br/>
        <w:t>un retorno económico de gran impacto para la empresa.</w:t>
        <w:br/>
        <w:br/>
        <w:br/>
        <w:br/>
        <w:br/>
        <w:br/>
        <w:t xml:space="preserve">       Figura 7.2. Ejemplo de productos de la gama INGUBAL en las instalaciones de INGULADOS.</w:t>
        <w:br/>
        <w:br/>
        <w:br/>
        <w:t xml:space="preserve"> 312  MARÍA BRAVO SANTILLANA</w:t>
        <w:br/>
      </w:r>
    </w:p>
    <w:p>
      <w:r>
        <w:t>Página 313:</w:t>
        <w:br/>
        <w:t xml:space="preserve">                                           TEC | Capítulo VII</w:t>
        <w:br/>
        <w:br/>
        <w:t xml:space="preserve">   Implantación de un sistema de gestión de la calidad y creación de un nuevo perfil de</w:t>
        <w:br/>
        <w:br/>
        <w:t xml:space="preserve">  puesto de trabajo</w:t>
        <w:br/>
        <w:br/>
        <w:br/>
        <w:t xml:space="preserve">  Uno de los objetivos del Plan Estatal I+D, en concreto del Programa de Promoción del</w:t>
        <w:br/>
        <w:br/>
        <w:t xml:space="preserve">   Talento y Empleabilidad en el que se enmarca el programa de Doctorados Industriales</w:t>
        <w:br/>
        <w:t xml:space="preserve">   del Ministerio de Ciencia e Innovación, es favorecer la inserción laboral de los jóvenes</w:t>
        <w:br/>
        <w:br/>
        <w:t xml:space="preserve">   investigadores para elevar la competitividad del sector productivo de las empresas.</w:t>
        <w:br/>
        <w:t xml:space="preserve">  Como parte del proceso de generación de empleo de este Programa, la investigadora en</w:t>
        <w:br/>
        <w:br/>
        <w:t xml:space="preserve">   formación se incorporará a la empresa en un nuevo perfil de puesto de trabajo creado</w:t>
        <w:br/>
        <w:t xml:space="preserve">   para este fin, que es el denominado como «Responsable de Calidad». En la actualidad,</w:t>
        <w:br/>
        <w:br/>
        <w:t xml:space="preserve">   los procedimientos descritos en esta tesis doctoral se encuentran enmarcados en un</w:t>
        <w:br/>
        <w:t xml:space="preserve">   Sistema de Gestión de la Calidad que afecta de forma directa al procedimiento de</w:t>
        <w:br/>
        <w:br/>
        <w:t xml:space="preserve">   desarrollo de productos y que está diseñado en conformidad con los requisitos de la</w:t>
        <w:br/>
        <w:br/>
        <w:t xml:space="preserve">  Norma UNE-ENE ISO 9001:2015 para incrementar y consolidar la investigación, el</w:t>
        <w:br/>
        <w:t xml:space="preserve">   desarrollo tecnológico y la innovación en la empresa. En INGULADOS la I+D+i constituye</w:t>
        <w:br/>
        <w:br/>
        <w:t xml:space="preserve">  una actividad diferenciadora en el sector, aportando prestigio y reconocimiento a toda</w:t>
        <w:br/>
        <w:t xml:space="preserve">   la organización, acorde también a los requisitos de la Norma UNE 166002 de Gestión de</w:t>
        <w:br/>
        <w:br/>
        <w:t xml:space="preserve">   la I+D+I.</w:t>
        <w:br/>
        <w:br/>
        <w:br/>
        <w:br/>
        <w:t>3. Difusión del contenido científico y divulgativo</w:t>
        <w:br/>
        <w:br/>
        <w:t xml:space="preserve">   La difusión de los conocimientos científicos generados a raíz de esta tesis doctoral se ha</w:t>
        <w:br/>
        <w:t xml:space="preserve">   realizado mediante la publicación de artículos científicos y divulgativos y mediante la</w:t>
        <w:br/>
        <w:br/>
        <w:t xml:space="preserve">   asistencia a congresos y seminarios especializados. Además, se incluyen varias estancias</w:t>
        <w:br/>
        <w:br/>
        <w:t xml:space="preserve">  de formación que se realizaron durante la etapa predoctoral en otros centros de</w:t>
        <w:br/>
        <w:t xml:space="preserve">   investigación, concretamente en universidades.</w:t>
        <w:br/>
        <w:br/>
        <w:br/>
        <w:br/>
        <w:br/>
        <w:br/>
        <w:t xml:space="preserve">                                              MARÍA BRAVO SANTILLANA  313</w:t>
        <w:br/>
      </w:r>
    </w:p>
    <w:p>
      <w:r>
        <w:t>Página 314:</w:t>
        <w:br/>
        <w:t>TEC | Capítulo VII</w:t>
        <w:br/>
        <w:br/>
        <w:t>Publicaciones científicas</w:t>
        <w:br/>
        <w:br/>
        <w:br/>
        <w:t xml:space="preserve">    1.  María Bravo; Theo Combes; Fernando O Martínez; Rosario Cerrato; Joaquín Rey;</w:t>
        <w:br/>
        <w:t xml:space="preserve">      Waldo García-Jiménez; Pedro Fernández-Llario; David Risco; Jorge Gutiérrez</w:t>
        <w:br/>
        <w:br/>
        <w:t xml:space="preserve">      Merino.  Lactobacilli  isolated  from  wild  boar  (Sus  scrofa)  antagonize</w:t>
        <w:br/>
        <w:t xml:space="preserve">      Mycobacterium bovis Bacille Calmette-Guerin (BCG) in a species-dependent</w:t>
        <w:br/>
        <w:br/>
        <w:t xml:space="preserve">      manner. Frontiers in Microbiology. 10  - 1663, 30/07/2019. Disponible en</w:t>
        <w:br/>
        <w:t xml:space="preserve">       Internet en: https://www.frontiersin.org/articles/10.3389/fmicb.2019.01663/full</w:t>
        <w:br/>
        <w:br/>
        <w:br/>
        <w:t xml:space="preserve">    2.  María Bravo; Theo Combes; Fernando O Martínez; David Risco; Pilar Gonçalves;</w:t>
        <w:br/>
        <w:br/>
        <w:t xml:space="preserve">      Waldo García-Jiménez; Rosario Cerrato; Pedro Fernández-Llario; Jorge Gutiérrez</w:t>
        <w:br/>
        <w:t xml:space="preserve">      Merino. Wildlife symbiont bacteria are indicators of the health status of the host</w:t>
        <w:br/>
        <w:br/>
        <w:t xml:space="preserve">      and  its ecosystem. Applied and Environmental Microbiology. En  revisión.</w:t>
        <w:br/>
        <w:t xml:space="preserve">      13/07/2021.</w:t>
        <w:br/>
        <w:br/>
        <w:br/>
        <w:t xml:space="preserve">    3.  María  Bravo; David  Risco;  Pilar Gonçalves; Waldo  García-Jiménez;  Jorge</w:t>
        <w:br/>
        <w:br/>
        <w:t xml:space="preserve">       Gutiérrez-Merino; Rosario Cerrato; Pedro Fernández-Llario. Bacteria-derived</w:t>
        <w:br/>
        <w:t xml:space="preserve">       postbiotic supplementation improved tuberculosis epidemiological situation in</w:t>
        <w:br/>
        <w:br/>
        <w:t xml:space="preserve">       wild boar populations. Pendiente de publicación.</w:t>
        <w:br/>
        <w:br/>
        <w:br/>
        <w:t xml:space="preserve">    4.  María Bravo; Waldo García-Jiménez; María José Montero; David Risco; Pilar</w:t>
        <w:br/>
        <w:br/>
        <w:t xml:space="preserve">       Gonçalves; Verónica Arenas; Carlos Martínez; Javier Blanco; Rosario Cerrato;</w:t>
        <w:br/>
        <w:t xml:space="preserve">      Pedro Fernández-Llario. Postbiotic supplementation in fattened lamb improved</w:t>
        <w:br/>
        <w:br/>
        <w:t xml:space="preserve">       health indicators and productive parameters. En preparación.</w:t>
        <w:br/>
        <w:br/>
        <w:br/>
        <w:t xml:space="preserve">    5.  María Bravo; Waldo García-Jiménez; David Risco; Javier Blanco; Pilar Gonçalves;</w:t>
        <w:br/>
        <w:t xml:space="preserve">       Verónica Arenas; María José Montero; Carlos Martínez; Rosario Cerrato; Pedro</w:t>
        <w:br/>
        <w:br/>
        <w:t xml:space="preserve">       Fernández-Llario. Synergistic effect of bacteria-derived metabolites on antibiotic</w:t>
        <w:br/>
        <w:br/>
        <w:t xml:space="preserve">       therapy in an experimental pneumonia in a mouse model. En preparación.</w:t>
        <w:br/>
        <w:br/>
        <w:br/>
        <w:br/>
        <w:br/>
        <w:t>Asistencia a congresos y seminarios</w:t>
        <w:br/>
        <w:t xml:space="preserve"> 314  MARÍA BRAVO SANTILLANA</w:t>
        <w:br/>
      </w:r>
    </w:p>
    <w:p>
      <w:r>
        <w:t>Página 315:</w:t>
        <w:br/>
        <w:t xml:space="preserve">                                       TEC | Capítulo VII</w:t>
        <w:br/>
        <w:br/>
        <w:br/>
        <w:br/>
        <w:t>1.  María Bravo. Monitorización de resistencias antimicrobianas en poblaciones de</w:t>
        <w:br/>
        <w:br/>
        <w:t xml:space="preserve">    jabalí. V Jornadas Veterinarias de Estudiantes y IV Jornadas de Ciencias de la</w:t>
        <w:br/>
        <w:t xml:space="preserve">    Salud. Universidad de Extremadura (Cáceres, España). 30/03/2017</w:t>
        <w:br/>
        <w:br/>
        <w:br/>
        <w:t>2. Almudena Torres; María Bravo. Descripción de una técnica para el estudio de la</w:t>
        <w:br/>
        <w:br/>
        <w:t xml:space="preserve">    actividad antimicrobiana de bacterias  lácticas. V Jornadas Veterinarias de</w:t>
        <w:br/>
        <w:t xml:space="preserve">   Estudiantes y IV Jornadas de Ciencias de la Salud, Universidad de Extremadura</w:t>
        <w:br/>
        <w:br/>
        <w:t xml:space="preserve">    (Cáceres, España). 30/03/2017</w:t>
        <w:br/>
        <w:br/>
        <w:br/>
        <w:t>3.  María Bravo. Overview of Probiotics in Wildlife. Applied Microbiology Group</w:t>
        <w:br/>
        <w:t xml:space="preserve">   Seminar. University of Surrey (Guildford, Reino Unido). 12/06/2017</w:t>
        <w:br/>
        <w:br/>
        <w:t>4.  Pedro Fernández-Llario; María Bravo; Rosario Cerrato; David Risco; Waldo</w:t>
        <w:br/>
        <w:br/>
        <w:t xml:space="preserve">    García-Jiménez; Pilar Gonçalves; Joaquín Rey; Jorge Gutiérrez-Merino. Potential</w:t>
        <w:br/>
        <w:t xml:space="preserve">   use of lactic acid bacteria as probiotics to control TB in wildlife. International</w:t>
        <w:br/>
        <w:br/>
        <w:t xml:space="preserve">    Scientific  Conference  of  Probiotics and  Prebiotics. Pamida  Internacional</w:t>
        <w:br/>
        <w:br/>
        <w:t xml:space="preserve">   (Budapest, Hungría). 22/06/2017</w:t>
        <w:br/>
        <w:br/>
        <w:br/>
        <w:t>5.  María Bravo. Isolation of Lactic Acid Bacteria with probiotic properties. Annual</w:t>
        <w:br/>
        <w:br/>
        <w:t xml:space="preserve">   meeting of the Association for Veterinary Teaching and Research Work, AVTRW</w:t>
        <w:br/>
        <w:t xml:space="preserve">    (Guildforf, Reino Unido). 12/09/2017</w:t>
        <w:br/>
        <w:br/>
        <w:br/>
        <w:t>6.  María Bravo; Jorge Gutierrez-Merino; Rosario Cerrato; David Risco; Waldo</w:t>
        <w:br/>
        <w:br/>
        <w:t xml:space="preserve">    García; Pilar Gonçalves; Joaquín Rey; Pedro Fernández-Llario. Potential use of</w:t>
        <w:br/>
        <w:t xml:space="preserve">    lactic acid bacteria as probiotics to control TB in wildlife. Xth International</w:t>
        <w:br/>
        <w:br/>
        <w:t xml:space="preserve">   Symposium on WILD FAUNA - ISoWIF 2017. Universidade de Trás-os-Montes e</w:t>
        <w:br/>
        <w:br/>
        <w:t xml:space="preserve">    Alto Douro (Vila Real, Portugal). 21/09/2017</w:t>
        <w:br/>
        <w:br/>
        <w:br/>
        <w:t>7. Waldo Luis García-Jiménez; David Risco; María Bravo; Caridad Pinilla; Pilar</w:t>
        <w:br/>
        <w:br/>
        <w:t xml:space="preserve">   Gonçalves; Verónica Arenas; Rosario Cerrato; Francisco Javier Salguero; Pedro</w:t>
        <w:br/>
        <w:br/>
        <w:br/>
        <w:t xml:space="preserve">                                        MARÍA BRAVO SANTILLANA  315</w:t>
        <w:br/>
      </w:r>
    </w:p>
    <w:p>
      <w:r>
        <w:t>Página 316:</w:t>
        <w:br/>
        <w:t>TEC | Capítulo VII</w:t>
        <w:br/>
        <w:br/>
        <w:t xml:space="preserve">       Fernández-Llario. El tratamiento con postbióticos reduce la morbilidad y la</w:t>
        <w:br/>
        <w:br/>
        <w:t xml:space="preserve">       mortalidad provocada por Lawsonia intracellularis en porcino ibérico. X Foro</w:t>
        <w:br/>
        <w:br/>
        <w:t xml:space="preserve">       Asociación Nacional de Veterinarios de Porcino Ibérico. Asociación Nacional de</w:t>
        <w:br/>
        <w:t xml:space="preserve">       Veterinarios de Porcino Ibérico (Badajoz, España). 14/03/2018</w:t>
        <w:br/>
        <w:br/>
        <w:br/>
        <w:t xml:space="preserve">    8.  David Risco; Waldo Luis García-Jiménez; María Bravo; Caridad Pinilla; Pilar</w:t>
        <w:br/>
        <w:t xml:space="preserve">       Gonçalves; Verónica Arenas; Rosario Cerrato; Francisco Javier Salguero; Pedro</w:t>
        <w:br/>
        <w:br/>
        <w:t xml:space="preserve">       Fernández-Llario. Efecto de la aplicación de postbióticos en la flora intestinal,</w:t>
        <w:br/>
        <w:br/>
        <w:t xml:space="preserve">       índices productivos y respuesta inmune del lechón ibérico durante la lactación.</w:t>
        <w:br/>
        <w:t xml:space="preserve">      X Foro Asociación Nacional de Veterinarios de Porcino Ibérico. Asociación</w:t>
        <w:br/>
        <w:br/>
        <w:t xml:space="preserve">       Nacional de Veterinarios de Porcino Ibérico (Badajoz, España). 14/03/2018</w:t>
        <w:br/>
        <w:br/>
        <w:br/>
        <w:t xml:space="preserve">    9.  María Bravo. Métodos de control de enfermedades infecciosas alternativos al</w:t>
        <w:br/>
        <w:t xml:space="preserve">      uso de antibióticos en especies cinegéticas. II Jornada Anual de Becarios de la</w:t>
        <w:br/>
        <w:br/>
        <w:t xml:space="preserve">      Fundación Tatiana Pérez de Guzmán el Bueno. Fundación Tatiana Pérez de</w:t>
        <w:br/>
        <w:t xml:space="preserve">     Guzmán el Bueno (Madrid, España). 13/04/2018</w:t>
        <w:br/>
        <w:br/>
        <w:br/>
        <w:t xml:space="preserve">    10. Rosario Cerrato; Pedro Fernández-Llario; María Bravo; David Risco; Waldo</w:t>
        <w:br/>
        <w:br/>
        <w:t xml:space="preserve">       García-Jiménez; Pilar Gonçalves; Verónica Arenas; Javier Salguero; Joaquín Rey;</w:t>
        <w:br/>
        <w:t xml:space="preserve">       Jorge Gutiérrez. Potential immunomodulatory role of LAB inducing NK-KB and</w:t>
        <w:br/>
        <w:br/>
        <w:t xml:space="preserve">       IRF-3 activation and phagocytosis under experimental conditions. Microbial food</w:t>
        <w:br/>
        <w:t xml:space="preserve">      and  feed  ingredients. The  Danish  Microbiological  society  (Copenhagen,</w:t>
        <w:br/>
        <w:br/>
        <w:t xml:space="preserve">       Dinamarca). 02/05/2018</w:t>
        <w:br/>
        <w:br/>
        <w:br/>
        <w:t xml:space="preserve">    11. María Bravo. Alternativas al uso de antibióticos en producción animal: los</w:t>
        <w:br/>
        <w:t xml:space="preserve">       probióticos. IV Congreso Multidisciplinar de Jóvenes Investigadores Extremeños.</w:t>
        <w:br/>
        <w:br/>
        <w:t xml:space="preserve">       Universidad de Extremadura (Cáceres, España). 28/05/2018</w:t>
        <w:br/>
        <w:br/>
        <w:br/>
        <w:t xml:space="preserve">    12. María Bravo. Probióticos como estrategia para el control de enfermedades y la</w:t>
        <w:br/>
        <w:t xml:space="preserve">      mejora de  la  productividad en  ganadería.   II Jornadas  Doctorales de  la</w:t>
        <w:br/>
        <w:br/>
        <w:t xml:space="preserve">       Universidad de Extremadura. Universidad de Extremadura (Cáceres, España).</w:t>
        <w:br/>
        <w:br/>
        <w:t xml:space="preserve"> 316  MARÍA BRAVO SANTILLANA</w:t>
        <w:br/>
      </w:r>
    </w:p>
    <w:p>
      <w:r>
        <w:t>Página 317:</w:t>
        <w:br/>
        <w:t xml:space="preserve">                                       TEC | Capítulo VII</w:t>
        <w:br/>
        <w:br/>
        <w:t xml:space="preserve">   23/11/2018</w:t>
        <w:br/>
        <w:br/>
        <w:br/>
        <w:t>13. María Bravo; Waldo García-Jiménez; David Risco; Alfredo García; Fermín López;</w:t>
        <w:br/>
        <w:br/>
        <w:t xml:space="preserve">    Pilar  Gonçalves;  Verónica  Arenas;  Rosario  Cerrato;  Joaquín  Rey;  Pedro</w:t>
        <w:br/>
        <w:t xml:space="preserve">    Fernández-Llario. Reduction in the incidence of diarrhoea and improved growth</w:t>
        <w:br/>
        <w:br/>
        <w:t xml:space="preserve">   performance in lambs supplemented with Ingubal®. 7th Beneficial Microbes</w:t>
        <w:br/>
        <w:t xml:space="preserve">   Conference. Pre- and  Probiotics  for  Lifelong Human and Animal Health.</w:t>
        <w:br/>
        <w:br/>
        <w:t xml:space="preserve">   Bastiaanse Communication (Amsterdam, Holanda). 26/11/2018</w:t>
        <w:br/>
        <w:br/>
        <w:br/>
        <w:t>14. Carlos Martínez; María Bravo; Rosario Cerrato. Bacteriocinas: una alternativa a</w:t>
        <w:br/>
        <w:t xml:space="preserve">    los antibióticos para el control de enfermedades. VI Jornadas Veterinarias para</w:t>
        <w:br/>
        <w:br/>
        <w:t xml:space="preserve">   Estudiantes y V Jornadas de Ciencias de la Salud. Universidad de Extremadura</w:t>
        <w:br/>
        <w:t xml:space="preserve">    (Cáceres, España). 28/03/2019</w:t>
        <w:br/>
        <w:br/>
        <w:br/>
        <w:t>15. María José Montero; María Bravo; Pilar Gonçalves; Waldo García-Jiménez;</w:t>
        <w:br/>
        <w:t xml:space="preserve">   Verónica Arenas; Rosario Cerrato; Pedro Fernández-Llario; David Risco. Efecto de</w:t>
        <w:br/>
        <w:t xml:space="preserve">    la administración de piensos fermentados en perdices. VI Jornadas Veterinarias</w:t>
        <w:br/>
        <w:br/>
        <w:t xml:space="preserve">   para Estudiantes y V Jornadas de  Ciencias de  la  Salud. Universidad de</w:t>
        <w:br/>
        <w:br/>
        <w:t xml:space="preserve">   Extremadura (Cáceres, España). 28/03/2019</w:t>
        <w:br/>
        <w:br/>
        <w:br/>
        <w:t>16. Carlos  Martínez; María  Bravo.  Actividad  antimicrobiana de  bacteriocinas</w:t>
        <w:br/>
        <w:t xml:space="preserve">   producidas por bacterias ácido-lácticas. V Congreso Multidisciplinar de Jóvenes</w:t>
        <w:br/>
        <w:br/>
        <w:t xml:space="preserve">    Investigadores Extremeños. Universidad de Extremadura (Cáceres, España).</w:t>
        <w:br/>
        <w:t xml:space="preserve">   28/05/2019</w:t>
        <w:br/>
        <w:br/>
        <w:br/>
        <w:t>17. María Bravo; María José Montero. Reducción del uso de antibióticos en cerdos</w:t>
        <w:br/>
        <w:br/>
        <w:t xml:space="preserve">   blancos suplementados con piensos posbióticos. V Congreso Multidisciplinar de</w:t>
        <w:br/>
        <w:t xml:space="preserve">   Jóvenes Investigadores Extremeños. Universidad de Extremadura (Cáceres,</w:t>
        <w:br/>
        <w:br/>
        <w:t xml:space="preserve">   España). 28/05/2019</w:t>
        <w:br/>
        <w:br/>
        <w:br/>
        <w:br/>
        <w:br/>
        <w:t xml:space="preserve">                                        MARÍA BRAVO SANTILLANA  317</w:t>
        <w:br/>
      </w:r>
    </w:p>
    <w:p>
      <w:r>
        <w:t>Página 318:</w:t>
        <w:br/>
        <w:t>TEC | Capítulo VII</w:t>
        <w:br/>
        <w:br/>
        <w:t xml:space="preserve">    18. María  Bravo;  Rosario  Cerrato; Waldo  García-Jiménez; David  Risco;  Pilar</w:t>
        <w:br/>
        <w:t xml:space="preserve">       Gonçalves; Verónica Arenas; Jesús Femia; Joaquín Rey; Pedro Fernández-Llario.</w:t>
        <w:br/>
        <w:br/>
        <w:t xml:space="preserve">      Improvement in productive and health indicators in Iberian pigs supplemented</w:t>
        <w:br/>
        <w:t xml:space="preserve">       with Ingubal. Workshop Sociedad Española de Probióticos y Prebióticos. SEPyP</w:t>
        <w:br/>
        <w:br/>
        <w:t xml:space="preserve">        (Las Palmas de Gran Canaria, España). 06/02/2019</w:t>
        <w:br/>
        <w:br/>
        <w:br/>
        <w:t xml:space="preserve">    19. María Bravo. Moduladores de la microbiota como alternativa a los antibióticos</w:t>
        <w:br/>
        <w:t xml:space="preserve">      en ganadería. V Jornadas Doctorales de  la Universidad de Extremadura.</w:t>
        <w:br/>
        <w:br/>
        <w:t xml:space="preserve">       Asociación de Doctorandos de la Universidad de Extremadura (Badajoz, España).</w:t>
        <w:br/>
        <w:t xml:space="preserve">      29/11/2019</w:t>
        <w:br/>
        <w:br/>
        <w:br/>
        <w:t xml:space="preserve">    20. María Bravo. Moduladores de la microbiota como alternativa a los antibióticos</w:t>
        <w:br/>
        <w:br/>
        <w:t xml:space="preserve">      en ganadería. VIII Jornadas Doctorales del grupo G9 Universidades. Universidad</w:t>
        <w:br/>
        <w:t xml:space="preserve">      de Zaragoza (virtual). 23/11/2020</w:t>
        <w:br/>
        <w:br/>
        <w:br/>
        <w:t xml:space="preserve">    21. María  Bravo.  Wildlife  microbiota:  a  promising  source  for  probiotics</w:t>
        <w:br/>
        <w:t xml:space="preserve">      development. Vet School Research Symposium. University of Surrey (virtual).</w:t>
        <w:br/>
        <w:br/>
        <w:t xml:space="preserve">      01/07/2021</w:t>
        <w:br/>
        <w:br/>
        <w:br/>
        <w:t xml:space="preserve">    22. María Bravo; Waldo García-Jiménez; David Risco; Javier Blanco; Pilar Gonçalves;</w:t>
        <w:br/>
        <w:t xml:space="preserve">       Verónica Arenas; María José Montero; Carlos Martínez; Rosario Cerrato; Pedro</w:t>
        <w:br/>
        <w:br/>
        <w:t xml:space="preserve">       Fernández-Llario. Efecto sinérgico de posbióticos sobre la terapia antibiótica en</w:t>
        <w:br/>
        <w:br/>
        <w:t xml:space="preserve">      una neumonía   experimental en modelo ratón. XII Workshop de la Sociedad</w:t>
        <w:br/>
        <w:t xml:space="preserve">       Española de Microbiota, Probióticos y Prebióticos, SEMiPyP (virtual). 15/09/2021</w:t>
        <w:br/>
        <w:br/>
        <w:br/>
        <w:t>Publicaciones divulgativas</w:t>
        <w:br/>
        <w:br/>
        <w:br/>
        <w:t xml:space="preserve">    1.  María Bravo; David  Risco; Waldo García-Jiménez; Pedro Fernández-Llario;</w:t>
        <w:br/>
        <w:br/>
        <w:t xml:space="preserve">       Joaquín Rey. Nuevas alternativas a los antibióticos: cómo actúan los probióticos</w:t>
        <w:br/>
        <w:br/>
        <w:t xml:space="preserve">      en producción animal. Producción Animal. 310 - septiembre-octubre, pp. 32 - 38.</w:t>
        <w:br/>
        <w:t xml:space="preserve">      31/10/2018.</w:t>
        <w:br/>
        <w:br/>
        <w:t xml:space="preserve"> 318  MARÍA BRAVO SANTILLANA</w:t>
        <w:br/>
      </w:r>
    </w:p>
    <w:p>
      <w:r>
        <w:t>Página 319:</w:t>
        <w:br/>
        <w:t xml:space="preserve">                                       TEC | Capítulo VII</w:t>
        <w:br/>
        <w:br/>
        <w:br/>
        <w:br/>
        <w:t>2.  David  Risco;  Julio  Fernández; Waldo  García-Jiménez; María  Bravo;  Pilar</w:t>
        <w:br/>
        <w:br/>
        <w:t xml:space="preserve">   Gonçalves; Verónica Arenas; Rosario Cerrato; Pedro Fernández-Llario. Mejora de</w:t>
        <w:br/>
        <w:t xml:space="preserve">    signos  clínicos de paratuberculosis en bovino mediante  la  aplicación de</w:t>
        <w:br/>
        <w:br/>
        <w:t xml:space="preserve">   suplementos alimenticios. Ganadería. 120 - marzo-abril, pp. 40 - 44. Editorial</w:t>
        <w:br/>
        <w:t xml:space="preserve">    Agrícola, 30/04/2019.</w:t>
        <w:br/>
        <w:br/>
        <w:br/>
        <w:t>3.  María Bravo; Waldo García-Jiménez; David Risco; Pilar Gonçalves; Alfredo García;</w:t>
        <w:br/>
        <w:br/>
        <w:t xml:space="preserve">   Joaquín   Sánchez-Peinado;   Rosario   Cerrato;   Pedro   Fernández-Llario.</w:t>
        <w:br/>
        <w:t xml:space="preserve">   Administración de  piensos fermentados  (Ingubal Ruminant) en cebo de</w:t>
        <w:br/>
        <w:br/>
        <w:t xml:space="preserve">    corderos: mejora de parámetros productivos e indicadores de salud. Producción</w:t>
        <w:br/>
        <w:t xml:space="preserve">   Animal. 314 - mayo-junio, pp. 54 - 60. 28/06/2019.</w:t>
        <w:br/>
        <w:br/>
        <w:br/>
        <w:t>4.  María  Bravo;  Carlos  Martínez; David  Risco; Waldo  García-Jiménez;  Pilar</w:t>
        <w:br/>
        <w:t xml:space="preserve">   Gonçalves; María José Montero; Verónica Arenas; Rosario Cerrato; Pedro</w:t>
        <w:br/>
        <w:br/>
        <w:t xml:space="preserve">    Fernández-Llario; Joaquín Rey. Efecto inmunomodulador de las bacterias ácido-</w:t>
        <w:br/>
        <w:t xml:space="preserve">    lácticas. Ganadería. 122 - julio-agosto, pp. 52 - 54. Editorial Agrícola, 26/07/2019.</w:t>
        <w:br/>
        <w:br/>
        <w:br/>
        <w:t>5. Waldo García-Jiménez; María Bravo; David Risco; Pilar Gonçalves; Verónica</w:t>
        <w:br/>
        <w:t xml:space="preserve">   Arenas; Francisco  J Salguero; Jesús V Díaz; Paula Sánchez-Jiménez; Rosario</w:t>
        <w:br/>
        <w:br/>
        <w:t xml:space="preserve">    Cerrato; Pedro Fernández-Llario. Empleo de suplementos posbióticos (INGUBAL)</w:t>
        <w:br/>
        <w:t xml:space="preserve">   para la reducción del uso de antibióticos y mejora de parámetros de salud en</w:t>
        <w:br/>
        <w:br/>
        <w:t xml:space="preserve">    porcino. Producción animal. 315 - Julio/agosto, pp. 54 - 63. 30/08/2019.</w:t>
        <w:br/>
        <w:br/>
        <w:br/>
        <w:t>6.  María Bravo; David Risco; Waldo García-Jiménez; Pilar Gonçalves; Verónica</w:t>
        <w:br/>
        <w:t xml:space="preserve">   Arenas; Rosario Cerrato; Pedro Fernández-Llario. Modulación de la microbiota</w:t>
        <w:br/>
        <w:br/>
        <w:t xml:space="preserve">    intestinal y su importancia en los animales de producción. Badajoz Veterinaria.</w:t>
        <w:br/>
        <w:t xml:space="preserve">   17- diciembre 2020. Colegio de Veterinarios de Badajoz, 1/12/2019.</w:t>
        <w:br/>
        <w:br/>
        <w:br/>
        <w:t>7.  María Bravo; María José Montero; David Risco; Waldo García-Jiménez; Pilar</w:t>
        <w:br/>
        <w:t xml:space="preserve">   Gonçalves;  Verónica  Arenas;  Rosario  Cerrato;  Pedro  Fernández-Llario.</w:t>
        <w:br/>
        <w:br/>
        <w:t xml:space="preserve">                                        MARÍA BRAVO SANTILLANA  319</w:t>
        <w:br/>
      </w:r>
    </w:p>
    <w:p>
      <w:r>
        <w:t>Página 320:</w:t>
        <w:br/>
        <w:t>TEC | Capítulo VII</w:t>
        <w:br/>
        <w:br/>
        <w:t xml:space="preserve">      Suplementación con posbióticos en caballos con piroplasmosis. Extremadura</w:t>
        <w:br/>
        <w:br/>
        <w:t xml:space="preserve">       PRE. 35 - abril 2020, pp. 18 - 25. AECCPRE, 30/04/2020.</w:t>
        <w:br/>
        <w:br/>
        <w:br/>
        <w:t xml:space="preserve">    8.  María Bravo; David Risco; Pilar Gonçalves; Waldo García-Jiménez; Verónica</w:t>
        <w:br/>
        <w:br/>
        <w:t xml:space="preserve">       Arenas; Rosario Cerrato; Pedro Fernández-Llario. Posbióticos, la alternativa a la</w:t>
        <w:br/>
        <w:t xml:space="preserve">        utilización de antibióticos. Mundo Ganadero. julio/agosto 2020, pp. 22 - 25.</w:t>
        <w:br/>
        <w:br/>
        <w:t xml:space="preserve">      Eumedia, 30/07/2020.</w:t>
        <w:br/>
        <w:br/>
        <w:br/>
        <w:t xml:space="preserve">    9.  María Bravo. Posbióticos, un concepto innovador en nutrición animal. Albeitar.</w:t>
        <w:br/>
        <w:t xml:space="preserve">      236/237 - junio/julio 2020, pp. 16 - 19. Grupo Asís, 30/07/2020.</w:t>
        <w:br/>
        <w:br/>
        <w:br/>
        <w:t xml:space="preserve">    10. María Bravo. Moduladores de la microbiota intestinal en veterinaria. En Catálogo</w:t>
        <w:br/>
        <w:br/>
        <w:t xml:space="preserve">      de Investigación Joven en Extremadura, volumen III. Servicio de Publicaciones de</w:t>
        <w:br/>
        <w:br/>
        <w:t xml:space="preserve">        la Universidad de Extremadura. ISBN: 978-84-0925-221-3. 07/02/2021.</w:t>
        <w:br/>
        <w:br/>
        <w:br/>
        <w:t>Estancias de formación en centros de I+D+i</w:t>
        <w:br/>
        <w:br/>
        <w:br/>
        <w:t xml:space="preserve">    1.  Estancia de doctorado en la School of Biosciences and Medicina de la Faculty of</w:t>
        <w:br/>
        <w:t xml:space="preserve">       Health and Medical Sciences de la University of Surrey (Guildford, Reino Unido)</w:t>
        <w:br/>
        <w:br/>
        <w:t xml:space="preserve">      en el periodo de tiempo comprendido entre las fechas 20/04/2017 a 30/06/2017</w:t>
        <w:br/>
        <w:t xml:space="preserve">       (3 meses de duración)</w:t>
        <w:br/>
        <w:br/>
        <w:br/>
        <w:t xml:space="preserve">    2.  Estancia de doctorado en la School of Biosciences and Medicina de la Faculty of</w:t>
        <w:br/>
        <w:t xml:space="preserve">       Health and Medical Sciences de la University of Surrey (Guildford, Reino Unido)</w:t>
        <w:br/>
        <w:br/>
        <w:t xml:space="preserve">      en el periodo de tiempo comprendido entre las fechas 06/09/2017 a 08/12/2017</w:t>
        <w:br/>
        <w:t xml:space="preserve">       (3 meses de duración)</w:t>
        <w:br/>
        <w:br/>
        <w:br/>
        <w:t xml:space="preserve">    3.  Estancia complementaria de doctorado en el Departamento de Bioquímica y</w:t>
        <w:br/>
        <w:br/>
        <w:t xml:space="preserve">       Biología Molecular y Genética en el periodo de tiempo comprendido entre</w:t>
        <w:br/>
        <w:t xml:space="preserve">      03/06/2019 y 30/09/2019.</w:t>
        <w:br/>
        <w:br/>
        <w:br/>
        <w:br/>
        <w:br/>
        <w:t xml:space="preserve"> 320  MARÍA BRAVO SANTILLANA</w:t>
        <w:br/>
      </w:r>
    </w:p>
    <w:p>
      <w:r>
        <w:t>Página 321:</w:t>
        <w:br/>
        <w:t xml:space="preserve">                                     CON | ES</w:t>
        <w:br/>
        <w:br/>
        <w:br/>
        <w:br/>
        <w:t>CONCLUSIONES</w:t>
        <w:br/>
        <w:br/>
        <w:br/>
        <w:br/>
        <w:br/>
        <w:br/>
        <w:t xml:space="preserve">                                          MARÍA BRAVO SANTILLANA  321</w:t>
        <w:br/>
      </w:r>
    </w:p>
    <w:p>
      <w:r>
        <w:t>Página 322:</w:t>
        <w:br/>
        <w:t>CON | ES</w:t>
        <w:br/>
        <w:br/>
        <w:br/>
        <w:br/>
        <w:br/>
        <w:br/>
        <w:t xml:space="preserve"> 322  MARÍA BRAVO SANTILLANA</w:t>
        <w:br/>
      </w:r>
    </w:p>
    <w:p>
      <w:r>
        <w:t>Página 323:</w:t>
        <w:br/>
        <w:t xml:space="preserve">                                     CON | ES</w:t>
        <w:br/>
        <w:br/>
        <w:t>Conclusiones del bloque I: Experimentos de laboratorio in vitro</w:t>
        <w:br/>
        <w:br/>
        <w:br/>
        <w:br/>
        <w:t>Capítulo I à objetivo I. Dilucidar si la microbiota de las poblaciones de jabalíes</w:t>
        <w:br/>
        <w:br/>
        <w:t>contribuye a mantener un estado libre de tuberculosis en fincas localizadas en zonas de</w:t>
        <w:br/>
        <w:t>alto riesgo de la enfermedad mediante el estudio de las propiedades antimicrobianas e</w:t>
        <w:br/>
        <w:br/>
        <w:t>inmunomoduladoras de su  perfil de bacterias ácido-lácticas con capacidad para</w:t>
        <w:br/>
        <w:t>antagonizar Mycobacterium bovis, el agente causal de la tuberculosis.</w:t>
        <w:br/>
        <w:br/>
        <w:br/>
        <w:br/>
        <w:br/>
        <w:t>Las poblaciones de jabalíes libres de tuberculosis, que están localizadas en zonas</w:t>
        <w:br/>
        <w:br/>
        <w:t>catalogadas como de alto riesgo de la enfermedad, presentan un perfil predominante</w:t>
        <w:br/>
        <w:t>de lactobacilos en su microbiota, cuyo fenotipo se manifiesta como antagonista de</w:t>
        <w:br/>
        <w:br/>
        <w:t>Mycobacterium  bovis, corroborado por un genotipo marcado por  clústeres de</w:t>
        <w:br/>
        <w:t>bacteriocinas que se sobreexpresan en presencia del patógeno. Tanto las propiedades</w:t>
        <w:br/>
        <w:br/>
        <w:t>antimicrobianas  frente a  la  micobacteria como  la  estimulación de  respuestas</w:t>
        <w:br/>
        <w:t>inmunitarias frente a patógenos intracelulares indican que la microbiota podría conferir</w:t>
        <w:br/>
        <w:br/>
        <w:t>protección a estos jabalíes frente al desarrollo de la enfermedad. De hecho, un perfil</w:t>
        <w:br/>
        <w:t>completamente diferente, con abundancia de enterococos que carecen de esas</w:t>
        <w:br/>
        <w:br/>
        <w:t>propiedades antagonistas, fue encontrado en jabalíes que habitan en zonas con una</w:t>
        <w:br/>
        <w:br/>
        <w:t>prevalencia alta de tuberculosis. Los pediococos fueron encontrados en ambos grupos</w:t>
        <w:br/>
        <w:t>de estudio, pero solo  el pediococo encontrado en  el grupo de fincas libres de</w:t>
        <w:br/>
        <w:br/>
        <w:t>tuberculosis mostró propiedades inhibitorias frente a M. bovis, lo que refuerza la</w:t>
        <w:br/>
        <w:t>hipótesis de que la microbiota juega un papel fundamental en la protección frente al</w:t>
        <w:br/>
        <w:br/>
        <w:t>desarrollo de la tuberculosis.</w:t>
        <w:br/>
        <w:br/>
        <w:br/>
        <w:br/>
        <w:br/>
        <w:br/>
        <w:t xml:space="preserve">                                           MARÍA BRAVO SANTILLANA  323</w:t>
        <w:br/>
      </w:r>
    </w:p>
    <w:p>
      <w:r>
        <w:t>Página 324:</w:t>
        <w:br/>
        <w:t>CON | ES</w:t>
        <w:br/>
        <w:br/>
        <w:br/>
        <w:t>Capítulo II à objetivo II. Estudiar las propiedades potencialmente beneficiosas de</w:t>
        <w:br/>
        <w:br/>
        <w:t>las bacterias ácido-lácticas aisladas de la microbiota de jabalíes mediante un análisis</w:t>
        <w:br/>
        <w:t>genotípico y fenotípico completo del perfil de seguridad de los aislados, de su actividad</w:t>
        <w:br/>
        <w:br/>
        <w:t>antimicrobiana frente a patógenos del jabalí y de sus propiedades inmunomoduladoras.</w:t>
        <w:br/>
        <w:br/>
        <w:br/>
        <w:t>Un total de 11 aislados de la microbiota de jabalí poseen genes que codifican para la</w:t>
        <w:br/>
        <w:br/>
        <w:t>producción de metabolitos  antimicrobianos,  incluidas  las  bacteriocinas, y  otras</w:t>
        <w:br/>
        <w:t>moléculas que pueden actuar como inmunomoduladoras. Los lactobacilos son los</w:t>
        <w:br/>
        <w:br/>
        <w:t>aislados que disponen de un mayor potencial beneficioso, debido a que gozan del</w:t>
        <w:br/>
        <w:t>estado de Presunción Cualificada de Seguridad y muestran proximidad filogenética con</w:t>
        <w:br/>
        <w:br/>
        <w:t>cepas de diverso origen, tanto alimentario como medioambiental e individuos sanos,</w:t>
        <w:br/>
        <w:t>muchas de ellas utilizadas en productos probióticos. Las propiedades beneficiosas de</w:t>
        <w:br/>
        <w:br/>
        <w:t>este grupo de microorganismos dependen de la especie, así, mientras que los aislados</w:t>
        <w:br/>
        <w:t>de Ligilactobacillus salivarius tienen potencial para el control de infecciones bacterianas</w:t>
        <w:br/>
        <w:br/>
        <w:t>con una actividad antimicrobiana potente frente a Pasteurella multocida activando,</w:t>
        <w:br/>
        <w:br/>
        <w:t>además, la cascada de señalización mediada por NF-kB en macrófagos, los aislados de</w:t>
        <w:br/>
        <w:t>Lactiplantibacillus plantarum y Lacticaseibacillus paracasei promueven la activación de</w:t>
        <w:br/>
        <w:br/>
        <w:t>la ruta antiviral del interferón. Los pediococos muestran un gran potencial beneficioso,</w:t>
        <w:br/>
        <w:t>en especial un aislado de Pediococcus acidilactici productor de pediocina que muestra</w:t>
        <w:br/>
        <w:br/>
        <w:t>una actividad antimicrobiana muy potente frente a Listeria monocytogenes y su origen</w:t>
        <w:br/>
        <w:t>filogenético está relacionado con cepas seguras para los hospedadores. Los enterococos</w:t>
        <w:br/>
        <w:br/>
        <w:t>producen varias bacteriocinas como sactipéptidos y lantipéptidos que inhiben  al</w:t>
        <w:br/>
        <w:t>patógeno Escherichia coli, pero su origen filogenético se relaciona con cepas patógenas</w:t>
        <w:br/>
        <w:br/>
        <w:t>y además contienen en el genoma varios genes de resistencia antimicrobiana, que</w:t>
        <w:br/>
        <w:t>correlacionan con su fenotipo, y determinantes de virulencia. Por esto, el potencial</w:t>
        <w:br/>
        <w:br/>
        <w:t>perjudicial de los enterococos supera al beneficioso.</w:t>
        <w:br/>
        <w:br/>
        <w:br/>
        <w:br/>
        <w:br/>
        <w:br/>
        <w:t xml:space="preserve"> 324  MARÍA BRAVO SANTILLANA</w:t>
        <w:br/>
      </w:r>
    </w:p>
    <w:p>
      <w:r>
        <w:t>Página 325:</w:t>
        <w:br/>
        <w:t xml:space="preserve">                                     CON | ES</w:t>
        <w:br/>
        <w:br/>
        <w:br/>
        <w:br/>
        <w:t>Capítulo III à objetivo III. Determinar la naturaleza de la fracción antimicrobiana y</w:t>
        <w:br/>
        <w:br/>
        <w:t>estudiar la sinergia de los metabolitos secretados al sobrenadante de forma óptima con</w:t>
        <w:br/>
        <w:t>una selección de antibióticos frente a patógenos importantes en medicina veterinaria.</w:t>
        <w:br/>
        <w:br/>
        <w:br/>
        <w:t>La detección de la fase del crecimiento microbiano en la que se produce la máxima</w:t>
        <w:br/>
        <w:br/>
        <w:t>actividad antimicrobiana ha propiciado que se haya optimizado la producción de</w:t>
        <w:br/>
        <w:t>metabolitos, que actúan en sinergia con varios antibióticos de uso común en medicina</w:t>
        <w:br/>
        <w:br/>
        <w:t>veterinaria, fundamentalmente  amoxicilina o  doxiciclina,  frente a  los patógeno</w:t>
        <w:br/>
        <w:t>Escherichia coli y Pasteurella multocida, respectivamente. Dentro de estos metabolitos,</w:t>
        <w:br/>
        <w:br/>
        <w:t>la fracción de naturaleza proteica, entre las que se incluyen las bacteriocinas de</w:t>
        <w:br/>
        <w:br/>
        <w:t>diferentes clases, contribuye de forma significativa a la actividad antimicrobiana de las</w:t>
        <w:br/>
        <w:t>bacterias ácido-lácticas aisladas.</w:t>
        <w:br/>
        <w:br/>
        <w:br/>
        <w:t>Conclusiones del bloque II: Experimentación animal in vivo</w:t>
        <w:br/>
        <w:br/>
        <w:br/>
        <w:br/>
        <w:t>Capítulo IV à objetivo IV. Estudiar el efecto de la administración por vía oral de un</w:t>
        <w:br/>
        <w:br/>
        <w:t>suplemento elaborado a partir de los metabolitos producidos por las bacterias ácido-</w:t>
        <w:br/>
        <w:t>lácticas en combinación con la terapia antibiótica para el control de una neumonía</w:t>
        <w:br/>
        <w:br/>
        <w:t>experimental en modelo ratón.</w:t>
        <w:br/>
        <w:br/>
        <w:br/>
        <w:br/>
        <w:t>El suplemento elaborado para el control de una neumonía experimental producida por</w:t>
        <w:br/>
        <w:br/>
        <w:t>el patógeno Pasteurella multocida administrado por vía oral favorece la supervivencia</w:t>
        <w:br/>
        <w:t>de los ratones infectados con la dosis letal absoluta cuando se combina con la terapia</w:t>
        <w:br/>
        <w:br/>
        <w:t>antibiótica. Este modelo experimental valida los procedimientos de cribado y selección</w:t>
        <w:br/>
        <w:t>de bacterias ácido-lácticas beneficiosas y constituye el paso previo para la elaboración</w:t>
        <w:br/>
        <w:br/>
        <w:t>de un posbiótico y su aplicación en condiciones reales.</w:t>
        <w:br/>
        <w:br/>
        <w:br/>
        <w:br/>
        <w:t xml:space="preserve">                                           MARÍA BRAVO SANTILLANA  325</w:t>
        <w:br/>
      </w:r>
    </w:p>
    <w:p>
      <w:r>
        <w:t>Página 326:</w:t>
        <w:br/>
        <w:t>CON | ES</w:t>
        <w:br/>
        <w:br/>
        <w:br/>
        <w:br/>
        <w:t>Capítulo V à objetivo V. Analizar el efecto de la administración de un producto</w:t>
        <w:br/>
        <w:br/>
        <w:t>posbiótico elaborado a partir de los aislados sobre los indicadores sanitarios y los</w:t>
        <w:br/>
        <w:br/>
        <w:t>parámetros productivos en un cebadero de corderos.</w:t>
        <w:br/>
        <w:br/>
        <w:br/>
        <w:t>La administración de posbióticos específicamente diseñados para el control de los</w:t>
        <w:br/>
        <w:t>procesos producidos por el patógeno Pasteurella multocida en cebadero de corderos</w:t>
        <w:br/>
        <w:br/>
        <w:t>mejora la prevalencia y gravedad de las lesiones neumónicas y se asocia a un mayor</w:t>
        <w:br/>
        <w:t>ritmo de crecimiento de los animales, lo que se traduce en una mejor eficiencia</w:t>
        <w:br/>
        <w:br/>
        <w:t>alimentaria. Esta aproximación sanitaria favorece de forma directa la resolución de una</w:t>
        <w:br/>
        <w:br/>
        <w:t>problemática infecciosa y tiene un impacto indirecto sobre los parámetros productivos,</w:t>
        <w:br/>
        <w:t>con la consiguiente mejora en la rentabilidad de los animales de producción. La</w:t>
        <w:br/>
        <w:br/>
        <w:t>utilización de posbióticos en ganadería podría constituir una herramienta para limitar la</w:t>
        <w:br/>
        <w:t>administración de antimicrobianos a situaciones terapéuticas y permitiría satisfacer el</w:t>
        <w:br/>
        <w:br/>
        <w:t>incremento en la demanda de productos de origen animal, sin comprometer la salud de</w:t>
        <w:br/>
        <w:t>estos y de las personas.</w:t>
        <w:br/>
        <w:br/>
        <w:br/>
        <w:t>Capítulo VI à objetivo  VI.  Evaluar  el  efecto de un producto  posbiótico</w:t>
        <w:br/>
        <w:br/>
        <w:t>administrado durante la época de suplementación llevada a cabo en poblaciones de</w:t>
        <w:br/>
        <w:br/>
        <w:t>jabalíes sobre la situación epidemiológica de la tuberculosis.</w:t>
        <w:br/>
        <w:br/>
        <w:br/>
        <w:br/>
        <w:t>La suplementación con  metabolitos  antimicobacterianos e inmunomoduladores</w:t>
        <w:br/>
        <w:br/>
        <w:t>incluidos en un posbiótico específicamente elaborado para el control de la tuberculosis</w:t>
        <w:br/>
        <w:t>se asocia a una disminución en la incidencia, así como en la presencia de lesiones</w:t>
        <w:br/>
        <w:br/>
        <w:t>compatibles con esta enfermedad y en la seroprevalencia de anticuerpos frente a M.</w:t>
        <w:br/>
        <w:t>bovis, agente causal de la misma, en poblaciones de jabalíes expuestos de forma natural</w:t>
        <w:br/>
        <w:br/>
        <w:t>a la infección. La utilización de posbióticos puede ser considerada como una estrategia</w:t>
        <w:br/>
        <w:br/>
        <w:t>factible para el control de la tuberculosis y podría introducirse como herramienta</w:t>
        <w:br/>
        <w:t>complementaria en los programas de erradicación de la enfermedad a gran escala, tanto</w:t>
        <w:br/>
        <w:br/>
        <w:t>en fauna silvestre como en animales de producción y en medicina humana.</w:t>
        <w:br/>
        <w:br/>
        <w:br/>
        <w:t xml:space="preserve"> 326  MARÍA BRAVO SANTILLANA</w:t>
        <w:br/>
      </w:r>
    </w:p>
    <w:p>
      <w:r>
        <w:t>Página 327:</w:t>
        <w:br/>
        <w:t xml:space="preserve">                                     CON | ES</w:t>
        <w:br/>
        <w:br/>
        <w:t>Conclusiones del bloque  III:  transferencia de  tecnología y</w:t>
        <w:br/>
        <w:br/>
        <w:t>conocimiento científico</w:t>
        <w:br/>
        <w:br/>
        <w:br/>
        <w:br/>
        <w:t>Capítulo VII à objetivo VII. Transferir la tecnología y el conocimiento científico</w:t>
        <w:br/>
        <w:br/>
        <w:t>derivado del desarrollo de la presente tesis doctoral mediante la solicitud de patentes</w:t>
        <w:br/>
        <w:br/>
        <w:t>de invención, la aplicación de los conocimientos al desarrollo de procesos en la empresa</w:t>
        <w:br/>
        <w:br/>
        <w:t>y la difusión de los resultados mediante la asistencia a congresos y la publicación en</w:t>
        <w:br/>
        <w:t>revistas científicas y divulgativas.</w:t>
        <w:br/>
        <w:br/>
        <w:br/>
        <w:t>El conocimiento científico generado del desarrollo de la presente tesis de Doctorado</w:t>
        <w:br/>
        <w:br/>
        <w:t>Industrial ha tenido un impacto  significativo sobre  la  actividad de  la empresa</w:t>
        <w:br/>
        <w:t>INGULADOS, mejorando su competitividad en el sector. Se ha creado una nueva línea</w:t>
        <w:br/>
        <w:br/>
        <w:t>de trabajo, dentro del Departamento de Desarrollo de Productos, que ha propiciado el</w:t>
        <w:br/>
        <w:t>lanzamiento de una gama de productos posbióticos innovadora,  así como a  la</w:t>
        <w:br/>
        <w:br/>
        <w:t>instauración de un nuevo perfil laboral de Responsable de Calidad. La transferencia</w:t>
        <w:br/>
        <w:br/>
        <w:t>tecnológica se ha materializado en la solicitud de dos patentes de invención y el</w:t>
        <w:br/>
        <w:t>conocimiento científico generado se ha difundido mediante la publicación de varios</w:t>
        <w:br/>
        <w:br/>
        <w:t>artículos científicos en revistas de impacto, abundantes artículos de divulgación en</w:t>
        <w:br/>
        <w:t>revistas y canales destinados a profesionales del sector y la asistencia a numerosos</w:t>
        <w:br/>
        <w:br/>
        <w:t>congresos y seminarios.</w:t>
        <w:br/>
        <w:br/>
        <w:br/>
        <w:br/>
        <w:br/>
        <w:br/>
        <w:t xml:space="preserve">                                           MARÍA BRAVO SANTILLANA  327</w:t>
        <w:br/>
      </w:r>
    </w:p>
    <w:p>
      <w:r>
        <w:t>Página 328:</w:t>
        <w:br/>
        <w:t>CON | ENG</w:t>
        <w:br/>
        <w:br/>
        <w:br/>
        <w:br/>
        <w:br/>
        <w:br/>
        <w:t xml:space="preserve"> 328  MARÍA BRAVO SANTILLANA</w:t>
        <w:br/>
      </w:r>
    </w:p>
    <w:p>
      <w:r>
        <w:t>Página 329:</w:t>
        <w:br/>
        <w:t xml:space="preserve">                                    CON | ENG</w:t>
        <w:br/>
        <w:br/>
        <w:t>Conclusions from block I: in vitro laboratory experiments</w:t>
        <w:br/>
        <w:br/>
        <w:br/>
        <w:br/>
        <w:t>Chapter  I à objective  I. To determine whether the microbiota of wild boar</w:t>
        <w:br/>
        <w:br/>
        <w:t>populations contributes to maintain a tuberculosis-free status in farms located in high-</w:t>
        <w:br/>
        <w:t>risk areas of the disease by studying the antimicrobial and immunomodulatory</w:t>
        <w:br/>
        <w:br/>
        <w:t>properties  of  their  lactic  acid  bacteria  profile  with  the  ability  to  antagonize</w:t>
        <w:br/>
        <w:t>Mycobacterium bovis, the causative agent of tuberculosis.</w:t>
        <w:br/>
        <w:br/>
        <w:br/>
        <w:t>Wild boar tuberculosis-free populations, which are located in high-risk areas of the</w:t>
        <w:br/>
        <w:br/>
        <w:t>disease, harbor a predominant lactobacilli profile within their microbiota, whose</w:t>
        <w:br/>
        <w:br/>
        <w:t>phenotype displays an antagonism toward Mycobacterium bovis, corroborated by a</w:t>
        <w:br/>
        <w:t>genotype marked by clusters of bacteriocins that are overexpressed in the presence of</w:t>
        <w:br/>
        <w:br/>
        <w:t>the pathogen. Both the  antimicrobial  properties  against mycobacteria and the</w:t>
        <w:br/>
        <w:t>stimulation of immune responses against intracellular pathogens indicate that the</w:t>
        <w:br/>
        <w:br/>
        <w:t>microbiota could confer protection against the development of the disease in the host.</w:t>
        <w:br/>
        <w:t>In fact, a completely different profile, with an abundance of enterococci lacking these</w:t>
        <w:br/>
        <w:br/>
        <w:t>antagonistic properties, was found in wild boar inhabiting areas with a high prevalence</w:t>
        <w:br/>
        <w:t>of tuberculosis. Pediococci were found in both study groups, but only the pediococcus</w:t>
        <w:br/>
        <w:br/>
        <w:t>found in the group of tuberculosis-free populations showed inhibitory properties</w:t>
        <w:br/>
        <w:br/>
        <w:t>against M. bovis, which reinforces the hypothesis that the microbiota plays an essential</w:t>
        <w:br/>
        <w:t>role on the protection against the development of tuberculosis.</w:t>
        <w:br/>
        <w:br/>
        <w:br/>
        <w:br/>
        <w:br/>
        <w:br/>
        <w:t xml:space="preserve">                                           MARÍA BRAVO SANTILLANA  329</w:t>
        <w:br/>
      </w:r>
    </w:p>
    <w:p>
      <w:r>
        <w:t>Página 330:</w:t>
        <w:br/>
        <w:t>CON | ENG</w:t>
        <w:br/>
        <w:br/>
        <w:br/>
        <w:t>Chapter II à objective II. To study the potentially beneficial properties of lactic acid</w:t>
        <w:br/>
        <w:br/>
        <w:t>bacteria isolated from the microbiota of wild boars through a complete genotypic and</w:t>
        <w:br/>
        <w:t>phenotypic analysis of the safety profile of the isolates, their antimicrobial activity</w:t>
        <w:br/>
        <w:br/>
        <w:t>against wild boar pathogens and their immunomodulatory properties.</w:t>
        <w:br/>
        <w:br/>
        <w:br/>
        <w:t>A total of 11 isolates from the wild boar microbiota possess genes that code for the</w:t>
        <w:br/>
        <w:br/>
        <w:t>production of antimicrobial metabolites, including bacteriocins, and other molecules</w:t>
        <w:br/>
        <w:t>that can act as immunomodulators. Lactobacilli are the isolates with the greatest</w:t>
        <w:br/>
        <w:br/>
        <w:t>beneficial potential, due to their status of Qualified Presumption of Safety and their</w:t>
        <w:br/>
        <w:t>phylogenetic proximity with strains of diverse origin, including food, environmental and</w:t>
        <w:br/>
        <w:br/>
        <w:t>healthy individuals, many of them used in probiotic products. The beneficial properties</w:t>
        <w:br/>
        <w:t>of this group of microorganisms depend on the species. Ligilactobacillus salivarius</w:t>
        <w:br/>
        <w:br/>
        <w:t>isolates have the  potential to  control  bacterial  infections due to  their strong</w:t>
        <w:br/>
        <w:t>antimicrobial activity against Pasteurella multocida and their ability to activate the</w:t>
        <w:br/>
        <w:br/>
        <w:t>signaling  cascade  mediated  by  NF-kB  in  macrophages. On  the  other  side,</w:t>
        <w:br/>
        <w:br/>
        <w:t>Lactiplantibacillus plantarum and Lacticaseibacillus paracasei isolates promote the</w:t>
        <w:br/>
        <w:t>activation of the interferon antiviral pathway. Pediococci show a great beneficial</w:t>
        <w:br/>
        <w:br/>
        <w:t>potential, especially the pediocin-producer Pediococcus acidilactici isolate that shows a</w:t>
        <w:br/>
        <w:t>very potent antimicrobial activity against Listeria monocytogenes and its phylogenetic</w:t>
        <w:br/>
        <w:br/>
        <w:t>origin  is related to safe strains. Enterococci produce several bacteriocins such as</w:t>
        <w:br/>
        <w:t>sactipeptides and lanthipeptides that inhibit the pathogen Escherichia coli, but their</w:t>
        <w:br/>
        <w:br/>
        <w:t>phylogenetic origin  is related to pathogenic strains and they also contain several</w:t>
        <w:br/>
        <w:t>virulence determinants and antimicrobial resistance genes in the genome, which</w:t>
        <w:br/>
        <w:br/>
        <w:t>correlate with their phenotype. Therefore, the harmful risk of enterococci outweighs</w:t>
        <w:br/>
        <w:t>the beneficial potential.</w:t>
        <w:br/>
        <w:br/>
        <w:br/>
        <w:br/>
        <w:br/>
        <w:br/>
        <w:t xml:space="preserve"> 330  MARÍA BRAVO SANTILLANA</w:t>
        <w:br/>
      </w:r>
    </w:p>
    <w:p>
      <w:r>
        <w:t>Página 331:</w:t>
        <w:br/>
        <w:t xml:space="preserve">                                    CON | ENG</w:t>
        <w:br/>
        <w:br/>
        <w:br/>
        <w:br/>
        <w:t>Chapter III à objective III. To determine the nature of the antimicrobial fraction</w:t>
        <w:br/>
        <w:br/>
        <w:t>and to study the synergy of the metabolites optimally secreted to the supernatant with</w:t>
        <w:br/>
        <w:t>a selection of antibiotics against important pathogens in veterinary medicine.</w:t>
        <w:br/>
        <w:br/>
        <w:br/>
        <w:t>The detection of the microbial growth phase in which the maximum antimicrobial</w:t>
        <w:br/>
        <w:br/>
        <w:t>activity occurs has led to the optimization of the production of metabolites, which act</w:t>
        <w:br/>
        <w:t>in synergy with several antibiotics commonly used in veterinary medicine, mainly</w:t>
        <w:br/>
        <w:br/>
        <w:t>amoxicillin or doxycycline, against pathogens Escherichia coli and Pasteurella multocida,</w:t>
        <w:br/>
        <w:t>respectively. Within these metabolites, the protein fraction, including bacteriocins of</w:t>
        <w:br/>
        <w:br/>
        <w:t>different classes, contributes significantly to the antimicrobial activity displayed by the</w:t>
        <w:br/>
        <w:br/>
        <w:t>lactic acid bacteria.</w:t>
        <w:br/>
        <w:br/>
        <w:br/>
        <w:t>Conclusions from block II: in vivo animal experiments</w:t>
        <w:br/>
        <w:br/>
        <w:br/>
        <w:br/>
        <w:t>Chapter IV à objective IV. To study the effect of the oral administration of a</w:t>
        <w:br/>
        <w:br/>
        <w:t>supplement produced from lactic acid bacteria metabolites in combination with the</w:t>
        <w:br/>
        <w:br/>
        <w:t>antibiotic therapy for the control of an experimental pneumonia in a mouse model.</w:t>
        <w:br/>
        <w:br/>
        <w:br/>
        <w:br/>
        <w:t>The oral supplement developed for the control of an experimental pneumonia</w:t>
        <w:br/>
        <w:br/>
        <w:t>produced by the pathogen Pasteurella multocida favors the survival of infected mice</w:t>
        <w:br/>
        <w:t>with  the  absolute  lethal dose when combined  with  antibiotic  therapy.  This</w:t>
        <w:br/>
        <w:br/>
        <w:t>experimental model validates the procedures of beneficial lactic acid bacteria screening</w:t>
        <w:br/>
        <w:br/>
        <w:t>and selection and constitutes the preliminary step for the postbiotic elaboration before</w:t>
        <w:br/>
        <w:t>its application in real conditions.</w:t>
        <w:br/>
        <w:br/>
        <w:br/>
        <w:br/>
        <w:br/>
        <w:br/>
        <w:t xml:space="preserve">                                           MARÍA BRAVO SANTILLANA  331</w:t>
        <w:br/>
      </w:r>
    </w:p>
    <w:p>
      <w:r>
        <w:t>Página 332:</w:t>
        <w:br/>
        <w:t>CON | ENG</w:t>
        <w:br/>
        <w:br/>
        <w:br/>
        <w:br/>
        <w:t>Chapter V à objective V. To analyze the effect of the administration of a lactic acid</w:t>
        <w:br/>
        <w:br/>
        <w:t>bacteria-derived postbiotic on the health indicators and the productive parameters in a</w:t>
        <w:br/>
        <w:br/>
        <w:t>lamb feedlot.</w:t>
        <w:br/>
        <w:br/>
        <w:br/>
        <w:t>The administration of postbiotics  specifically designed to control the processes</w:t>
        <w:br/>
        <w:t>produced by the pathogen Pasteurella multocida in a lamb feedlot improves the</w:t>
        <w:br/>
        <w:br/>
        <w:t>prevalence and severity of pneumonic lesions and is associated with a higher growth</w:t>
        <w:br/>
        <w:t>rate of the animals, which translates into a better feed efficiency. This sanitary approach</w:t>
        <w:br/>
        <w:br/>
        <w:t>directly favors the resolution of an infectious problem and has an indirect impact on the</w:t>
        <w:br/>
        <w:br/>
        <w:t>productive parameters, with the consequent improvement in the profitability of</w:t>
        <w:br/>
        <w:t>production animals. The use of postbiotics in livestock could be a tool to limit the</w:t>
        <w:br/>
        <w:br/>
        <w:t>administration of antimicrobials to therapeutic situations and would allow meeting the</w:t>
        <w:br/>
        <w:t>increase in demand for products of animal origin without compromising animal or</w:t>
        <w:br/>
        <w:br/>
        <w:t>human health.</w:t>
        <w:br/>
        <w:br/>
        <w:br/>
        <w:br/>
        <w:t>Chapter VI à objective VI. To evaluate the effect of a postbiotic product</w:t>
        <w:br/>
        <w:br/>
        <w:t>administered during the supplementation period on the epidemiological situation of</w:t>
        <w:br/>
        <w:br/>
        <w:t>tuberculosis in wild boar populations.</w:t>
        <w:br/>
        <w:br/>
        <w:br/>
        <w:br/>
        <w:t>Supplementation with antimycobacterial and immunomodulatory metabolites included</w:t>
        <w:br/>
        <w:br/>
        <w:t>in a postbiotic specifically developed for the control of tuberculosis is associated with</w:t>
        <w:br/>
        <w:t>a decrease in the incidence, as well as in the presence of lesions compatible with this</w:t>
        <w:br/>
        <w:br/>
        <w:t>disease and in the seroprevalence of antibodies against M. bovis in populations of</w:t>
        <w:br/>
        <w:t>naturally exposed wild boar. The use of postbiotics can be considered as a feasible</w:t>
        <w:br/>
        <w:br/>
        <w:t>strategy for tuberculosis control and could be introduced as a complementary tool in</w:t>
        <w:br/>
        <w:br/>
        <w:t>large-scale eradication programs of the disease, not only in wildlife and livestock but</w:t>
        <w:br/>
        <w:t>also in human medicine.</w:t>
        <w:br/>
        <w:br/>
        <w:br/>
        <w:br/>
        <w:t xml:space="preserve"> 332  MARÍA BRAVO SANTILLANA</w:t>
        <w:br/>
      </w:r>
    </w:p>
    <w:p>
      <w:r>
        <w:t>Página 333:</w:t>
        <w:br/>
        <w:t xml:space="preserve">                                    CON | ENG</w:t>
        <w:br/>
        <w:br/>
        <w:t>Conclusions from block III: technology and scientific knowledge</w:t>
        <w:br/>
        <w:br/>
        <w:t>transfer</w:t>
        <w:br/>
        <w:br/>
        <w:br/>
        <w:br/>
        <w:t>Chapter VII à objective VII. To transfer the technology and scientific knowledge</w:t>
        <w:br/>
        <w:br/>
        <w:t>derived from this doctoral thesis through the application of invention patents, the</w:t>
        <w:br/>
        <w:br/>
        <w:t>application of knowledge to the development of processes in the company and the</w:t>
        <w:br/>
        <w:br/>
        <w:t>dissemination of the results by attending congresses and publishing in scientific journals</w:t>
        <w:br/>
        <w:t>and popular press.</w:t>
        <w:br/>
        <w:br/>
        <w:br/>
        <w:t>The scientific knowledge generated from the development of this Industrial Doctorate</w:t>
        <w:br/>
        <w:br/>
        <w:t>thesis has had a significant impact on the activity of INGULADOS, improving the</w:t>
        <w:br/>
        <w:t>competitiveness of the company within its sector. A new line of work has been created,</w:t>
        <w:br/>
        <w:br/>
        <w:t>within the Product Development Department, which has led to the launch of an</w:t>
        <w:br/>
        <w:t>innovative range of postbiotic products, as well as the establishment of a new job profile</w:t>
        <w:br/>
        <w:br/>
        <w:t>for Quality Manager. The technology transfer has resulted in the application for two</w:t>
        <w:br/>
        <w:br/>
        <w:t>invention patents and the scientific knowledge generated has been communicated</w:t>
        <w:br/>
        <w:t>through the publication of several scientific articles in high-impact journals, abundant</w:t>
        <w:br/>
        <w:br/>
        <w:t>dissemination articles in magazines and channels aimed at target professionals and</w:t>
        <w:br/>
        <w:t>assistance to numerous conferences and seminars.</w:t>
        <w:br/>
        <w:br/>
        <w:br/>
        <w:br/>
        <w:br/>
        <w:br/>
        <w:t xml:space="preserve">                                           MARÍA BRAVO SANTILLANA  333</w:t>
        <w:br/>
      </w:r>
    </w:p>
    <w:p>
      <w:r>
        <w:t>Página 334:</w:t>
        <w:br/>
        <w:t>CON | ENG</w:t>
        <w:br/>
        <w:br/>
        <w:t xml:space="preserve"> great future prospects for the use of innovative elements in Animal Health and</w:t>
        <w:br/>
        <w:br/>
        <w:t>Production.</w:t>
        <w:br/>
        <w:br/>
        <w:br/>
        <w:br/>
        <w:br/>
        <w:br/>
        <w:t xml:space="preserve"> 334  MARÍA BRAVO SANTILLANA</w:t>
        <w:br/>
      </w:r>
    </w:p>
    <w:p>
      <w:r>
        <w:t>Página 335:</w:t>
        <w:br/>
        <w:t xml:space="preserve">                              REF | Referencias Bibliográficas</w:t>
        <w:br/>
        <w:br/>
        <w:br/>
        <w:br/>
        <w:t>REFERENCIAS BIBLIOGRÁFICAS</w:t>
        <w:br/>
        <w:br/>
        <w:br/>
        <w:br/>
        <w:br/>
        <w:br/>
        <w:t xml:space="preserve">                                          MARÍA BRAVO SANTILLANA  335</w:t>
        <w:br/>
      </w:r>
    </w:p>
    <w:p>
      <w:r>
        <w:t>Página 336:</w:t>
        <w:br/>
        <w:t>REF | Referencias Bibliográficas</w:t>
        <w:br/>
        <w:br/>
        <w:br/>
        <w:br/>
        <w:br/>
        <w:br/>
        <w:t xml:space="preserve"> 336  MARÍA BRAVO SANTILLANA</w:t>
        <w:br/>
      </w:r>
    </w:p>
    <w:p>
      <w:r>
        <w:t>Página 337:</w:t>
        <w:br/>
        <w:t xml:space="preserve">                               REF | Referencias Bibliográficas</w:t>
        <w:br/>
        <w:br/>
        <w:br/>
        <w:t>Acevedo-Whitehouse, K., Vicente, J., Gortazar, C., Höfle, U., Fernández-de-Mera, I., y</w:t>
        <w:br/>
        <w:br/>
        <w:t xml:space="preserve">      Amos, W. (2005). Genetic resistance to bovine tuberculosis in the Iberian wild</w:t>
        <w:br/>
        <w:br/>
        <w:t xml:space="preserve">       boar. Molecular Ecology, 14(10), 3209–3217.</w:t>
        <w:br/>
        <w:br/>
        <w:t>Aderem, A. (2003). Phagocytosis and the inflammatory response. The Journal of</w:t>
        <w:br/>
        <w:br/>
        <w:t xml:space="preserve">        Infectious Diseases, 187(Supplement_2), S340-5.</w:t>
        <w:br/>
        <w:br/>
        <w:t>Adesina, I., y Enerijiofi, K. (2016). Effect of pH and heat treatment on bacteriocin activity</w:t>
        <w:br/>
        <w:br/>
        <w:t xml:space="preserve">       of  Pediococcus  pentosaceus  IO1,  Tetragenococcus  halophilus PO9  and</w:t>
        <w:br/>
        <w:br/>
        <w:t xml:space="preserve">       Lactobacillus cellobiosus BE1. SAU Science-Tech Journal, 1(1), 113-118.</w:t>
        <w:br/>
        <w:br/>
        <w:t>Afdora, P. T., Ardiyati, T., Sjofjan, O., y Kalsum, U. (2010). Potential antibacterials</w:t>
        <w:br/>
        <w:br/>
        <w:t xml:space="preserve">      compounds of lactic acid bacteria (LAB) from quail intestine (Coturnix japonica)</w:t>
        <w:br/>
        <w:br/>
        <w:t xml:space="preserve">        in inhibition growth of Escherichia coli and Salmonella typhimurium. Journal of</w:t>
        <w:br/>
        <w:br/>
        <w:t xml:space="preserve">       Tropical Life Science, 1(1), 28–31.</w:t>
        <w:br/>
        <w:br/>
        <w:t>Aguilar-Toalá,  J., Garcia-Varela, R., Garcia, H., Mata-Haro, V., González-Córdova, A.,</w:t>
        <w:br/>
        <w:br/>
        <w:t xml:space="preserve">       Vallejo-Cordoba, B., y Hernández-Mendoza, A. (2018). Postbiotics: An evolving</w:t>
        <w:br/>
        <w:br/>
        <w:t xml:space="preserve">      term within the functional foods field. Trends in Food Science y Technology, 75,</w:t>
        <w:br/>
        <w:br/>
        <w:t xml:space="preserve">      105–114.</w:t>
        <w:br/>
        <w:br/>
        <w:t>Ahern, P. P., y Maloy, K. J. (2020). Understanding immune–microbiota interactions in</w:t>
        <w:br/>
        <w:br/>
        <w:t xml:space="preserve">       the intestine. Immunology, 159(1), 4–14.</w:t>
        <w:br/>
        <w:br/>
        <w:t>Ai, L., Chen, C., Zhou, F., Wang, L., Zhang, H., Chen, W., y Guo, B. (2011). Complete</w:t>
        <w:br/>
        <w:br/>
        <w:t xml:space="preserve">     genome sequence of the probiotic strain Lactobacillus casei BD-II. Journal of</w:t>
        <w:br/>
        <w:br/>
        <w:t xml:space="preserve">       Bacteriology, 193(12), 3160-3161.</w:t>
        <w:br/>
        <w:br/>
        <w:br/>
        <w:br/>
        <w:br/>
        <w:br/>
        <w:t xml:space="preserve">                                           MARÍA BRAVO SANTILLANA  337</w:t>
        <w:br/>
      </w:r>
    </w:p>
    <w:p>
      <w:r>
        <w:t>Página 338:</w:t>
        <w:br/>
        <w:t>REF | Referencias Bibliográficas</w:t>
        <w:br/>
        <w:br/>
        <w:t>Aktas, B., De Wolfe, T. J., Tandee, K., Safdar, N., Darien, B. J., y Steele, J. L. (2015). The</w:t>
        <w:br/>
        <w:br/>
        <w:t xml:space="preserve">        effect of Lactobacillus casei 32G on the mouse cecum microbiota and innate</w:t>
        <w:br/>
        <w:br/>
        <w:t xml:space="preserve">     immune response is dose and time dependent. PloS One, 10(12), e0145784.</w:t>
        <w:br/>
        <w:br/>
        <w:t>Akter, T., Rahman, M. M., Tay, A. C. Y., Ehsan, R., y Islam, M. T. (2020). Whole-Genome</w:t>
        <w:br/>
        <w:br/>
        <w:t xml:space="preserve">      Sequence of Fish-Pathogenic Enterococcus faecalis Strain BFFF11. Microbiology</w:t>
        <w:br/>
        <w:br/>
        <w:t xml:space="preserve">       Resource Announcements, 9(7), e01447-19.</w:t>
        <w:br/>
        <w:br/>
        <w:t>Alakomi, H.-L., Skyttä, E., Saarela, M., Mattila-Sandholm, T., Latva-Kala, K., y Helander, I.</w:t>
        <w:br/>
        <w:br/>
        <w:t xml:space="preserve">       (2000). Lactic acid permeabilizes gram-negative bacteria by disrupting the outer</w:t>
        <w:br/>
        <w:br/>
        <w:t xml:space="preserve">      membrane. Applied and Environmental Microbiology, 66(5), 2001–2005.</w:t>
        <w:br/>
        <w:br/>
        <w:t>Alam, A., y Neish, A. (2018). Role of gut microbiota in intestinal wound healing and</w:t>
        <w:br/>
        <w:br/>
        <w:t xml:space="preserve">        barrier function. Tissue Barriers, 6(3), 1539595.</w:t>
        <w:br/>
        <w:br/>
        <w:t>Alexandratos, N., y Bruinsma, J. (2012). World agriculture towards 2030/2050: The 2012</w:t>
        <w:br/>
        <w:br/>
        <w:t xml:space="preserve">        revision. ESA Working paper No. 12-03. Rome, FAO.</w:t>
        <w:br/>
        <w:br/>
        <w:t>Ali, L., Goraya, M. U., Arafat, Y., Ajmal, M., Chen, J.-L., y Yu, D. (2017). Molecular</w:t>
        <w:br/>
        <w:br/>
        <w:t xml:space="preserve">      mechanism of quorum-sensing in Enterococcus faecalis: Its role in virulence and</w:t>
        <w:br/>
        <w:br/>
        <w:t xml:space="preserve">       therapeutic approaches. International Journal of Molecular Sciences, 18(5), 960.</w:t>
        <w:br/>
        <w:br/>
        <w:t>Al-Otaibi, H. S., Gashgari, R. M., Mohammed, A. E., Almojel, S. A., Elobeid, M. M., y Al</w:t>
        <w:br/>
        <w:br/>
        <w:t xml:space="preserve">      Abrahaim,  J.  S.  (2016).  Investigation  of the growth  ability  of  probiotic</w:t>
        <w:br/>
        <w:br/>
        <w:t xml:space="preserve">        (Lactobacillus  and  Bifidobacterium)   in   infant’s  milk  under   different</w:t>
        <w:br/>
        <w:br/>
        <w:t xml:space="preserve">       environmental conditions. Biomedical and Pharmacology Journal, 9(2), 451–462.</w:t>
        <w:br/>
        <w:br/>
        <w:t>Alvarez-Sieiro, P., Montalbán-López, M., Mu, D., y Kuipers, O. P. (2016). Bacteriocins of</w:t>
        <w:br/>
        <w:br/>
        <w:t xml:space="preserve">        lactic  acid  bacteria:  Extending  the  family.  Applied  Microbiology  and</w:t>
        <w:br/>
        <w:br/>
        <w:t xml:space="preserve">       Biotechnology, 100(7), 2939–2951.</w:t>
        <w:br/>
        <w:br/>
        <w:br/>
        <w:br/>
        <w:t xml:space="preserve"> 338  MARÍA BRAVO SANTILLANA</w:t>
        <w:br/>
      </w:r>
    </w:p>
    <w:p>
      <w:r>
        <w:t>Página 339:</w:t>
        <w:br/>
        <w:t xml:space="preserve">                               REF | Referencias Bibliográficas</w:t>
        <w:br/>
        <w:br/>
        <w:br/>
        <w:t>Amado, I. R., Fuciños, C., Fajardo, P., y Pastrana, L. (2016). Pediocin SA-1: A selective</w:t>
        <w:br/>
        <w:br/>
        <w:t xml:space="preserve">       bacteriocin for controlling Listeria monocytogenes in maize silages. Journal of</w:t>
        <w:br/>
        <w:br/>
        <w:t xml:space="preserve">       Dairy Science, 99(10), 8070–8080.</w:t>
        <w:br/>
        <w:br/>
        <w:t>Amat, S., Timsit, E., Baines, D., Yanke, J., y Alexander, T. W. (2019). Development of</w:t>
        <w:br/>
        <w:br/>
        <w:t xml:space="preserve">        bacterial therapeutics against the bovine respiratory pathogen Mannheimia</w:t>
        <w:br/>
        <w:br/>
        <w:t xml:space="preserve">       haemolytica. Applied and Environmental Microbiology, 85(21), e01359-19.</w:t>
        <w:br/>
        <w:br/>
        <w:t>Anderssen, E.  L., Diep, D. B., Nes,  I.  F., Eijsink, V. G., y Nissen-Meyer,  J. (1998).</w:t>
        <w:br/>
        <w:br/>
        <w:t xml:space="preserve">       Antagonistic activity of Lactobacillus plantarum C11: Two new two-peptide</w:t>
        <w:br/>
        <w:br/>
        <w:t xml:space="preserve">        bacteriocins, plantaricins EF and JK, and the induction factor plantaricin A.</w:t>
        <w:br/>
        <w:br/>
        <w:t xml:space="preserve">       Applied and Environmental Microbiology, 64(6), 2269–2272.</w:t>
        <w:br/>
        <w:br/>
        <w:t>Aranaz, A., De Juan, L., Montero, N., Sánchez, C., Galka, M., Delso, C., Alvarez, J., Romero,</w:t>
        <w:br/>
        <w:br/>
        <w:t xml:space="preserve">         B., Bezos, J., y Vela, A. I. (2004). Bovine tuberculosis (Mycobacterium bovis) in</w:t>
        <w:br/>
        <w:br/>
        <w:t xml:space="preserve">        wildlife in Spain. Journal of Clinical Microbiology, 42(6), 2602–2608.</w:t>
        <w:br/>
        <w:br/>
        <w:t>Ayele, W., Neill, S., Zinsstag, J., Weiss, M., y Pavlik, I. (2004). Bovine tuberculosis: An old</w:t>
        <w:br/>
        <w:br/>
        <w:t xml:space="preserve">       disease but a new threat to Africa. The International Journal of Tuberculosis and</w:t>
        <w:br/>
        <w:br/>
        <w:t xml:space="preserve">      Lung Disease, 8(8), 924–937.</w:t>
        <w:br/>
        <w:br/>
        <w:t>Bahrndorff, S., Alemu, T., Alemneh, T., y Lund Nielsen, J. (2016). The microbiome of</w:t>
        <w:br/>
        <w:br/>
        <w:t xml:space="preserve">       animals:  Implications  for  conservation  biology.  International  Journal  of</w:t>
        <w:br/>
        <w:br/>
        <w:t xml:space="preserve">      Genomics, 2016.</w:t>
        <w:br/>
        <w:br/>
        <w:t>Bajagai, Y. S., Klieve, A. V., Dart, P. J., y Bryden, W. L. (2016a). Probiotics in animal</w:t>
        <w:br/>
        <w:br/>
        <w:t xml:space="preserve">        nutrition: Production, impact and regulation. FAO.</w:t>
        <w:br/>
        <w:br/>
        <w:t>Baker, K. S. (2020). Microbe hunting in the modern era: Reflecting on a decade of</w:t>
        <w:br/>
        <w:br/>
        <w:t xml:space="preserve">       microbial genomic epidemiology. Current Biology, 30(19), R1124–R1130.</w:t>
        <w:br/>
        <w:br/>
        <w:br/>
        <w:t xml:space="preserve">                                           MARÍA BRAVO SANTILLANA  339</w:t>
        <w:br/>
      </w:r>
    </w:p>
    <w:p>
      <w:r>
        <w:t>Página 340:</w:t>
        <w:br/>
        <w:t>REF | Referencias Bibliográficas</w:t>
        <w:br/>
        <w:br/>
        <w:t>Bankevich, A., Nurk, S., Antipov, D., Gurevich, A. A., Dvorkin, M., Kulikov, A. S., Lesin, V.</w:t>
        <w:br/>
        <w:br/>
        <w:t xml:space="preserve">       M., Nikolenko, S. I., Pham, S., y Prjibelski, A. D. (2012). SPAdes: A new genome</w:t>
        <w:br/>
        <w:br/>
        <w:t xml:space="preserve">      assembly algorithm and its applications to single-cell sequencing. Journal of</w:t>
        <w:br/>
        <w:br/>
        <w:t xml:space="preserve">      Computational Biology, 19(5), 455–477.</w:t>
        <w:br/>
        <w:br/>
        <w:t>Barasona, J. A., Torres, M. J., Aznar, J., Gortázar, C., y Vicente, J. (2017). DNA detection</w:t>
        <w:br/>
        <w:br/>
        <w:t xml:space="preserve">       reveals Mycobacterium tuberculosis complex shedding routes in its wildlife</w:t>
        <w:br/>
        <w:br/>
        <w:t xml:space="preserve">       reservoir the Eurasian wild boar. Transboundary and Emerging Diseases, 64(3),</w:t>
        <w:br/>
        <w:br/>
        <w:t xml:space="preserve">      906–915.</w:t>
        <w:br/>
        <w:br/>
        <w:t>Bárcena, J. B., Siñeriz, F., de Llano, D. G., Rodríguez, A., y Suárez, J. E. (1998). Chemostat</w:t>
        <w:br/>
        <w:br/>
        <w:t xml:space="preserve">       Production of Plantaricin C ByLactobacillus plantarum LL441. Applied and</w:t>
        <w:br/>
        <w:br/>
        <w:t xml:space="preserve">       Environmental Microbiology, 64(9), 3512–3514.</w:t>
        <w:br/>
        <w:br/>
        <w:t>Barragán, P. J., Sanchez, O. J., y Henao-Rojas, J. C. (2020). Evaluation of the Growth</w:t>
        <w:br/>
        <w:br/>
        <w:t xml:space="preserve">        Kinetics  of  Lactobacillus Plantarum ATCC 8014 on a Medium Based on</w:t>
        <w:br/>
        <w:br/>
        <w:t xml:space="preserve">       Hydrolyzed Bovine Blood Plasma at Laboratory and Bench-Scale Levels and Its</w:t>
        <w:br/>
        <w:br/>
        <w:t xml:space="preserve">       Application as a Starter Culture in a Meat Product. Fermentation, 6(2), 45.</w:t>
        <w:br/>
        <w:br/>
        <w:t>Bédard, F., Hammami, R., Zirah, S., Rebuffat, S., Fliss, I., y Biron, E. (2018). Synthesis,</w:t>
        <w:br/>
        <w:br/>
        <w:t xml:space="preserve">       antimicrobial activity and conformational analysis of the class IIa bacteriocin</w:t>
        <w:br/>
        <w:br/>
        <w:t xml:space="preserve">       pediocin PA-1 and analogs thereof. Scientific Reports, 8(1), 1–13.</w:t>
        <w:br/>
        <w:br/>
        <w:t>Belkaid, Y., y Hand, T. W. (2014). Role of the microbiota in immunity and inflammation.</w:t>
        <w:br/>
        <w:br/>
        <w:t xml:space="preserve">         Cell, 157(1), 121–141.</w:t>
        <w:br/>
        <w:br/>
        <w:t>Beltrán-Beck, B., Ballesteros, C., Vicente,  J., De la Fuente,  J., y Gortázar, C. (2012).</w:t>
        <w:br/>
        <w:br/>
        <w:t xml:space="preserve">       Progress in oral vaccination against tuberculosis in its main wildlife reservoir in</w:t>
        <w:br/>
        <w:br/>
        <w:t xml:space="preserve">        Iberia, the Eurasian wild boar. Veterinary Medicine International, 2012.</w:t>
        <w:br/>
        <w:br/>
        <w:br/>
        <w:br/>
        <w:t xml:space="preserve"> 340  MARÍA BRAVO SANTILLANA</w:t>
        <w:br/>
      </w:r>
    </w:p>
    <w:p>
      <w:r>
        <w:t>Página 341:</w:t>
        <w:br/>
        <w:t xml:space="preserve">                               REF | Referencias Bibliográficas</w:t>
        <w:br/>
        <w:br/>
        <w:br/>
        <w:t>Braïek, O.B., y Smaoui, S. (2019). Enterococci: Between emerging pathogens and</w:t>
        <w:br/>
        <w:br/>
        <w:t xml:space="preserve">       potential probiotics. BioMed Research International, 2019.</w:t>
        <w:br/>
        <w:br/>
        <w:t>Bene, K. P., Kavanaugh, D. W., Leclaire, C., Gunning, A. P., MacKenzie, D. A., Wittmann,</w:t>
        <w:br/>
        <w:br/>
        <w:t xml:space="preserve">        A., Young, I. D., Kawasaki, N., Rajnavolgyi, E., y Juge, N. (2017). Lactobacillus</w:t>
        <w:br/>
        <w:br/>
        <w:t xml:space="preserve">        reuteri surface mucus adhesins upregulate inflammatory responses through</w:t>
        <w:br/>
        <w:br/>
        <w:t xml:space="preserve">       interactions with innate C-type lectin receptors. Frontiers in Microbiology, 8,</w:t>
        <w:br/>
        <w:br/>
        <w:t xml:space="preserve">       321.</w:t>
        <w:br/>
        <w:br/>
        <w:t>Bizani, D., y Brandelli, A. (2002). Characterization of a bacteriocin produced by a newly</w:t>
        <w:br/>
        <w:br/>
        <w:t xml:space="preserve">       isolated Bacillus sp. Strain 8 A. Journal of Applied Microbiology, 93(3), 512–519.</w:t>
        <w:br/>
        <w:br/>
        <w:t>Blumenthal, D. K., y Garrison, J. C. (2011). Pharmacodynamics: Molecular mechanisms</w:t>
        <w:br/>
        <w:br/>
        <w:t xml:space="preserve">       of  drug  action. Goodman and  Gilman’s  the  Pharmacological  Basis  of</w:t>
        <w:br/>
        <w:br/>
        <w:t xml:space="preserve">       Therapeutics. San Diego: The McGraw-Hill Companies, 41–71.</w:t>
        <w:br/>
        <w:br/>
        <w:t>Boadella, M., Vicente, J., Ruiz-Fons, F., De la Fuente, J., y Gortázar, C. (2012). Effects of</w:t>
        <w:br/>
        <w:br/>
        <w:t xml:space="preserve">        culling Eurasian wild boar on the prevalence of Mycobacterium bovis and</w:t>
        <w:br/>
        <w:br/>
        <w:t xml:space="preserve">       Aujeszky’s disease virus. Preventive Veterinary Medicine, 107(3–4), 214–221.</w:t>
        <w:br/>
        <w:br/>
        <w:t>Boitani, L. (1992). Aging wild boar (Sus scrofa) by tooth eruption. Ongules/Ungulates,</w:t>
        <w:br/>
        <w:br/>
        <w:t xml:space="preserve">       91, 419–421.</w:t>
        <w:br/>
        <w:br/>
        <w:t>Borsuk, S., Mendum, T. A., Fagundes, M. Q., Michelon, M., Cunha, C. W., McFadden, J.,</w:t>
        <w:br/>
        <w:br/>
        <w:t xml:space="preserve">       y Dellagostin, O. A. (2007). Auxotrophic complementation as a selectable marker</w:t>
        <w:br/>
        <w:br/>
        <w:t xml:space="preserve">        for  stable  expression  of  foreign  antigens  in Mycobacterium  bovis BCG.</w:t>
        <w:br/>
        <w:br/>
        <w:t xml:space="preserve">       Tuberculosis, 87(6), 474–480.</w:t>
        <w:br/>
        <w:br/>
        <w:br/>
        <w:br/>
        <w:br/>
        <w:br/>
        <w:t xml:space="preserve">                                           MARÍA BRAVO SANTILLANA  341</w:t>
        <w:br/>
      </w:r>
    </w:p>
    <w:p>
      <w:r>
        <w:t>Página 342:</w:t>
        <w:br/>
        <w:t>REF | Referencias Bibliográficas</w:t>
        <w:br/>
        <w:br/>
        <w:t>Bravo, M. (2019). Resistencias antimicrobianas: A propósito de una investigación sobre</w:t>
        <w:br/>
        <w:br/>
        <w:t xml:space="preserve">        la prevalencia en trabajadores de la Universidad de Extremadura. Servicio de</w:t>
        <w:br/>
        <w:br/>
        <w:t xml:space="preserve">       Publicaciones de la Universidad de Extremadura.</w:t>
        <w:br/>
        <w:br/>
        <w:t>Bravo, M., Iglesias, R., y Palomo, G. (2020). Situación del sector ovino y caprino en</w:t>
        <w:br/>
        <w:br/>
        <w:t xml:space="preserve">       España. In Principales enfermedades infecciosas y parasitarias del ganado ovino</w:t>
        <w:br/>
        <w:br/>
        <w:t xml:space="preserve">       y caprino en España (pp. 19–40). Servicio de Publicaciones UEx.</w:t>
        <w:br/>
        <w:br/>
        <w:t>Briones, V., De Juan, L., Sánchez, C., Vela, A.-I., y Galka, M. (2000). Bovine tuberculosis</w:t>
        <w:br/>
        <w:br/>
        <w:t xml:space="preserve">      and the endangered Iberian lynx. Emerging Infectious Diseases, 6(2), 189.</w:t>
        <w:br/>
        <w:br/>
        <w:t>Broadbent, J. R., Neeno-Eckwall, E. C., Stahl, B., Tandee, K., Cai, H., Morovic, W., Horvath,</w:t>
        <w:br/>
        <w:br/>
        <w:t xml:space="preserve">         P., Heidenreich,  J., Perna, N.  T., y Barrangou, R. (2012). Analysis of the</w:t>
        <w:br/>
        <w:br/>
        <w:t xml:space="preserve">       Lactobacillus casei supragenome and its influence in species evolution and</w:t>
        <w:br/>
        <w:br/>
        <w:t xml:space="preserve">         lifestyle adaptation. BMC Genomics, 13(1), 1–18.</w:t>
        <w:br/>
        <w:br/>
        <w:t>Brosch, R., Gordon, S. V., Buchrieser, C., Pym, A. S., Garnier, T., y Cole, S. T. (2000).</w:t>
        <w:br/>
        <w:br/>
        <w:t xml:space="preserve">      Comparative genomics uncovers large tandem chromosomal duplications in</w:t>
        <w:br/>
        <w:br/>
        <w:t xml:space="preserve">      Mycobacterium bovis BCG Pasteur. Yeast, 17(2), 111–123.</w:t>
        <w:br/>
        <w:br/>
        <w:t>Buddle, B. M., Vordermeier, H. M., Chambers, M. A., y de Klerk-Lorist, L.-M. (2018).</w:t>
        <w:br/>
        <w:br/>
        <w:t xml:space="preserve">        Efficacy and safety of BCG vaccine for control of tuberculosis in domestic</w:t>
        <w:br/>
        <w:br/>
        <w:t xml:space="preserve">        livestock and wildlife. Frontiers in Veterinary Science, 5, 259.</w:t>
        <w:br/>
        <w:br/>
        <w:t>Buffie, C. G., y Pamer, E. G. (2013). Microbiota-mediated colonization resistance against</w:t>
        <w:br/>
        <w:br/>
        <w:t xml:space="preserve">        intestinal pathogens. Nature Reviews Immunology, 13(11), 790–801.</w:t>
        <w:br/>
        <w:br/>
        <w:t>Busarcevic, M., y Dalgalarrondo, M. (2012). Purification and genetic characterisation of</w:t>
        <w:br/>
        <w:br/>
        <w:t xml:space="preserve">       the novel bacteriocin LS2 produced by the human oral strain Lactobacillus</w:t>
        <w:br/>
        <w:br/>
        <w:t xml:space="preserve">        salivarius BGHO1. International Journal of Antimicrobial Agents, 40(2), 127–134.</w:t>
        <w:br/>
        <w:br/>
        <w:br/>
        <w:br/>
        <w:t xml:space="preserve"> 342  MARÍA BRAVO SANTILLANA</w:t>
        <w:br/>
      </w:r>
    </w:p>
    <w:p>
      <w:r>
        <w:t>Página 343:</w:t>
        <w:br/>
        <w:t xml:space="preserve">                               REF | Referencias Bibliográficas</w:t>
        <w:br/>
        <w:br/>
        <w:br/>
        <w:t>Byers, S. R., y Kramer, J. W. (2010). Normal hematology of sheep and goats. In Schalm’s</w:t>
        <w:br/>
        <w:br/>
        <w:t xml:space="preserve">       Veterinary Hematology (6th ed., pp. 862–869). Blackwell Publishing.</w:t>
        <w:br/>
        <w:br/>
        <w:t>Byrne, A. W., Allen, A. R., O’Brien, D. J., y Miller, M. A. (2019). Bovine Tuberculosis—</w:t>
        <w:br/>
        <w:br/>
        <w:t xml:space="preserve">       International Perspectives on Epidemiology and Management. Frontiers in</w:t>
        <w:br/>
        <w:br/>
        <w:t xml:space="preserve">       Veterinary Science, 6, 202.</w:t>
        <w:br/>
        <w:br/>
        <w:t>Cambier, C., Falkow, S., y Ramakrishnan, L. (2014). Host evasion and exploitation</w:t>
        <w:br/>
        <w:br/>
        <w:t xml:space="preserve">      schemes of Mycobacterium tuberculosis. Cell, 159(7), 1497–1509.</w:t>
        <w:br/>
        <w:br/>
        <w:t>Campedelli, I., Mathur, H., Salvetti, E., Clarke, S., Rea, M. C., Torriani, S., Ross, R. P., Hill,</w:t>
        <w:br/>
        <w:br/>
        <w:t xml:space="preserve">         C., y O’Toole, P. W. (2019). Genus-wide assessment of antibiotic resistance in</w:t>
        <w:br/>
        <w:br/>
        <w:t xml:space="preserve">       Lactobacillus spp. Applied and Environmental Microbiology, 85(1), e01738-18.</w:t>
        <w:br/>
        <w:br/>
        <w:t>Carattoli, A., Zankari,  E., García-Fernández, A., Larsen, M.  V., Lund, O.,  Villa,  L.,</w:t>
        <w:br/>
        <w:br/>
        <w:t xml:space="preserve">       Aarestrup, F. M., y Hasman, H. (2014). In silico detection and typing of plasmids</w:t>
        <w:br/>
        <w:br/>
        <w:t xml:space="preserve">       using PlasmidFinder and plasmid multilocus sequence typing. Antimicrobial</w:t>
        <w:br/>
        <w:br/>
        <w:t xml:space="preserve">      Agents and Chemotherapy, 58(7), 3895–3903.</w:t>
        <w:br/>
        <w:br/>
        <w:t>Cardona, P., Marzo-Escartín, E., Tapia, G., Díaz, J., García, V., Varela, I., Vilaplana, C., y</w:t>
        <w:br/>
        <w:br/>
        <w:t xml:space="preserve">       Cardona,  P.-J.  (2016).  Oral  administration  of  heat-killed Mycobacterium</w:t>
        <w:br/>
        <w:br/>
        <w:t xml:space="preserve">       manresensis delays progression toward active tuberculosis in C3HeB/FeJ mice.</w:t>
        <w:br/>
        <w:br/>
        <w:t xml:space="preserve">       Frontiers in Microbiology, 6, 1482.</w:t>
        <w:br/>
        <w:br/>
        <w:t>Casadei, G., Grilli, E., y Piva, A. (2009). Pediocin A modulates intestinal microflora</w:t>
        <w:br/>
        <w:br/>
        <w:t xml:space="preserve">      metabolism in swine in vitro intestinal fermentations. Journal of Animal Science,</w:t>
        <w:br/>
        <w:br/>
        <w:t xml:space="preserve">        87(6), 2020–2028.</w:t>
        <w:br/>
        <w:br/>
        <w:t>Cebrián, R., Rodríguez-Cabezas, M. E., Martín-Escolano, R., Rubiño, S., Garrido-Barros,</w:t>
        <w:br/>
        <w:br/>
        <w:t xml:space="preserve">       M., Montalbán-López, M., Rosales, M. J., Sánchez-Moreno, M., Valdivia, E., y</w:t>
        <w:br/>
        <w:br/>
        <w:br/>
        <w:t xml:space="preserve">                                           MARÍA BRAVO SANTILLANA  343</w:t>
        <w:br/>
      </w:r>
    </w:p>
    <w:p>
      <w:r>
        <w:t>Página 344:</w:t>
        <w:br/>
        <w:t>REF | Referencias Bibliográficas</w:t>
        <w:br/>
        <w:br/>
        <w:t xml:space="preserve">       Martínez-Bueno, M. (2019). Preclinical studies of toxicity and safety of the AS-48</w:t>
        <w:br/>
        <w:br/>
        <w:t xml:space="preserve">        bacteriocin. Journal of Advanced Research, 20, 129–139.</w:t>
        <w:br/>
        <w:br/>
        <w:t>Cetinkaya, Y., Falk, P., y Mayhall, C. G. (2000). Vancomycin-resistant enterococci. Clinical</w:t>
        <w:br/>
        <w:br/>
        <w:t xml:space="preserve">       Microbiology Reviews, 13(4), 686–707.</w:t>
        <w:br/>
        <w:br/>
        <w:t>Che’Amat, A., Armenteros, J. A., González-Barrio, D., Lima, J., Díez-Delgado, I., Barasona,</w:t>
        <w:br/>
        <w:br/>
        <w:t xml:space="preserve">           J. A., Romero, B., Lyashchenko, K. P., Ortiz, J.-A., y Gortázar, C. (2016). Is targeted</w:t>
        <w:br/>
        <w:br/>
        <w:t xml:space="preserve">      removal a suitable means for tuberculosis control in wild boar? Preventive</w:t>
        <w:br/>
        <w:br/>
        <w:t xml:space="preserve">       Veterinary Medicine, 135, 132–135.</w:t>
        <w:br/>
        <w:br/>
        <w:t>Chen, Y. E., Fischbach, M. A., y Belkaid, Y. (2018). Skin microbiota–host interactions.</w:t>
        <w:br/>
        <w:br/>
        <w:t xml:space="preserve">       Nature, 553(7689), 427–436.</w:t>
        <w:br/>
        <w:br/>
        <w:t>Ch’ng, J.-H., Chong, K. K., Lam, L. N., Wong, J. J., y Kline, K. A. (2019). Biofilm-associated</w:t>
        <w:br/>
        <w:br/>
        <w:t xml:space="preserve">        infection by enterococci. Nature Reviews Microbiology, 17(2), 82–94.</w:t>
        <w:br/>
        <w:br/>
        <w:t>Cho, S. W., Yang, J., Park, S., Kim, B., y Seo, S. W. (2019). Complete Genome Sequence</w:t>
        <w:br/>
        <w:br/>
        <w:t xml:space="preserve">       of Lactic Acid Bacterium Pediococcus acidilactici Strain ATCC 8042, an Autolytic</w:t>
        <w:br/>
        <w:br/>
        <w:t xml:space="preserve">        Anti-bacterial Peptidoglycan Hydrolase Producer. Biotechnology and Bioprocess</w:t>
        <w:br/>
        <w:br/>
        <w:t xml:space="preserve">       Engineering, 24(3), 483–487.</w:t>
        <w:br/>
        <w:br/>
        <w:t>Choi, E. A., y Chang, H. C. (2015). Cholesterol-lowering effects of a putative probiotic</w:t>
        <w:br/>
        <w:br/>
        <w:t xml:space="preserve">        strain Lactobacillus plantarum EM isolated from kimchi. LWT-Food Science and</w:t>
        <w:br/>
        <w:br/>
        <w:t xml:space="preserve">       Technology, 62(1), 210–217.</w:t>
        <w:br/>
        <w:br/>
        <w:t>Cicenia, A., Scirocco, A., Carabotti, M., Pallotta, L., Marignani, M., y Severi, C. (2014).</w:t>
        <w:br/>
        <w:br/>
        <w:t xml:space="preserve">       Postbiotic   activities  of  lactobacilli-derived  factors.  Journal  of   Clinical</w:t>
        <w:br/>
        <w:br/>
        <w:t xml:space="preserve">       Gastroenterology, 48, S18–S22.</w:t>
        <w:br/>
        <w:br/>
        <w:br/>
        <w:br/>
        <w:br/>
        <w:br/>
        <w:t xml:space="preserve"> 344  MARÍA BRAVO SANTILLANA</w:t>
        <w:br/>
      </w:r>
    </w:p>
    <w:p>
      <w:r>
        <w:t>Página 345:</w:t>
        <w:br/>
        <w:t xml:space="preserve">                               REF | Referencias Bibliográficas</w:t>
        <w:br/>
        <w:br/>
        <w:br/>
        <w:t>Cleveland,  J., Chikindas, M., y Montville, T.  J. (2002). Multimethod assessment of</w:t>
        <w:br/>
        <w:br/>
        <w:t xml:space="preserve">      commercial  nisin  preparations.  Journal  of  Industrial  Microbiology  and</w:t>
        <w:br/>
        <w:br/>
        <w:t xml:space="preserve">       Biotechnology, 29(5), 228–232.</w:t>
        <w:br/>
        <w:br/>
        <w:t>Collado, M., Vinderola, G., y Salminen, S. (2019). Postbiotics: Facts and open questions.</w:t>
        <w:br/>
        <w:br/>
        <w:t xml:space="preserve">     A position paper on the need for a consensus definition. Beneficial Microbes,</w:t>
        <w:br/>
        <w:br/>
        <w:t xml:space="preserve">        10(7), 711–719.</w:t>
        <w:br/>
        <w:br/>
        <w:t>Reglamento (CE) 429/2008 de la comisión de 25 de abril de 2008 sobre normas de</w:t>
        <w:br/>
        <w:br/>
        <w:t xml:space="preserve">       desarrollo para la aplicación del Reglamento (CE) 1831/2003 del Parlamento</w:t>
        <w:br/>
        <w:br/>
        <w:t xml:space="preserve">      Europeo y del Consejo por lo que se refiere a la preparación y presentación de</w:t>
        <w:br/>
        <w:br/>
        <w:t xml:space="preserve">        solicitudes y a la evaluación y autorización de aditivos para piensos, (2008).</w:t>
        <w:br/>
        <w:br/>
        <w:t>Coque, T. M., Singh, K. V., Weinstock, G. M., y Murray, B. E. (1999). Characterization of</w:t>
        <w:br/>
        <w:br/>
        <w:t xml:space="preserve">       Dihydrofolate   Reductase  Genes  from   Trimethoprim-Susceptible  and</w:t>
        <w:br/>
        <w:br/>
        <w:t xml:space="preserve">       Trimethoprim-Resistant Strains of Enterococcus faecalis. Antimicrobial Agents</w:t>
        <w:br/>
        <w:br/>
        <w:t xml:space="preserve">      and Chemotherapy, 43(1), 141–147.</w:t>
        <w:br/>
        <w:br/>
        <w:t>Corner, L. A. (2006). The role of wild animal populations in the epidemiology of</w:t>
        <w:br/>
        <w:br/>
        <w:t xml:space="preserve">       tuberculosis  in  domestic  animals: How  to  assess  the  risk.  Veterinary</w:t>
        <w:br/>
        <w:br/>
        <w:t xml:space="preserve">       Microbiology, 112(2–4), 303–312.</w:t>
        <w:br/>
        <w:br/>
        <w:t>Correa-Fiz, F., Blanco-Fuertes, M., Navas, M. J., Lacasta, A., Bishop, R. P., Githaka, N.,</w:t>
        <w:br/>
        <w:br/>
        <w:t xml:space="preserve">       Onzere,  C., Le  Potier,  M.-F., Almagro-Delgado,  V., y Martinez,  J. (2019).</w:t>
        <w:br/>
        <w:br/>
        <w:t xml:space="preserve">      Comparative  analysis  of  the  fecal  microbiota from  different  species  of</w:t>
        <w:br/>
        <w:br/>
        <w:t xml:space="preserve">      domesticated and wild suids. Scientific Reports, 9(1), 1–15.</w:t>
        <w:br/>
        <w:br/>
        <w:t>Cosma, C.  L., Sherman, D. R., y Ramakrishnan, L. (2003). The secret lives of the</w:t>
        <w:br/>
        <w:br/>
        <w:t xml:space="preserve">       pathogenic mycobacteria. Annual Reviews in Microbiology, 57(1), 641–676.</w:t>
        <w:br/>
        <w:br/>
        <w:br/>
        <w:t xml:space="preserve">                                           MARÍA BRAVO SANTILLANA  345</w:t>
        <w:br/>
      </w:r>
    </w:p>
    <w:p>
      <w:r>
        <w:t>Página 346:</w:t>
        <w:br/>
        <w:t>REF | Referencias Bibliográficas</w:t>
        <w:br/>
        <w:br/>
        <w:t>Rubiralta, M., Bellavista, J. (2003). Nuevos mecanismos de transferencia de tecnología.</w:t>
        <w:br/>
        <w:br/>
        <w:t xml:space="preserve">       Debilidades y oportunidades del sistema español de transferencia de tecnología.</w:t>
        <w:br/>
        <w:br/>
        <w:t xml:space="preserve">       Libro Nº 9 de la Colección de Encuentros Empresariales CONEC. Fundación Cotec</w:t>
        <w:br/>
        <w:br/>
        <w:t xml:space="preserve">       Para La Innovación Tecnológica.</w:t>
        <w:br/>
        <w:br/>
        <w:t>Cotter, P. D., Hill, C., y Ross, R. P. (2005). Bacteriocins: Developing innate immunity for</w:t>
        <w:br/>
        <w:br/>
        <w:t xml:space="preserve">       food. Nature Reviews Microbiology, 3(10), 777–788.</w:t>
        <w:br/>
        <w:br/>
        <w:t>Cumming, B. M., y Steyn, A. J. (2015). Metabolic plasticity of central carbon metabolism</w:t>
        <w:br/>
        <w:br/>
        <w:t xml:space="preserve">       protects mycobacteria. Proceedings of the National Academy of Sciences,</w:t>
        <w:br/>
        <w:br/>
        <w:t xml:space="preserve">       112(43), 13135–13136.</w:t>
        <w:br/>
        <w:br/>
        <w:t>De la Rua-Domenech, R. (2006). Human Mycobacterium bovis infection in the United</w:t>
        <w:br/>
        <w:br/>
        <w:t xml:space="preserve">      Kingdom: Incidence, risks, control measures and review of the zoonotic aspects</w:t>
        <w:br/>
        <w:br/>
        <w:t xml:space="preserve">       of bovine tuberculosis. Tuberculosis, 86(2), 77–109.</w:t>
        <w:br/>
        <w:br/>
        <w:t>de Martino, M., Lodi,  L.,  Galli,  L., y Chiappini,  E. (2019). Immune response to</w:t>
        <w:br/>
        <w:br/>
        <w:t xml:space="preserve">      Mycobacterium tuberculosis: A narrative review. Frontiers in Pediatrics, 7, 350.</w:t>
        <w:br/>
        <w:br/>
        <w:t>Deng, L., He, C., Zhou, Y., Xu, L., y Xiong, H. (2017). Ground transport stress affects</w:t>
        <w:br/>
        <w:br/>
        <w:t xml:space="preserve">       bacteria in the rumen of beef cattle: A real-time PCR analysis. Animal Science</w:t>
        <w:br/>
        <w:br/>
        <w:t xml:space="preserve">        Journal, 88(5), 790–797.</w:t>
        <w:br/>
        <w:br/>
        <w:t>Desriac, F., Defer, D., Bourgougnon, N., Brillet, B., Le Chevalier, P., y Fleury, Y. (2010).</w:t>
        <w:br/>
        <w:br/>
        <w:t xml:space="preserve">       Bacteriocin as weapons in the marine animal-associated bacteria warfare:</w:t>
        <w:br/>
        <w:br/>
        <w:t xml:space="preserve">       Inventory and potential applications as an aquaculture probiotic. Marine Drugs,</w:t>
        <w:br/>
        <w:br/>
        <w:t xml:space="preserve">        8(4), 1153–1177.</w:t>
        <w:br/>
        <w:br/>
        <w:t>Diep, D. B., Håvarstein, L. S., y Nes, I. F. (1996). Characterization of the locus responsible</w:t>
        <w:br/>
        <w:br/>
        <w:t xml:space="preserve">        for the bacteriocin production in Lactobacillus plantarum C11. Journal of</w:t>
        <w:br/>
        <w:br/>
        <w:t xml:space="preserve">       Bacteriology, 178(15), 4472–4483.</w:t>
        <w:br/>
        <w:br/>
        <w:t xml:space="preserve"> 346  MARÍA BRAVO SANTILLANA</w:t>
        <w:br/>
      </w:r>
    </w:p>
    <w:p>
      <w:r>
        <w:t>Página 347:</w:t>
        <w:br/>
        <w:t xml:space="preserve">                               REF | Referencias Bibliográficas</w:t>
        <w:br/>
        <w:br/>
        <w:br/>
        <w:t>Diep, D. B., Straume, D., Kjos, M., Torres, C., y Nes, I. F. (2009). An overview of the mosaic</w:t>
        <w:br/>
        <w:br/>
        <w:t xml:space="preserve">       bacteriocin pln loci from Lactobacillus plantarum. Peptides, 30(8), 1562–1574.</w:t>
        <w:br/>
        <w:br/>
        <w:t>Díez-Delgado, I., Rodríguez, O., Boadella, M., Garrido, J. M., Sevilla, I. A., Bezos, J., Juste,</w:t>
        <w:br/>
        <w:br/>
        <w:t xml:space="preserve">         R., Domínguez,  L., y Gortázar, C. (2017). Parenteral vaccination with heat-</w:t>
        <w:br/>
        <w:br/>
        <w:t xml:space="preserve">       inactivated mycobacterium bovis reduces the prevalence of  tuberculosis-</w:t>
        <w:br/>
        <w:br/>
        <w:t xml:space="preserve">       compatible lesions in farmed wild boar. Transboundary and Emerging Diseases,</w:t>
        <w:br/>
        <w:br/>
        <w:t xml:space="preserve">        64(5), e18–e21.</w:t>
        <w:br/>
        <w:br/>
        <w:t>Díez-Delgado, I., Sevilla, I. A., Romero, B., Tanner, E., Barasona, J. A., White, A. R., Lurz,</w:t>
        <w:br/>
        <w:br/>
        <w:t xml:space="preserve">        P. W., Boots, M., de la Fuente, J., y Dominguez, L. (2018). Impact of piglet oral</w:t>
        <w:br/>
        <w:br/>
        <w:t xml:space="preserve">       vaccination against tuberculosis in endemic free-ranging wild boar populations.</w:t>
        <w:br/>
        <w:br/>
        <w:t xml:space="preserve">       Preventive Veterinary Medicine, 155, 11–20.</w:t>
        <w:br/>
        <w:br/>
        <w:t>Díez-Delgado, I., Sevilla, I. A., Garrido, J. M., Romero, B., Geijo, M. V., Dominguez, L.,</w:t>
        <w:br/>
        <w:br/>
        <w:t xml:space="preserve">        Juste, R. A., Aranaz, A., de la Fuente,  J., y Gortazar, C. (2019). Tuberculosis</w:t>
        <w:br/>
        <w:br/>
        <w:t xml:space="preserve">       vaccination  sequence  effect  on  protection  in  wild  boar.  Comparative</w:t>
        <w:br/>
        <w:br/>
        <w:t xml:space="preserve">      Immunology, Microbiology and Infectious Diseases, 66, 101329.</w:t>
        <w:br/>
        <w:br/>
        <w:t>Dimitrieva-Moats, G. Y., y Ünlü, G. (2012). Development of freeze-dried bacteriocin-</w:t>
        <w:br/>
        <w:br/>
        <w:t xml:space="preserve">       containing  preparations  from   lactic  acid  bacteria  to   inhibit   Listeria</w:t>
        <w:br/>
        <w:br/>
        <w:t xml:space="preserve">      monocytogenes and  Staphylococcus  aureus.  Probiotics and  Antimicrobial</w:t>
        <w:br/>
        <w:br/>
        <w:t xml:space="preserve">        Proteins, 4(1), 27–38.</w:t>
        <w:br/>
        <w:br/>
        <w:t>Dina, J., Malbruny, B., y Leclercq, R. (2003). Nonsense mutations in the lsa-like gene in</w:t>
        <w:br/>
        <w:br/>
        <w:t xml:space="preserve">       Enterococcus faecalis isolates susceptible to lincosamides and streptogramins A.</w:t>
        <w:br/>
        <w:br/>
        <w:t xml:space="preserve">       Antimicrobial Agents and Chemotherapy, 47(7), 2307–2309.</w:t>
        <w:br/>
        <w:br/>
        <w:br/>
        <w:br/>
        <w:br/>
        <w:t xml:space="preserve">                                           MARÍA BRAVO SANTILLANA  347</w:t>
        <w:br/>
      </w:r>
    </w:p>
    <w:p>
      <w:r>
        <w:t>Página 348:</w:t>
        <w:br/>
        <w:t>REF | Referencias Bibliográficas</w:t>
        <w:br/>
        <w:br/>
        <w:t>Dolasia, K., Bisht, M. K., Pradhan, G., Udgata, A., y Mukhopadhyay, S. (2018). TLRs/NLRs:</w:t>
        <w:br/>
        <w:br/>
        <w:t xml:space="preserve">       Shaping the landscape of host immunity. International Reviews of Immunology,</w:t>
        <w:br/>
        <w:br/>
        <w:t xml:space="preserve">        37(1), 3–19.</w:t>
        <w:br/>
        <w:br/>
        <w:t>du Teil Espina, M., Gabarrini, G., Harmsen, H. J., Westra, J., van Winkelhoff, A. J., y van</w:t>
        <w:br/>
        <w:br/>
        <w:t xml:space="preserve">          Dijl,  J. M. (2019). Talk to your gut: The oral-gut microbiome axis and  its</w:t>
        <w:br/>
        <w:br/>
        <w:t xml:space="preserve">      immunomodulatory  role  in  the  etiology  of  rheumatoid  arthritis. FEMS</w:t>
        <w:br/>
        <w:br/>
        <w:t xml:space="preserve">       Microbiology Reviews, 43(1), 1–18.</w:t>
        <w:br/>
        <w:br/>
        <w:t>Duar, R. M., Lin, X. B., Zheng, J., Martino, M. E., Grenier, T., Pérez-Muñoz, M. E., Leulier,</w:t>
        <w:br/>
        <w:br/>
        <w:t xml:space="preserve">         F., Gänzle, M., y Walter, J. (2017). Lifestyles in transition: Evolution and natural</w:t>
        <w:br/>
        <w:br/>
        <w:t xml:space="preserve">       history of the genus Lactobacillus. FEMS Microbiology Reviews, 41(Supp_1), S27–</w:t>
        <w:br/>
        <w:br/>
        <w:t xml:space="preserve">       S48.</w:t>
        <w:br/>
        <w:br/>
        <w:t>Ducarmon, Q., Zwittink, R., Hornung, B., van Schaik, W., Young, V., y Kuijper, E. (2019).</w:t>
        <w:br/>
        <w:br/>
        <w:t xml:space="preserve">      Gut microbiota and colonization resistance against bacterial enteric infection.</w:t>
        <w:br/>
        <w:br/>
        <w:t xml:space="preserve">       Microbiology and Molecular Biology Reviews, 83(3), e00007-19.</w:t>
        <w:br/>
        <w:br/>
        <w:t>Dumas, A., Corral, D., Colom, A., Levillain, F., Peixoto, A., Hudrisier, D., Poquet, Y., y</w:t>
        <w:br/>
        <w:br/>
        <w:t xml:space="preserve">       Neyrolles, O. (2018). The host microbiota contributes to early protection against</w:t>
        <w:br/>
        <w:br/>
        <w:t xml:space="preserve">       lung colonization by Mycobacterium tuberculosis. Frontiers in Immunology, 9,</w:t>
        <w:br/>
        <w:br/>
        <w:t xml:space="preserve">       2656.</w:t>
        <w:br/>
        <w:br/>
        <w:t>Dunbar, K. L., Scharf, D. H., Litomska, A., y Hertweck, C. (2017). Enzymatic carbon–sulfur</w:t>
        <w:br/>
        <w:br/>
        <w:t xml:space="preserve">      bond formation in natural product biosynthesis. Chemical Reviews, 117(8),</w:t>
        <w:br/>
        <w:br/>
        <w:t xml:space="preserve">      5521–5577.</w:t>
        <w:br/>
        <w:br/>
        <w:t>Dwivedi, M., Kumar, P., Laddha, N. C., y Kemp, E. H. (2016). Induction of regulatory T</w:t>
        <w:br/>
        <w:br/>
        <w:t xml:space="preserve">         cells: A  role  for  probiotics and  prebiotics to suppress autoimmunity.  In</w:t>
        <w:br/>
        <w:br/>
        <w:br/>
        <w:br/>
        <w:t xml:space="preserve"> 348  MARÍA BRAVO SANTILLANA</w:t>
        <w:br/>
      </w:r>
    </w:p>
    <w:p>
      <w:r>
        <w:t>Página 349:</w:t>
        <w:br/>
        <w:t xml:space="preserve">                               REF | Referencias Bibliográficas</w:t>
        <w:br/>
        <w:br/>
        <w:br/>
        <w:t xml:space="preserve">      Autoimmunity  Reviews  (Vol.  15,  Issue  4,  pp.  379–392).  Elsevier  B.V.</w:t>
        <w:br/>
        <w:br/>
        <w:t xml:space="preserve">       https://doi.org/10.1016/j.autrev.2016.01.002</w:t>
        <w:br/>
        <w:br/>
        <w:t>EFSA Panel on Additives and Products or Substances used in Animal Feed (FEEDAP).</w:t>
        <w:br/>
        <w:br/>
        <w:t xml:space="preserve">       (2012). Guidance on the assessment of bacterial susceptibility to antimicrobials</w:t>
        <w:br/>
        <w:br/>
        <w:t xml:space="preserve">       of human and veterinary importance. EFSA Journal, 10(6), 2740.</w:t>
        <w:br/>
        <w:br/>
        <w:t>EFSA Panel on Biological Hazards (BIOHAZ), Koutsoumanis, K., Allende, A., Alvarez-</w:t>
        <w:br/>
        <w:br/>
        <w:t xml:space="preserve">      Ordóñez, A., Bolton, D., Bover-Cid, S., Chemaly, M., Davies, R., De Cesare, A.,</w:t>
        <w:br/>
        <w:br/>
        <w:t xml:space="preserve">        Hilbert, F., Lindqvist, R., Nauta, M., Peixe, L., Ru, G., Simmons, M., Skandamis, P.,</w:t>
        <w:br/>
        <w:br/>
        <w:t xml:space="preserve">        Suffredini, E., Cocconcelli, P. S., Fernández Escámez, P. S., … Herman, L. (2021).</w:t>
        <w:br/>
        <w:br/>
        <w:t xml:space="preserve">      Update of the list of QPS-recommended biological agents intentionally added to</w:t>
        <w:br/>
        <w:br/>
        <w:t xml:space="preserve">      food or feed as notified to EFSA 13: Suitability of taxonomic units notified to EFSA</w:t>
        <w:br/>
        <w:br/>
        <w:t xml:space="preserve">        until September 2020. EFSA Journal, 19(1), e06377.</w:t>
        <w:br/>
        <w:br/>
        <w:t>Ekblad, B., Kyriakou, P. K., Oppegård, C., Nissen-Meyer, J., Kaznessis, Y. N., y Kristiansen,</w:t>
        <w:br/>
        <w:br/>
        <w:t xml:space="preserve">        P.  E.  (2016).  Structure–function  analysis  of the two-peptide  bacteriocin</w:t>
        <w:br/>
        <w:br/>
        <w:t xml:space="preserve">        plantaricin EF. Biochemistry, 55(36), 5106–5116.</w:t>
        <w:br/>
        <w:br/>
        <w:t>Espinosa-Santos, V. (2010). Difusión y divulgación de la investigación científica. Idesia</w:t>
        <w:br/>
        <w:br/>
        <w:t xml:space="preserve">        (Arica), 28(3), 5–6.</w:t>
        <w:br/>
        <w:br/>
        <w:t>EUCAST. (2021). The European Committee on Antimicrobial Susceptibility Testing.</w:t>
        <w:br/>
        <w:br/>
        <w:t xml:space="preserve">       Breakpoint tables for interpretation of MICs and zone diameters. Version 11.0,</w:t>
        <w:br/>
        <w:br/>
        <w:t xml:space="preserve">       2021. Http://www.eucast.org.</w:t>
        <w:br/>
        <w:br/>
        <w:t>European Commission. (2017). Commission regulation (EU) 2017/1017 of 15 June 2017</w:t>
        <w:br/>
        <w:br/>
        <w:t xml:space="preserve">      amending Regulation (EU) No 68/2013 on the catalogue of feed materials.</w:t>
        <w:br/>
        <w:br/>
        <w:t xml:space="preserve">        Official J, 50, 48–119.</w:t>
        <w:br/>
        <w:br/>
        <w:br/>
        <w:t xml:space="preserve">                                           MARÍA BRAVO SANTILLANA  349</w:t>
        <w:br/>
      </w:r>
    </w:p>
    <w:p>
      <w:r>
        <w:t>Página 350:</w:t>
        <w:br/>
        <w:t>REF | Referencias Bibliográficas</w:t>
        <w:br/>
        <w:br/>
        <w:t>European Food Safety Authority (EFSA). (2007). Introduction of a Qualified Presumption</w:t>
        <w:br/>
        <w:br/>
        <w:t xml:space="preserve">       of Safety (QPS) approach for assessment of selected microorganisms referred to</w:t>
        <w:br/>
        <w:br/>
        <w:t xml:space="preserve">       EFSA-Opinion of the Scientific Committee. EFSA Journal, 5(12), 587.</w:t>
        <w:br/>
        <w:br/>
        <w:t>FAO/WHO, E. C. (2001). Health and nutritional properties of probiotics in food including</w:t>
        <w:br/>
        <w:br/>
        <w:t xml:space="preserve">      powder milk with live lactic acid bacteria. Report of a Joint FAO/WHO Expert</w:t>
        <w:br/>
        <w:br/>
        <w:t xml:space="preserve">       Consultation on Evaluation of Health and Nutritional Properties of Probiotics in</w:t>
        <w:br/>
        <w:br/>
        <w:t xml:space="preserve">      Food Including Powder Milk with Live Lactic Acid Bacteria.</w:t>
        <w:br/>
        <w:br/>
        <w:t>Fayol-Messaoudi, D., Berger, C. N., Coconnier-Polter, M.-H., Lievin-Le Moal, V., y Servin,</w:t>
        <w:br/>
        <w:br/>
        <w:t xml:space="preserve">       A.  L. (2005). PH-, Lactic acid-, and non-lactic acid-dependent  activities of</w:t>
        <w:br/>
        <w:br/>
        <w:t xml:space="preserve">       probiotic Lactobacilli against Salmonella enterica Serovar Typhimurium. Applied</w:t>
        <w:br/>
        <w:br/>
        <w:t xml:space="preserve">      and Environmental Microbiology, 71(10), 6008–6013.</w:t>
        <w:br/>
        <w:br/>
        <w:t>Fellag, M., Gouba, N., Bedotto, M., Sakana, M., Zingué, D., Tarnagda, Z., Million, M., y</w:t>
        <w:br/>
        <w:br/>
        <w:t xml:space="preserve">       Drancourt, M.  (2020).  Culturomics  Discloses  Anti-Tubercular  Enterococci</w:t>
        <w:br/>
        <w:br/>
        <w:t xml:space="preserve">       Exclusive of Pulmonary Tuberculosis: A Preliminary Report. Microorganisms,</w:t>
        <w:br/>
        <w:br/>
        <w:t xml:space="preserve">        8(10), 1544.</w:t>
        <w:br/>
        <w:br/>
        <w:t>Fernández-Llario, P. (2006). Jabalí (Sus scrofa). In Carrascal, L.M. y Salvador, A. (Eds.),</w:t>
        <w:br/>
        <w:br/>
        <w:t xml:space="preserve">       Enciclopedia Virtual de los Vertebrados Españoles.</w:t>
        <w:br/>
        <w:br/>
        <w:t>Ferran, A. A., Toutain, P.-L., y Bousquet-Mélou, A. (2011). Impact of early versus later</w:t>
        <w:br/>
        <w:br/>
        <w:t xml:space="preserve">       fluoroquinolone treatment on the  clinical;  microbiological and  resistance</w:t>
        <w:br/>
        <w:br/>
        <w:t xml:space="preserve">      outcomes in a mouse-lung model of Pasteurella multocida infection. Veterinary</w:t>
        <w:br/>
        <w:br/>
        <w:t xml:space="preserve">       Microbiology, 148(2–4), 292–297.</w:t>
        <w:br/>
        <w:br/>
        <w:t>Fisher, K., y Phillips, C. (2009). The ecology, epidemiology and virulence of Enterococcus.</w:t>
        <w:br/>
        <w:br/>
        <w:t xml:space="preserve">       Microbiology, 155(6), 1749–1757.</w:t>
        <w:br/>
        <w:br/>
        <w:br/>
        <w:br/>
        <w:t xml:space="preserve"> 350  MARÍA BRAVO SANTILLANA</w:t>
        <w:br/>
      </w:r>
    </w:p>
    <w:p>
      <w:r>
        <w:t>Página 351:</w:t>
        <w:br/>
        <w:t xml:space="preserve">                               REF | Referencias Bibliográficas</w:t>
        <w:br/>
        <w:br/>
        <w:br/>
        <w:t>Fitzgerald, S., y Kaneene, J. (2013). Wildlife reservoirs of bovine tuberculosis worldwide:</w:t>
        <w:br/>
        <w:br/>
        <w:t xml:space="preserve">       Hosts, pathology, surveillance, and control. Veterinary Pathology, 50(3), 488–</w:t>
        <w:br/>
        <w:br/>
        <w:t xml:space="preserve">       499.</w:t>
        <w:br/>
        <w:br/>
        <w:t>Fleige, S., Preißinger, W., Meyer, H., y Pfaffl, M. (2007). Effect of lactulose on growth</w:t>
        <w:br/>
        <w:br/>
        <w:t xml:space="preserve">      performance and intestinal morphology of pre-ruminant calves using a milk</w:t>
        <w:br/>
        <w:br/>
        <w:t xml:space="preserve">       replacer containing Enterococcus faecium. Animal, 1(3), 367–373.</w:t>
        <w:br/>
        <w:br/>
        <w:t>Flynn, S., Van Sinderen, D., Thornton, G. M., Holo, H., Nes, I. F., y Collins, J. K. (2002).</w:t>
        <w:br/>
        <w:br/>
        <w:t xml:space="preserve">       Characterization of the genetic locus responsible for the production of ABP-118,</w:t>
        <w:br/>
        <w:br/>
        <w:t xml:space="preserve">      a novel bacteriocin produced by the probiotic bacterium Lactobacillus salivarius</w:t>
        <w:br/>
        <w:br/>
        <w:t xml:space="preserve">       subsp. Salivarius UCC118The GenBank accession number for the sequence</w:t>
        <w:br/>
        <w:br/>
        <w:t xml:space="preserve">       reported in this paper is AF408405. Microbiology, 148(4), 973–984.</w:t>
        <w:br/>
        <w:br/>
        <w:t>Foster, T. J., Geoghegan, J. A., Ganesh, V. K., y Höök, M. (2014). Adhesion, invasion and</w:t>
        <w:br/>
        <w:br/>
        <w:t xml:space="preserve">       evasion: The many functions of the surface proteins of Staphylococcus aureus.</w:t>
        <w:br/>
        <w:br/>
        <w:t xml:space="preserve">      Nature Reviews Microbiology, 12(1), 49–62.</w:t>
        <w:br/>
        <w:br/>
        <w:t>Ganguli, K., Collado, M. C., Rautava, J., Lu, L., Satokari, R., von Ossowski, I., Reunanen, J.,</w:t>
        <w:br/>
        <w:br/>
        <w:t xml:space="preserve">      de Vos, W. M., Palva, A., y Isolauri, E. (2015). Lactobacillus rhamnosus GG and its</w:t>
        <w:br/>
        <w:br/>
        <w:t xml:space="preserve">      SpaC pilus adhesin modulate inflammatory responsiveness and TLR-related gene</w:t>
        <w:br/>
        <w:br/>
        <w:t xml:space="preserve">       expression in the fetal human gut. Pediatric Research, 77(4), 528–535.</w:t>
        <w:br/>
        <w:br/>
        <w:t>Gao, H., Chi, X., Li, G., Qin, W., Song, P., Jiang, F., Liu, D., Zhang, J., Zhou, X., y Li, S. (2020).</w:t>
        <w:br/>
        <w:br/>
        <w:t xml:space="preserve">      Gut microbial diversity and stabilizing functions enhance the plateau adaptability</w:t>
        <w:br/>
        <w:br/>
        <w:t xml:space="preserve">       of Tibetan wild ass (Equus kiang). MicrobiologyOpen, e1025.</w:t>
        <w:br/>
        <w:br/>
        <w:t>García, C. E. V., Petrova, M., Claes, I. J., De Boeck, I., Verhoeven, T. L., Dilissen, E., von</w:t>
        <w:br/>
        <w:br/>
        <w:t xml:space="preserve">       Ossowski,  I., Palva, A., Bullens, D. M., y Vanderleyden, J. (2015). Piliation of</w:t>
        <w:br/>
        <w:br/>
        <w:br/>
        <w:t xml:space="preserve">                                           MARÍA BRAVO SANTILLANA  351</w:t>
        <w:br/>
      </w:r>
    </w:p>
    <w:p>
      <w:r>
        <w:t>Página 352:</w:t>
        <w:br/>
        <w:t>REF | Referencias Bibliográficas</w:t>
        <w:br/>
        <w:br/>
        <w:t xml:space="preserve">       Lactobacillus rhamnosus GG promotes adhesion, phagocytosis, and cytokine</w:t>
        <w:br/>
        <w:br/>
        <w:t xml:space="preserve">      modulation in macrophages. Applied and Environmental Microbiology, 81(6),</w:t>
        <w:br/>
        <w:br/>
        <w:t xml:space="preserve">      2050–2062.</w:t>
        <w:br/>
        <w:br/>
        <w:t>García-Jiménez, W., Fernández-Llario, P., Benítez-Medina,  J., Cerrato, R., Cuesta,  J.,</w:t>
        <w:br/>
        <w:br/>
        <w:t xml:space="preserve">       García-Sánchez, A., Gonçalves, P., Martínez, R., Risco, D., y Salguero, F. (2013).</w:t>
        <w:br/>
        <w:br/>
        <w:t xml:space="preserve">      Reducing Eurasian wild boar (Sus scrofa) population density as a measure for</w:t>
        <w:br/>
        <w:br/>
        <w:t xml:space="preserve">       bovine tuberculosis control: Effects in wild boar and a sympatric fallow deer</w:t>
        <w:br/>
        <w:br/>
        <w:t xml:space="preserve">      (Dama dama) population in Central Spain. Preventive Veterinary Medicine,</w:t>
        <w:br/>
        <w:br/>
        <w:t xml:space="preserve">       110(3–4), 435–446.</w:t>
        <w:br/>
        <w:br/>
        <w:t>García-Jiménez, W., Bravo, M., Risco, D., Gonçalves, P., Montero, M. J., Martínez, C.,</w:t>
        <w:br/>
        <w:br/>
        <w:t xml:space="preserve">       Arenas, V., Horrillo, R., y Fernández-Llario, P. (2019). Pasteurelosis ovina: Utilidad</w:t>
        <w:br/>
        <w:br/>
        <w:t xml:space="preserve">      de los cuadros lesionales para el diagnóstico. Ganadería, 123, 38–43.</w:t>
        <w:br/>
        <w:br/>
        <w:t>Garrido, J. M., Sevilla, I. A., Beltrán-Beck, B., Minguijón, E., Ballesteros, C., Galindo, R. C.,</w:t>
        <w:br/>
        <w:br/>
        <w:t xml:space="preserve">       Boadella, M., Lyashchenko, K. P., Romero, B., y Geijo, M. V. (2011). Protection</w:t>
        <w:br/>
        <w:br/>
        <w:t xml:space="preserve">       against tuberculosis in Eurasian wild boar vaccinated with heat-inactivated</w:t>
        <w:br/>
        <w:br/>
        <w:t xml:space="preserve">      Mycobacterium bovis. PloS One, 6(9), e24905.</w:t>
        <w:br/>
        <w:br/>
        <w:t>Garsa, A. K., Kumariya, R., Sood, S., Kumar, A., y Kapila, S. (2014). Bacteriocin production</w:t>
        <w:br/>
        <w:br/>
        <w:t xml:space="preserve">      and different strategies for their recovery and purification. Probiotics and</w:t>
        <w:br/>
        <w:br/>
        <w:t xml:space="preserve">       Antimicrobial Proteins, 6(1), 47–58.</w:t>
        <w:br/>
        <w:br/>
        <w:t>Gasbarrini, G., Bonvicini, F., y Gramenzi, A. (2016). Probiotics history. Journal of Clinical</w:t>
        <w:br/>
        <w:br/>
        <w:t xml:space="preserve">       Gastroenterology, 50, S116–S119.</w:t>
        <w:br/>
        <w:br/>
        <w:t>Gazzaniga, F. S., y Kasper, D. L. (2018). Wild gut microbiota protects from disease. Cell</w:t>
        <w:br/>
        <w:br/>
        <w:t xml:space="preserve">       Research, 28(2), 135–136.</w:t>
        <w:br/>
        <w:br/>
        <w:br/>
        <w:br/>
        <w:t xml:space="preserve"> 352  MARÍA BRAVO SANTILLANA</w:t>
        <w:br/>
      </w:r>
    </w:p>
    <w:p>
      <w:r>
        <w:t>Página 353:</w:t>
        <w:br/>
        <w:t xml:space="preserve">                               REF | Referencias Bibliográficas</w:t>
        <w:br/>
        <w:br/>
        <w:br/>
        <w:t>Getahun, D., Getabalew, M., Zewdie, D., Alemneh, T., y Akeberegn, D. (2019). Urea</w:t>
        <w:br/>
        <w:br/>
        <w:t xml:space="preserve">      metabolism and recycling in ruminants. BJSTR, 20, 14790–14796.</w:t>
        <w:br/>
        <w:br/>
        <w:t>Gibson, K. M., Nguyen, B. N., Neumann, L. M., Miller, M., Buss, P., Daniels, S., Ahn, M. J.,</w:t>
        <w:br/>
        <w:br/>
        <w:t xml:space="preserve">        Crandall, K. A., y Pukazhenthi, B. (2019). Gut microbiome differences between</w:t>
        <w:br/>
        <w:br/>
        <w:t xml:space="preserve">       wild and captive black rhinoceros–implications for rhino health.  Scientific</w:t>
        <w:br/>
        <w:br/>
        <w:t xml:space="preserve">       Reports, 9(1), 1–11.</w:t>
        <w:br/>
        <w:br/>
        <w:t>Gil Sánchez, J. (2003). Toxiinfecciones alimentarias: ¿una patología emergente?. Control</w:t>
        <w:br/>
        <w:br/>
        <w:t xml:space="preserve">       calidad de la Sociedad Española de Enfermedades Infecciosas y Microbiología</w:t>
        <w:br/>
        <w:br/>
        <w:t xml:space="preserve">        Clínica.                            Disponible                            en:</w:t>
        <w:br/>
        <w:br/>
        <w:t xml:space="preserve">       https://seimc.org/contenidos/ccs/revisionestematicas/bacteriologia/Toxialim.p</w:t>
        <w:br/>
        <w:br/>
        <w:t xml:space="preserve">       df</w:t>
        <w:br/>
        <w:br/>
        <w:t>Goldstein, E. J., Tyrrell, K. L., y Citron, D. M. (2015). Lactobacillus species: Taxonomic</w:t>
        <w:br/>
        <w:br/>
        <w:t xml:space="preserve">       complexity and  controversial  susceptibilities.  Clinical  Infectious  Diseases,</w:t>
        <w:br/>
        <w:br/>
        <w:t xml:space="preserve">       60(suppl_2), S98–S107.</w:t>
        <w:br/>
        <w:br/>
        <w:t>Gomes, B. C., Esteves, C. T., Palazzo, I. C., Darini, A. L. C., Felis, G. E., Sechi, L. A., Franco,</w:t>
        <w:br/>
        <w:br/>
        <w:t xml:space="preserve">        B. D., y De Martinis, E. C. (2008). Prevalence and characterization of Enterococcus</w:t>
        <w:br/>
        <w:br/>
        <w:t xml:space="preserve">       spp. Isolated from Brazilian foods. Food Microbiology, 25(5), 668–675.</w:t>
        <w:br/>
        <w:br/>
        <w:t>Gonzalez, C. F., y Kunka, B. S. (1987). Plasmid-associated bacteriocin production and</w:t>
        <w:br/>
        <w:br/>
        <w:t xml:space="preserve">       sucrose fermentation in Pediococcus acidilactici. Applied and Environmental</w:t>
        <w:br/>
        <w:br/>
        <w:t xml:space="preserve">       Microbiology, 53(10), 2534–2538.</w:t>
        <w:br/>
        <w:br/>
        <w:t>González, J., Bello, J., Rodríguez, M., Navarro, T., Lacasta, D., Fernández, A., y De las</w:t>
        <w:br/>
        <w:br/>
        <w:t xml:space="preserve">       Heras, M. (2016). Lamb feedlot production in Spain: Most relevant health issues.</w:t>
        <w:br/>
        <w:br/>
        <w:t xml:space="preserve">       Small Ruminant Research, 142, 83–87.</w:t>
        <w:br/>
        <w:br/>
        <w:br/>
        <w:t xml:space="preserve">                                           MARÍA BRAVO SANTILLANA  353</w:t>
        <w:br/>
      </w:r>
    </w:p>
    <w:p>
      <w:r>
        <w:t>Página 354:</w:t>
        <w:br/>
        <w:t>REF | Referencias Bibliográficas</w:t>
        <w:br/>
        <w:br/>
        <w:t>Gordon, S. (2016). Phagocytosis: An immunobiologic process. Immunity, 44(3), 463–475.</w:t>
        <w:br/>
        <w:br/>
        <w:t>Gortázar,  C., Acevedo,  P., Ruiz-Fons,  F., y Vicente,  J. (2006). Disease  risk and</w:t>
        <w:br/>
        <w:br/>
        <w:t xml:space="preserve">      overabundance of game species. European Journal of Wildlife Research, 52, 81–</w:t>
        <w:br/>
        <w:br/>
        <w:t xml:space="preserve">       87.</w:t>
        <w:br/>
        <w:br/>
        <w:t>Gortazar, C., Diez-Delgado, I., Barasona, J. A., Vicente, J., De La Fuente, J., y Boadella, M.</w:t>
        <w:br/>
        <w:br/>
        <w:t xml:space="preserve">       (2015). The wild side of disease control at the wildlife-livestock-human interface:</w:t>
        <w:br/>
        <w:br/>
        <w:t xml:space="preserve">     A review. Frontiers in Veterinary Science, 1, 27.</w:t>
        <w:br/>
        <w:br/>
        <w:t>Gradisteanu-Pircalabioru, G., Popa, L. I., Marutescu, L., Gheorghe, I., Popa, M., Czobor</w:t>
        <w:br/>
        <w:br/>
        <w:t xml:space="preserve">       Barbu,  I., Cristescu, R., y Chifiriuc, M.-C. (2021). Bacteriocins in the Era of</w:t>
        <w:br/>
        <w:br/>
        <w:t xml:space="preserve">        Antibiotic Resistance: Rising to the Challenge. Pharmaceutics, 13(2), 196.</w:t>
        <w:br/>
        <w:br/>
        <w:t>Grossman, T. H. (2016). Tetracycline antibiotics and resistance. Cold Spring Harbor</w:t>
        <w:br/>
        <w:br/>
        <w:t xml:space="preserve">       Perspectives in Medicine, 6(4), a025387.</w:t>
        <w:br/>
        <w:br/>
        <w:t>Grove, T. L., Himes, P. M., Hwang, S., Yumerefendi, H., Bonanno, J. B., Kuhlman, B., Almo,</w:t>
        <w:br/>
        <w:br/>
        <w:t xml:space="preserve">        S. C., y Bowers, A. A. (2017). Structural insights into thioether bond formation in</w:t>
        <w:br/>
        <w:br/>
        <w:t xml:space="preserve">       the biosynthesis of sactipeptides. Journal of the American Chemical Society,</w:t>
        <w:br/>
        <w:br/>
        <w:t xml:space="preserve">       139(34), 11734–11744.</w:t>
        <w:br/>
        <w:br/>
        <w:t>Gueimonde, M., Sánchez, B., de Los Reyes-Gavilán, C. G., y Margolles, A. (2013).</w:t>
        <w:br/>
        <w:br/>
        <w:t xml:space="preserve">        Antibiotic resistance in probiotic bacteria. Frontiers in Microbiology, 4, 202.</w:t>
        <w:br/>
        <w:br/>
        <w:t>Gurevich, A., Saveliev, V., Vyahhi, N., y Tesler, G. (2013). QUAST: quality assessment tool</w:t>
        <w:br/>
        <w:br/>
        <w:t xml:space="preserve">        for genome assemblies. Bioinformatics, 29(8), 1072–1075.</w:t>
        <w:br/>
        <w:br/>
        <w:t>Gutierrez, J., Barry-Ryan, C., y Bourke, P. (2009). Antimicrobial activity of plant essential</w:t>
        <w:br/>
        <w:br/>
        <w:t xml:space="preserve">         oils using food model media: Efficacy, synergistic potential and interactions with</w:t>
        <w:br/>
        <w:br/>
        <w:t xml:space="preserve">      food components. Food Microbiology, 26(2), 142–150.</w:t>
        <w:br/>
        <w:br/>
        <w:br/>
        <w:br/>
        <w:t xml:space="preserve"> 354  MARÍA BRAVO SANTILLANA</w:t>
        <w:br/>
      </w:r>
    </w:p>
    <w:p>
      <w:r>
        <w:t>Página 355:</w:t>
        <w:br/>
        <w:t xml:space="preserve">                               REF | Referencias Bibliográficas</w:t>
        <w:br/>
        <w:br/>
        <w:br/>
        <w:t>Halim, M., Mustafa, N. A. M., Othman, M., Wasoh, H., Kapri, M. R., y Ariff, A. B. (2017).</w:t>
        <w:br/>
        <w:br/>
        <w:t xml:space="preserve">        Effect  of  encapsulant and  cryoprotectant on  the  viability  of  probiotic</w:t>
        <w:br/>
        <w:br/>
        <w:t xml:space="preserve">       Pediococcus acidilactici ATCC 8042 during freeze-drying and exposure to high</w:t>
        <w:br/>
        <w:br/>
        <w:t xml:space="preserve">        acidity, bile salts and heat. LWT-Food Science and Technology, 81, 210–216.</w:t>
        <w:br/>
        <w:br/>
        <w:t>Han, N., Qiang, Y., y Zhang, W. (2016). ANItools web: A web tool for fast genome</w:t>
        <w:br/>
        <w:br/>
        <w:t xml:space="preserve">      comparison within multiple bacterial strains. Database, 2016, baw084.</w:t>
        <w:br/>
        <w:br/>
        <w:t>Hanchi, H., Hammami, R., Gingras, H., Kourda, R., Bergeron, M. G., Ben Hamida, J.,</w:t>
        <w:br/>
        <w:br/>
        <w:t xml:space="preserve">       Ouellette, M., y Fliss, I. (2017). Inhibition of MRSA and of Clostridium difficile by</w:t>
        <w:br/>
        <w:br/>
        <w:t xml:space="preserve">       durancin 61A: synergy with bacteriocins and antibiotics. Future Microbiology,</w:t>
        <w:br/>
        <w:br/>
        <w:t xml:space="preserve">        12(3), 205–212.</w:t>
        <w:br/>
        <w:br/>
        <w:t>Hanchi, H., Mottawea, W., Sebei, K., y Hammami, R. (2018). The genus Enterococcus:</w:t>
        <w:br/>
        <w:br/>
        <w:t xml:space="preserve">      Between probiotic potential and safety concerns—An update. Frontiers in</w:t>
        <w:br/>
        <w:br/>
        <w:t xml:space="preserve">       Microbiology, 9, 1791.</w:t>
        <w:br/>
        <w:br/>
        <w:t>Harkness, J. E., Turner, P. V., VandeWoude, S., y Wheler, C. L. (2013). Harkness and</w:t>
        <w:br/>
        <w:br/>
        <w:t xml:space="preserve">      Wagner’s biology and medicine of rabbits and rodents. John Wiley y Sons.</w:t>
        <w:br/>
        <w:br/>
        <w:t>Harris, H. M., Bourin, M. J., Claesson, M. J., y O’Toole, P. W. (2017). Phylogenomics and</w:t>
        <w:br/>
        <w:br/>
        <w:t xml:space="preserve">      comparative genomics of Lactobacillus salivarius, a mammalian gut commensal.</w:t>
        <w:br/>
        <w:br/>
        <w:t xml:space="preserve">       Microbial Genomics, 3(8).</w:t>
        <w:br/>
        <w:br/>
        <w:t>Harrison, X. A., Sewell, T., Fisher, M., y Antwis, R. E. (2020). Designing probiotic therapies</w:t>
        <w:br/>
        <w:br/>
        <w:t xml:space="preserve">       with  broad-spectrum  activity  against  a  wildlife  pathogen.  Frontiers  in</w:t>
        <w:br/>
        <w:br/>
        <w:t xml:space="preserve">       Microbiology, 10, 3134.</w:t>
        <w:br/>
        <w:br/>
        <w:t>Hayden, M., West, A., y Ghosh, S. (2006). NF-κ B and the immune response. Oncogene,</w:t>
        <w:br/>
        <w:br/>
        <w:t xml:space="preserve">       25(51), 6758–6780.</w:t>
        <w:br/>
        <w:br/>
        <w:br/>
        <w:t xml:space="preserve">                                           MARÍA BRAVO SANTILLANA  355</w:t>
        <w:br/>
      </w:r>
    </w:p>
    <w:p>
      <w:r>
        <w:t>Página 356:</w:t>
        <w:br/>
        <w:t>REF | Referencias Bibliográficas</w:t>
        <w:br/>
        <w:br/>
        <w:t>He, F., Qin, X., Xu, N., Li, P., Wu, X., Duan, L., Du, Y., Fang, R., Hardwidge, P. R., y Li, N.</w:t>
        <w:br/>
        <w:br/>
        <w:t xml:space="preserve">       (2020). Pasteurella multocida Pm0442 affects virulence gene expression and</w:t>
        <w:br/>
        <w:br/>
        <w:t xml:space="preserve">       targets TLR2 to induce inflammatory responses. Frontiers in Microbiology, 11,</w:t>
        <w:br/>
        <w:br/>
        <w:t xml:space="preserve">       1972.</w:t>
        <w:br/>
        <w:br/>
        <w:t>He, Y., Wen, Q., Yao, F., Xu, D., Huang, Y., y Wang, J. (2017). Gut–lung axis: The microbial</w:t>
        <w:br/>
        <w:br/>
        <w:t xml:space="preserve">       contributions and clinical implications. Critical Reviews in Microbiology, 43(1),</w:t>
        <w:br/>
        <w:br/>
        <w:t xml:space="preserve">      81–95.</w:t>
        <w:br/>
        <w:br/>
        <w:t>Hegarty, J. W., Guinane, C. M., Ross, R. P., Hill, C., y Cotter, P. D. (2016). Bacteriocin</w:t>
        <w:br/>
        <w:br/>
        <w:t xml:space="preserve">       production: A relatively unharnessed probiotic trait? F1000Research, 5.</w:t>
        <w:br/>
        <w:br/>
        <w:t>Herbin,  S., Mathieu,  F., Brulé,  F., Branlant, C., Lefebvre, G., y Lebrihi, A. (1997).</w:t>
        <w:br/>
        <w:br/>
        <w:t xml:space="preserve">        Characteristics and genetic determinants of bacteriocin activities produced by</w:t>
        <w:br/>
        <w:br/>
        <w:t xml:space="preserve">      Carnobacterium piscicola CP5 isolated from cheese. Current Microbiology, 35(6),</w:t>
        <w:br/>
        <w:br/>
        <w:t xml:space="preserve">      319–326.</w:t>
        <w:br/>
        <w:br/>
        <w:t>Hevia, A., Delgado, S., Sánchez, B., y Margolles, A. (2015). Molecular players involved in</w:t>
        <w:br/>
        <w:br/>
        <w:t xml:space="preserve">       the interaction between beneficial bacteria and the immune system. Frontiers in</w:t>
        <w:br/>
        <w:br/>
        <w:t xml:space="preserve">       Microbiology, 6, 1285.</w:t>
        <w:br/>
        <w:br/>
        <w:t>Hochwind, K., Weinmaier, T., Schmid, M., van Hemert, S., Hartmann, A., Rattei, T., y</w:t>
        <w:br/>
        <w:br/>
        <w:t xml:space="preserve">       Rothballer, M. (2012). Draft genome sequence of Lactobacillus casei W56.</w:t>
        <w:br/>
        <w:br/>
        <w:t xml:space="preserve">       Journal of Bacteriology, 194(23), 6638.</w:t>
        <w:br/>
        <w:br/>
        <w:t>Hong, B.-Y., Maulén, N. P., Adami, A. J., Granados, H., Balcells, M. E., y Cervantes, J.</w:t>
        <w:br/>
        <w:br/>
        <w:t xml:space="preserve">       (2016). Microbiome changes during tuberculosis and antituberculous therapy.</w:t>
        <w:br/>
        <w:br/>
        <w:t xml:space="preserve">        Clinical Microbiology Reviews, 29(4), 915–926.</w:t>
        <w:br/>
        <w:br/>
        <w:br/>
        <w:br/>
        <w:br/>
        <w:br/>
        <w:t xml:space="preserve"> 356  MARÍA BRAVO SANTILLANA</w:t>
        <w:br/>
      </w:r>
    </w:p>
    <w:p>
      <w:r>
        <w:t>Página 357:</w:t>
        <w:br/>
        <w:t xml:space="preserve">                               REF | Referencias Bibliográficas</w:t>
        <w:br/>
        <w:br/>
        <w:br/>
        <w:t>Hooper, L. V., Midtvedt, T., y Gordon, J. I. (2002). How host-microbial interactions shape</w:t>
        <w:br/>
        <w:br/>
        <w:t xml:space="preserve">       the nutrient environment of the mammalian intestine. Annual Review of</w:t>
        <w:br/>
        <w:br/>
        <w:t xml:space="preserve">        Nutrition, 22(1), 283–307.</w:t>
        <w:br/>
        <w:br/>
        <w:t>Hörmannsperger, G., von Schillde, M.-A., y Haller, D. (2013). Lactocepin as a protective</w:t>
        <w:br/>
        <w:br/>
        <w:t xml:space="preserve">       microbial structure in the context of IBD. Gut Microbes, 4(2), 152–157.</w:t>
        <w:br/>
        <w:br/>
        <w:t>Hsuan, S., Kannan, M. S., Jeyaseelan, S., Prakash, Y., Malazdrewich, C., Abrahamsen, M.,</w:t>
        <w:br/>
        <w:br/>
        <w:t xml:space="preserve">        Sieck, G., y Maheswaran, S. (1999). Pasteurella haemolyticaleukotoxin and</w:t>
        <w:br/>
        <w:br/>
        <w:t xml:space="preserve">       endotoxin induced cytokine gene expression in bovine alveolar macrophages</w:t>
        <w:br/>
        <w:br/>
        <w:t xml:space="preserve">       requires NF-κB activation and calcium elevation. Microbial Pathogenesis, 26(5),</w:t>
        <w:br/>
        <w:br/>
        <w:t xml:space="preserve">      263–273.</w:t>
        <w:br/>
        <w:br/>
        <w:t>Hu, C., Mayadas-Norton, T., Tanaka, K., Chan, J., y Salgame, P. (2000). Mycobacterium</w:t>
        <w:br/>
        <w:br/>
        <w:t xml:space="preserve">       tuberculosis infection in complement receptor 3-deficient mice. The Journal of</w:t>
        <w:br/>
        <w:br/>
        <w:t xml:space="preserve">      Immunology, 165(5), 2596–2602.</w:t>
        <w:br/>
        <w:br/>
        <w:t>Hu, Y., Feng, Y., Wu, J., Liu, F., Zhang, Z., Hao, Y., Liang, S., Li, B., Li, J., y Lv, N. (2019). The</w:t>
        <w:br/>
        <w:br/>
        <w:t xml:space="preserve">       gut microbiome signatures discriminate healthy from pulmonary tuberculosis</w:t>
        <w:br/>
        <w:br/>
        <w:t xml:space="preserve">        patients. Frontiers in Cellular and Infection Microbiology, 9, 90.</w:t>
        <w:br/>
        <w:br/>
        <w:t>Huberman, Y., Malena, R., Lomónaco, J., Nievas, P., y Terzolo, H. (2015). Evaluación de</w:t>
        <w:br/>
        <w:br/>
        <w:t xml:space="preserve">      medios de cultivo para aislamiento de Pasteurella multocida. 9nas. Jornadas</w:t>
        <w:br/>
        <w:br/>
        <w:t xml:space="preserve">       Internacionales de Veterinaria Práctica, Mar del Plata.</w:t>
        <w:br/>
        <w:br/>
        <w:t>Humam, A. M., Loh, T. C., Foo, H. L., Samsudin, A. A., Mustapha, N. M., Zulkifli, I., y</w:t>
        <w:br/>
        <w:br/>
        <w:t xml:space="preserve">       Izuddin, W.  I. (2019). Effects of Feeding Different Postbiotics Produced by</w:t>
        <w:br/>
        <w:br/>
        <w:t xml:space="preserve">       Lactobacillus plantarum on Growth Performance, Carcass  Yield,  Intestinal</w:t>
        <w:br/>
        <w:br/>
        <w:br/>
        <w:br/>
        <w:br/>
        <w:t xml:space="preserve">                                           MARÍA BRAVO SANTILLANA  357</w:t>
        <w:br/>
      </w:r>
    </w:p>
    <w:p>
      <w:r>
        <w:t>Página 358:</w:t>
        <w:br/>
        <w:t>REF | Referencias Bibliográficas</w:t>
        <w:br/>
        <w:br/>
        <w:t xml:space="preserve">      Morphology, Gut Microbiota Composition, Immune Status, and Growth Gene</w:t>
        <w:br/>
        <w:br/>
        <w:t xml:space="preserve">       Expression in Broilers under Heat Stress. Animals, 9(9), 644.</w:t>
        <w:br/>
        <w:br/>
        <w:t>Hutchings, M.  I., Palmer, T., Harrington, D.  J., y Sutcliffe,  I. C. (2009). Lipoprotein</w:t>
        <w:br/>
        <w:br/>
        <w:t xml:space="preserve">       biogenesis in Gram-positive bacteria: Knowing when to hold ‘em, knowing when</w:t>
        <w:br/>
        <w:br/>
        <w:t xml:space="preserve">       to fold ‘em. Trends in Microbiology, 17(1), 13–21.</w:t>
        <w:br/>
        <w:br/>
        <w:t>Huttenhower, C., Gevers, D., Knight, R., Abubucker, S., Badger, J. H., Chinwalla, A. T.,</w:t>
        <w:br/>
        <w:br/>
        <w:t xml:space="preserve">       Creasy, H. H., Earl, A. M., FitzGerald, M. G., Fulton, R. S., Giglio, M. G., Hallsworth-</w:t>
        <w:br/>
        <w:br/>
        <w:t xml:space="preserve">       Pepin, K., Lobos, E. A., Madupu, R., Magrini, V., Martin, J. C., Mitreva, M., Muzny,</w:t>
        <w:br/>
        <w:br/>
        <w:t xml:space="preserve">       D. M., Sodergren, E. J., … The Human Microbiome Project Consortium. (2012).</w:t>
        <w:br/>
        <w:br/>
        <w:t xml:space="preserve">       Structure, function and diversity of the healthy human microbiome. Nature,</w:t>
        <w:br/>
        <w:br/>
        <w:t xml:space="preserve">       486(7402), 207–214. https://doi.org/10.1038/nature11234</w:t>
        <w:br/>
        <w:br/>
        <w:t>Informe Final Técnico-Financiero Programa Nacional de la Tuberculosis Bovina Año</w:t>
        <w:br/>
        <w:br/>
        <w:t xml:space="preserve">       2019. (2019). Ministerio de Agricultura, Pesca y Alimentación.</w:t>
        <w:br/>
        <w:br/>
        <w:t>Izuddin, W. I., Loh, T. C., Foo, H. L., Samsudin, A. A., y Humam, A. M. (2019a). Postbiotic</w:t>
        <w:br/>
        <w:br/>
        <w:t xml:space="preserve">         L. plantarum RG14 improves ruminal epithelium growth, immune status and</w:t>
        <w:br/>
        <w:br/>
        <w:t xml:space="preserve">       upregulates the intestinal barrier function in post-weaning lambs. Scientific</w:t>
        <w:br/>
        <w:br/>
        <w:t xml:space="preserve">       Reports, 9(1), 1–10.</w:t>
        <w:br/>
        <w:br/>
        <w:t>Izuddin, W. I., Loh, T. C., Samsudin, A. A., Foo, H. L., Humam, A. M., y Shazali, N. (2019b).</w:t>
        <w:br/>
        <w:br/>
        <w:t xml:space="preserve">        Effects  of  postbiotic  supplementation on  growth  performance,  ruminal</w:t>
        <w:br/>
        <w:br/>
        <w:t xml:space="preserve">       fermentation and microbial profile, blood metabolite and GHR, IGF-1 and MCT-</w:t>
        <w:br/>
        <w:br/>
        <w:t xml:space="preserve">      1 gene expression in post-weaning lambs. BMC Veterinary Research, 15(1), 315.</w:t>
        <w:br/>
        <w:br/>
        <w:t>Jabés, D., Brunati, C., Candiani, G., Riva, S., Romanó, G., y Donadio, S. (2011). Efficacy of</w:t>
        <w:br/>
        <w:br/>
        <w:t xml:space="preserve">       the new lantibiotic NAI-107 in experimental infections induced by multidrug-</w:t>
        <w:br/>
        <w:br/>
        <w:br/>
        <w:br/>
        <w:t xml:space="preserve"> 358  MARÍA BRAVO SANTILLANA</w:t>
        <w:br/>
      </w:r>
    </w:p>
    <w:p>
      <w:r>
        <w:t>Página 359:</w:t>
        <w:br/>
        <w:t xml:space="preserve">                               REF | Referencias Bibliográficas</w:t>
        <w:br/>
        <w:br/>
        <w:br/>
        <w:t xml:space="preserve">        resistant Gram-positive pathogens. Antimicrobial Agents and Chemotherapy,</w:t>
        <w:br/>
        <w:br/>
        <w:t xml:space="preserve">        55(4), 1671–1676.</w:t>
        <w:br/>
        <w:br/>
        <w:t>Jacobsen, L., Wilcks, A., Hammer, K., Huys, G., Gevers, D., y Andersen, S. R. (2007).</w:t>
        <w:br/>
        <w:br/>
        <w:t xml:space="preserve">       Horizontal transfer of tet (M) and erm (B) resistance plasmids from food strains</w:t>
        <w:br/>
        <w:br/>
        <w:t xml:space="preserve">       of Lactobacillus plantarum to Enterococcus faecalis JH2-2 in the gastrointestinal</w:t>
        <w:br/>
        <w:br/>
        <w:t xml:space="preserve">        tract of gnotobiotic rats. FEMS Microbiology Ecology, 59(1), 158–166.</w:t>
        <w:br/>
        <w:br/>
        <w:t>Jaimee, G., y Halami, P. (2016). Emerging resistance to aminoglycosides in lactic acid</w:t>
        <w:br/>
        <w:br/>
        <w:t xml:space="preserve">       bacteria of food origin—An impending menace. Applied Microbiology and</w:t>
        <w:br/>
        <w:br/>
        <w:t xml:space="preserve">       Biotechnology, 100(3), 1137–1151.</w:t>
        <w:br/>
        <w:br/>
        <w:t>Jamet, E., Akary, E., Poisson, M.-A., Chamba, J.-F., Bertrand, X., y Serror, P. (2012).</w:t>
        <w:br/>
        <w:br/>
        <w:t xml:space="preserve">       Prevalence and characterization of antibiotic resistant Enterococcus faecalis in</w:t>
        <w:br/>
        <w:br/>
        <w:t xml:space="preserve">      French cheeses. Food Microbiology, 31(2), 191–198.</w:t>
        <w:br/>
        <w:br/>
        <w:t>Kanak, E. K., y Yilmaz, S. Ö. (2018). Maldi-tof mass spectrometry for the identification</w:t>
        <w:br/>
        <w:br/>
        <w:t xml:space="preserve">      and detection of antimicrobial activity of lactic acid bacteria isolated from local</w:t>
        <w:br/>
        <w:br/>
        <w:t xml:space="preserve">       cheeses. Food Science and Technology, 39, 462-469.</w:t>
        <w:br/>
        <w:br/>
        <w:t>Kaneko, J. J., Harvey, J. W., y Bruss, M. L. (2008). Clinical biochemistry of domestic</w:t>
        <w:br/>
        <w:br/>
        <w:t xml:space="preserve">       animals. Elsevier academic press.</w:t>
        <w:br/>
        <w:br/>
        <w:t>Kang, M., Ko, Y.-P., Liang, X., Ross, C. L., Liu, Q., Murray, B. E., y Höök, M. (2013).</w:t>
        <w:br/>
        <w:br/>
        <w:t xml:space="preserve">       Collagen-binding microbial surface components recognizing adhesive matrix</w:t>
        <w:br/>
        <w:br/>
        <w:t xml:space="preserve">      molecule (MSCRAMM) of Gram-positive bacteria inhibit complement activation</w:t>
        <w:br/>
        <w:br/>
        <w:t xml:space="preserve">        via the classical pathway. Journal of Biological Chemistry, 288(28), 20520–20531.</w:t>
        <w:br/>
        <w:br/>
        <w:br/>
        <w:br/>
        <w:br/>
        <w:br/>
        <w:t xml:space="preserve">                                           MARÍA BRAVO SANTILLANA  359</w:t>
        <w:br/>
      </w:r>
    </w:p>
    <w:p>
      <w:r>
        <w:t>Página 360:</w:t>
        <w:br/>
        <w:t>REF | Referencias Bibliográficas</w:t>
        <w:br/>
        <w:br/>
        <w:t>Kapitan, M., Niemiec, M. J., Steimle, A., Frick, J. S., y Jacobsen, I. D. (2018). Fungi as part</w:t>
        <w:br/>
        <w:br/>
        <w:t xml:space="preserve">       of the microbiota and interactions with intestinal bacteria. En M. Rodrigues (Ed.),</w:t>
        <w:br/>
        <w:br/>
        <w:t xml:space="preserve">       Fungal physiology and immunopathogenesis (264-293). Springer.</w:t>
        <w:br/>
        <w:br/>
        <w:t>Karczewski, J., Poniedziałek, B., Adamski, Z., y Rzymski, P. (2014). The effects of the</w:t>
        <w:br/>
        <w:br/>
        <w:t xml:space="preserve">       microbiota on the host immune system. Autoimmunity, 47(8), 494–504.</w:t>
        <w:br/>
        <w:br/>
        <w:t>Kaufmann, S. H., y Dorhoi, A. (2016). Molecular determinants in phagocyte-bacteria</w:t>
        <w:br/>
        <w:br/>
        <w:t xml:space="preserve">        interactions. Immunity, 44(3), 476–491.</w:t>
        <w:br/>
        <w:br/>
        <w:t>Kawai, Y., Ishii, Y., Arakawa, K., Uemura, K., Saitoh, B., Nishimura,  J., Kitazawa, H.,</w:t>
        <w:br/>
        <w:br/>
        <w:t xml:space="preserve">       Yamazaki, Y., Tateno, Y., y Itoh, T. (2004). Structural and functional differences in</w:t>
        <w:br/>
        <w:br/>
        <w:t xml:space="preserve">      two cyclic bacteriocins with the same sequences produced by lactobacilli.</w:t>
        <w:br/>
        <w:br/>
        <w:t xml:space="preserve">       Applied and Environmental Microbiology, 70(5), 2906–2911.</w:t>
        <w:br/>
        <w:br/>
        <w:t>Kawashima, T., Kosaka, A., Yan, H., Guo, Z., Uchiyama, R., Fukui, R., Kaneko, D., Kumagai,</w:t>
        <w:br/>
        <w:br/>
        <w:t xml:space="preserve">         Y., You, D.-J., y Carreras, J. (2013). Double-stranded RNA of intestinal commensal</w:t>
        <w:br/>
        <w:br/>
        <w:t xml:space="preserve">      but not pathogenic bacteria triggers production of protective interferon-β.</w:t>
        <w:br/>
        <w:br/>
        <w:t xml:space="preserve">       Immunity, 38(6), 1187–1197.</w:t>
        <w:br/>
        <w:br/>
        <w:t>Kehrenberg, C., Salmon, S. A., Watts, J. L., y Schwarz, S. (2001). Tetracycline resistance</w:t>
        <w:br/>
        <w:br/>
        <w:t xml:space="preserve">      genes  in  isolates  of  Pasteurella  multocida,  Mannheimia  haemolytica,</w:t>
        <w:br/>
        <w:br/>
        <w:t xml:space="preserve">      Mannheimia glucosida and Mannheimia varigena from bovine and swine</w:t>
        <w:br/>
        <w:br/>
        <w:t xml:space="preserve">       respiratory disease: Intergeneric spread of the tet (H) plasmid pMHT1. Journal of</w:t>
        <w:br/>
        <w:br/>
        <w:t xml:space="preserve">       Antimicrobial Chemotherapy, 48(5), 631–640.</w:t>
        <w:br/>
        <w:br/>
        <w:t>Kim, S., Covington, A., y Pamer, E. G. (2017). The intestinal microbiota: Antibiotics,</w:t>
        <w:br/>
        <w:br/>
        <w:t xml:space="preserve">       colonization resistance, and enteric pathogens. Immunological Reviews, 279(1),</w:t>
        <w:br/>
        <w:br/>
        <w:t xml:space="preserve">      90–105.</w:t>
        <w:br/>
        <w:br/>
        <w:br/>
        <w:br/>
        <w:t xml:space="preserve"> 360  MARÍA BRAVO SANTILLANA</w:t>
        <w:br/>
      </w:r>
    </w:p>
    <w:p>
      <w:r>
        <w:t>Página 361:</w:t>
        <w:br/>
        <w:t xml:space="preserve">                               REF | Referencias Bibliográficas</w:t>
        <w:br/>
        <w:br/>
        <w:br/>
        <w:t>Kleerebezem, M., Boekhorst, J., van Kranenburg, R., Molenaar, D., Kuipers, O. P., Leer,</w:t>
        <w:br/>
        <w:br/>
        <w:t xml:space="preserve">         R., Tarchini, R., Peters, S. A., Sandbrink, H. M., y Fiers, M. W. (2003). Complete</w:t>
        <w:br/>
        <w:br/>
        <w:t xml:space="preserve">     genome sequence of Lactobacillus plantarum WCFS1. Proceedings of the</w:t>
        <w:br/>
        <w:br/>
        <w:t xml:space="preserve">       National Academy of Sciences, 100(4), 1990–1995.</w:t>
        <w:br/>
        <w:br/>
        <w:t>Kline, K., Fälker, S., Dahlberg, S., Normark, S., y Henriques-Normark, B. (2009). Bacterial</w:t>
        <w:br/>
        <w:br/>
        <w:t xml:space="preserve">       Adhesins  in Host-Microbe  Interactions.  Cell Host y Microbe,  5, 580–592.</w:t>
        <w:br/>
        <w:br/>
        <w:t xml:space="preserve">       https://doi.org/10.1016/j.chom.2009.05.011</w:t>
        <w:br/>
        <w:br/>
        <w:t>Klose, V., Bayer, K., Kern, C., Goelß, F., Fibi, S., y Wegl, G. (2014). Antibiotic resistances</w:t>
        <w:br/>
        <w:br/>
        <w:t xml:space="preserve">       of intestinal lactobacilli isolated from wild boars. Veterinary Microbiology,</w:t>
        <w:br/>
        <w:br/>
        <w:t xml:space="preserve">       168(1), 240–244.</w:t>
        <w:br/>
        <w:br/>
        <w:t>Koyama, S., Ishii, K. J., Coban, C., y Akira, S. (2008). Innate immune response to viral</w:t>
        <w:br/>
        <w:br/>
        <w:t xml:space="preserve">        infection. Cytokine, 43(3), 336–341.</w:t>
        <w:br/>
        <w:br/>
        <w:t>Kristinsson, G., y Adam, H. (2007). Pasteurella multocida infections. Pediatr. Rev, 28(2),</w:t>
        <w:br/>
        <w:br/>
        <w:t xml:space="preserve">       472-473.</w:t>
        <w:br/>
        <w:br/>
        <w:t>Kuipers, O. P., Beerthuyzen, M. M., Siezen, R. J., y De Vos, W. M. (1993). Characterization</w:t>
        <w:br/>
        <w:br/>
        <w:t xml:space="preserve">       of the nisin gene cluster nisABTCIPR of Lactococcus lactis: Requirement of</w:t>
        <w:br/>
        <w:br/>
        <w:t xml:space="preserve">       expression of the nisA and nisIgenes for development of immunity. European</w:t>
        <w:br/>
        <w:br/>
        <w:t xml:space="preserve">       Journal of Biochemistry, 216(1), 281–291.</w:t>
        <w:br/>
        <w:br/>
        <w:t>Lacasta, D., Ferrer, L., Ramos, J., González, J., y De las Heras, M. (2008). Influence of</w:t>
        <w:br/>
        <w:br/>
        <w:t xml:space="preserve">        climatic factors on the development of pneumonia in lambs. Small Ruminant</w:t>
        <w:br/>
        <w:br/>
        <w:t xml:space="preserve">       Research, 80(1–3), 28–32.</w:t>
        <w:br/>
        <w:br/>
        <w:t>Latimer, K. S. (2011). Duncan and Prasse’s veterinary laboratory medicine: Clinical</w:t>
        <w:br/>
        <w:br/>
        <w:t xml:space="preserve">       pathology. John Wiley y Sons.</w:t>
        <w:br/>
        <w:br/>
        <w:br/>
        <w:t xml:space="preserve">                                           MARÍA BRAVO SANTILLANA  361</w:t>
        <w:br/>
      </w:r>
    </w:p>
    <w:p>
      <w:r>
        <w:t>Página 362:</w:t>
        <w:br/>
        <w:t>REF | Referencias Bibliográficas</w:t>
        <w:br/>
        <w:br/>
        <w:t>Lawrence, T. L. J., Fowler, V. R., y Novakofski, J. E. (2012). Growth of farm animals. Cabi.</w:t>
        <w:br/>
        <w:br/>
        <w:t>Lebedeva, E., Bagaev, A., Pichugin, A., Chulkina, M., Lysenko, A., Tutykhina, I., Shmarov,</w:t>
        <w:br/>
        <w:br/>
        <w:t xml:space="preserve">       M., Logunov, D., Naroditsky, B., y Ataullakhanov, R. (2018). The differences in</w:t>
        <w:br/>
        <w:br/>
        <w:t xml:space="preserve">      immunoadjuvant mechanisms of TLR3 and TLR4 agonists on the level of antigen-</w:t>
        <w:br/>
        <w:br/>
        <w:t xml:space="preserve">       presenting cells during immunization with recombinant adenovirus vector. BMC</w:t>
        <w:br/>
        <w:br/>
        <w:t xml:space="preserve">      Immunology, 19(1), 1–14.</w:t>
        <w:br/>
        <w:br/>
        <w:t>LeBel, G., Piché, F., Frenette, M., Gottschalk, M., y Grenier, D. (2013). Antimicrobial</w:t>
        <w:br/>
        <w:br/>
        <w:t xml:space="preserve">        activity of nisin against the swine pathogen Streptococcus suis and its synergistic</w:t>
        <w:br/>
        <w:br/>
        <w:t xml:space="preserve">       interaction with antibiotics. Peptides, 50, 19–23.</w:t>
        <w:br/>
        <w:br/>
        <w:t>LeBlanc, J., Laiño, J. E., del Valle, M. J., Vannini, V. v, van Sinderen, D., Taranto, M. P., de</w:t>
        <w:br/>
        <w:br/>
        <w:t xml:space="preserve">       Valdez, G. F., de Giori, G. S., y Sesma, F. (2011). B-Group vitamin production by</w:t>
        <w:br/>
        <w:br/>
        <w:t xml:space="preserve">        lactic acid bacteria–current knowledge and potential applications. Journal of</w:t>
        <w:br/>
        <w:br/>
        <w:t xml:space="preserve">       Applied Microbiology, 111(6), 1297–1309.</w:t>
        <w:br/>
        <w:br/>
        <w:t>Lebreton, F., Willems, R. J., y Gilmore, M. S. (2014). Enterococcus diversity, origins in</w:t>
        <w:br/>
        <w:br/>
        <w:t xml:space="preserve">       nature, and gut colonization. In Enterococci: From commensals to leading causes</w:t>
        <w:br/>
        <w:br/>
        <w:t xml:space="preserve">       of drug resistant infection [Internet]. Massachusetts Eye and Ear Infirmary.</w:t>
        <w:br/>
        <w:br/>
        <w:t>Lee, W.-J., y Hase, K. (2014). Gut microbiota–generated metabolites in animal health</w:t>
        <w:br/>
        <w:br/>
        <w:t xml:space="preserve">      and disease. Nature Chemical Biology, 10(6), 416–424.</w:t>
        <w:br/>
        <w:br/>
        <w:t>Leonard, M. T., Valladares, R. B., Ardissone, A., Gonzalez, C. F., Lorca, G. L., y Triplett, E.</w:t>
        <w:br/>
        <w:br/>
        <w:t xml:space="preserve">     W. (2014). Complete genome sequences of Lactobacillus johnsonii strain N6. 2</w:t>
        <w:br/>
        <w:br/>
        <w:t xml:space="preserve">      and Lactobacillus reuteri strain TD1. Genome Announcements, 2(3), e00397-14.</w:t>
        <w:br/>
        <w:br/>
        <w:t>Li, F., Shah, A. M., Wang, Z., Peng, Q., Hu, R., Zou, H., Tan, C., Zhang, X., Liao, Y., y Wang,</w:t>
        <w:br/>
        <w:br/>
        <w:t xml:space="preserve">        Y. (2019). Effects of Land Transport Stress on Variations in Ruminal Microbe</w:t>
        <w:br/>
        <w:br/>
        <w:t xml:space="preserve">        Diversity and Immune Functions in Different Breeds of Cattle. Animals, 9(9), 599.</w:t>
        <w:br/>
        <w:br/>
        <w:t xml:space="preserve"> 362  MARÍA BRAVO SANTILLANA</w:t>
        <w:br/>
      </w:r>
    </w:p>
    <w:p>
      <w:r>
        <w:t>Página 363:</w:t>
        <w:br/>
        <w:t xml:space="preserve">                               REF | Referencias Bibliográficas</w:t>
        <w:br/>
        <w:br/>
        <w:br/>
        <w:t>Li, J. B., Lee, D. S. W., y Madrenas, J. (2013). Evolving bacterial envelopes and plasticity</w:t>
        <w:br/>
        <w:br/>
        <w:t xml:space="preserve">       of TLR2-dependent responses: Basic research and translational opportunities.</w:t>
        <w:br/>
        <w:br/>
        <w:t xml:space="preserve">       Frontiers in Immunology, 4, 347.</w:t>
        <w:br/>
        <w:br/>
        <w:t>Litvak, Y., y Bäumler, A.  J. (2019). The founder hypothesis: A basis for microbiota</w:t>
        <w:br/>
        <w:br/>
        <w:t xml:space="preserve">        resistance,  diversity  in taxa  carriage, and  colonization  resistance  against</w:t>
        <w:br/>
        <w:br/>
        <w:t xml:space="preserve">       pathogens. PLoS Pathogens, 15(2), e1007563.</w:t>
        <w:br/>
        <w:br/>
        <w:t>Liu, H., Zhang, L., Yi, H., Han, X., y Chi, C. (2016). Identification and characterization of</w:t>
        <w:br/>
        <w:br/>
        <w:t xml:space="preserve">        plantaricin Q7, a novel plantaricin produced by Lactobacillus plantarum Q7. LWT-</w:t>
        <w:br/>
        <w:br/>
        <w:t xml:space="preserve">      Food Science and Technology, 71, 386–390.</w:t>
        <w:br/>
        <w:br/>
        <w:t>Liu, W., Pang, H., Zhang, H., y Cai, Y. (2014). Biodiversity of lactic acid bacteria. In Lactic</w:t>
        <w:br/>
        <w:br/>
        <w:t xml:space="preserve">       acid bacteria (pp. 103–203). Springer.</w:t>
        <w:br/>
        <w:br/>
        <w:t>Loh, T. C., Foo, H. L., Sazili, A. Q., y Bejo, M. H. (2014). Effects of feeding different</w:t>
        <w:br/>
        <w:br/>
        <w:t xml:space="preserve">       postbiotic metabolite combinations produced by Lactobacillus plantarumstrains</w:t>
        <w:br/>
        <w:br/>
        <w:t xml:space="preserve">      on egg quality and production performance, faecal parameters and plasma</w:t>
        <w:br/>
        <w:br/>
        <w:t xml:space="preserve">       cholesterol in laying hens. BMC Veterinary Research, 10(1), 149.</w:t>
        <w:br/>
        <w:br/>
        <w:t>López, M. M., Jiménez, S. P., y González, S. V. (2007). Probioticos: Potencial para prevenir</w:t>
        <w:br/>
        <w:br/>
        <w:t xml:space="preserve">       y curar. Revista Complutense de Ciencias Veterinarias, 1(2), 573.</w:t>
        <w:br/>
        <w:br/>
        <w:t>Luciano, S. A., y Roess, A. (2020). Human zoonotic tuberculosis and livestock exposure</w:t>
        <w:br/>
        <w:br/>
        <w:t xml:space="preserve">        in low-and middle-income countries: A systematic review identifying challenges</w:t>
        <w:br/>
        <w:br/>
        <w:t xml:space="preserve">        in laboratory diagnosis. Zoonoses and Public Health, 67(2), 97–111.</w:t>
        <w:br/>
        <w:br/>
        <w:t>Luo, M., Liu, Y., Wu, P., Luo, D.-X., Sun, Q., Zheng, H., Hu, R., Pandol, S. J., Li, Q.-F., y Han,</w:t>
        <w:br/>
        <w:br/>
        <w:t xml:space="preserve">        Y.-P.  (2017).  Alternation  of  gut  microbiota  in  patients  with pulmonary</w:t>
        <w:br/>
        <w:br/>
        <w:t xml:space="preserve">       tuberculosis. Frontiers in Physiology, 8, 822.</w:t>
        <w:br/>
        <w:br/>
        <w:br/>
        <w:t xml:space="preserve">                                           MARÍA BRAVO SANTILLANA  363</w:t>
        <w:br/>
      </w:r>
    </w:p>
    <w:p>
      <w:r>
        <w:t>Página 364:</w:t>
        <w:br/>
        <w:t>REF | Referencias Bibliográficas</w:t>
        <w:br/>
        <w:br/>
        <w:t>MacKenzie, D. A., McLay, K., Roos, S., Walter, J., Swarbreck, D., Drou, N., Crossman, L.</w:t>
        <w:br/>
        <w:br/>
        <w:t xml:space="preserve">         C., y Juge, N. (2014). Draft genome sequence of a novel Lactobacillus salivarius</w:t>
        <w:br/>
        <w:br/>
        <w:t xml:space="preserve">        strain isolated from piglet. Genome Announcements, 2(1), e01231-13.</w:t>
        <w:br/>
        <w:br/>
        <w:t>Macuamule, C., Wiid, I., van Helden, P., Tanner, M., y Witthuhn, R. (2016). Effect of milk</w:t>
        <w:br/>
        <w:br/>
        <w:t xml:space="preserve">       fermentation by kefir grains and selected single strains of lactic acid bacteria on</w:t>
        <w:br/>
        <w:br/>
        <w:t xml:space="preserve">       the  survival of Mycobacterium bovis BCG.  International Journal  of Food</w:t>
        <w:br/>
        <w:br/>
        <w:t xml:space="preserve">       Microbiology, 217, 170–176.</w:t>
        <w:br/>
        <w:br/>
        <w:t>Madigan, M. T., Martinko, J. M., y Parker, J. (2003). Microbial growth. Brock Biology of</w:t>
        <w:br/>
        <w:br/>
        <w:t xml:space="preserve">       Microorganisms, 137–166.</w:t>
        <w:br/>
        <w:br/>
        <w:t>Maldonado, A., Jiménez-Díaz, R., y Ruiz-Barba, J. L. (2004). Induction of plantaricin</w:t>
        <w:br/>
        <w:br/>
        <w:t xml:space="preserve">       production in Lactobacillus plantarum NC8 after coculture with specific gram-</w:t>
        <w:br/>
        <w:br/>
        <w:t xml:space="preserve">        positive bacteria  is mediated by an autoinduction mechanism. Journal of</w:t>
        <w:br/>
        <w:br/>
        <w:t xml:space="preserve">       Bacteriology, 186(5), 1556–1564.</w:t>
        <w:br/>
        <w:br/>
        <w:t>Maldonado, A., Ruiz-Barba, J. L., y Jiménez-Díaz, R. (2004). Production of plantaricin NC8</w:t>
        <w:br/>
        <w:br/>
        <w:t xml:space="preserve">      by Lactobacillus plantarum NC8 is induced in the presence of different types of</w:t>
        <w:br/>
        <w:br/>
        <w:t xml:space="preserve">       gram-positive bacteria. Archives of Microbiology, 181(1), 8–16.</w:t>
        <w:br/>
        <w:br/>
        <w:t>Maldonado-Barragán, A., Caballero-Guerrero, B., Lucena-Padrós, H., y Ruiz-Barba, J. L.</w:t>
        <w:br/>
        <w:br/>
        <w:t xml:space="preserve">       (2013). Induction of bacteriocin production by coculture is widespread among</w:t>
        <w:br/>
        <w:br/>
        <w:t xml:space="preserve">       plantaricin-producing Lactobacillus plantarum strains with different regulatory</w:t>
        <w:br/>
        <w:br/>
        <w:t xml:space="preserve">       operons. Food Microbiology, 33(1), 40–47.</w:t>
        <w:br/>
        <w:br/>
        <w:t>Marakalala, M. J., Martinez, F. O., Plüddemann, A., y Gordon, S. (2018). Macrophage</w:t>
        <w:br/>
        <w:br/>
        <w:t xml:space="preserve">       heterogeneity  in  the  immunopathogenesis  of  tuberculosis.  Frontiers  in</w:t>
        <w:br/>
        <w:br/>
        <w:t xml:space="preserve">       Microbiology, 9, 1028.</w:t>
        <w:br/>
        <w:br/>
        <w:br/>
        <w:br/>
        <w:t xml:space="preserve"> 364  MARÍA BRAVO SANTILLANA</w:t>
        <w:br/>
      </w:r>
    </w:p>
    <w:p>
      <w:r>
        <w:t>Página 365:</w:t>
        <w:br/>
        <w:t xml:space="preserve">                               REF | Referencias Bibliográficas</w:t>
        <w:br/>
        <w:br/>
        <w:br/>
        <w:t>Marciset, O., Jeronimus-Stratingh, M. C., Mollet, B., y Poolman, B. (1997). Thermophilin</w:t>
        <w:br/>
        <w:br/>
        <w:t xml:space="preserve">       13, a nontypical  antilisterial poration complex bacteriocin, that functions</w:t>
        <w:br/>
        <w:br/>
        <w:t xml:space="preserve">       without a receptor. Journal of Biological Chemistry, 272(22), 14277–14284.</w:t>
        <w:br/>
        <w:br/>
        <w:t>Marco, M. L., y Tachon, S. (2013). Environmental factors influencing the efficacy of</w:t>
        <w:br/>
        <w:br/>
        <w:t xml:space="preserve">       probiotic bacteria. Current Opinion in Biotechnology, 24(2), 207–213.</w:t>
        <w:br/>
        <w:br/>
        <w:t>Mariam, S. H. (2009). Interaction between lactic acid bacteria and Mycobacterium bovis</w:t>
        <w:br/>
        <w:br/>
        <w:t xml:space="preserve">        in Ethiopian fermented milk: Insight into the fate of M. bovis. Applied and</w:t>
        <w:br/>
        <w:br/>
        <w:t xml:space="preserve">       Environmental Microbiology, 75(6), 1790–1792.</w:t>
        <w:br/>
        <w:br/>
        <w:t>Martin, M., Gutiérrez, J., Criado, R., Herranz, C., Cintas, L. M., y Hernandez, P. E. (2006).</w:t>
        <w:br/>
        <w:br/>
        <w:t xml:space="preserve">      Genes encoding bacteriocins and their expression and potential virulence factors</w:t>
        <w:br/>
        <w:br/>
        <w:t xml:space="preserve">       of enterococci isolated from wood pigeons (Columba palumbus). Journal of Food</w:t>
        <w:br/>
        <w:br/>
        <w:t xml:space="preserve">       Protection, 69(3), 520–531.</w:t>
        <w:br/>
        <w:br/>
        <w:t>Martín-Hernando, M. P., Höfle, U., Vicente, J., Ruiz-Fons, F., Vidal, D., Barral, M., Garrido,</w:t>
        <w:br/>
        <w:br/>
        <w:t xml:space="preserve">           J. M., de  la Fuente,  J., y  Gortazar,  C.  (2007).  Lesions  associated with</w:t>
        <w:br/>
        <w:br/>
        <w:t xml:space="preserve">      Mycobacterium tuberculosis complex infection in the European wild boar.</w:t>
        <w:br/>
        <w:br/>
        <w:t xml:space="preserve">       Tuberculosis, 87(4), 360–367.</w:t>
        <w:br/>
        <w:br/>
        <w:t>Martino, M. E., Bayjanov, J. R., Caffrey, B. E., Wels, M., Joncour, P., Hughes, S., Gillet, B.,</w:t>
        <w:br/>
        <w:br/>
        <w:t xml:space="preserve">      Kleerebezem, M., van Hijum, S. A., y Leulier, F. (2016). Nomadic lifestyle of</w:t>
        <w:br/>
        <w:br/>
        <w:t xml:space="preserve">       Lactobacillus plantarum revealed by comparative genomics of 54 strains isolated</w:t>
        <w:br/>
        <w:br/>
        <w:t xml:space="preserve">      from different habitats. Environmental Microbiology, 18(12), 4974–4989.</w:t>
        <w:br/>
        <w:br/>
        <w:t>Martín-Palomino, Pedro. (2020, June 23). Pasteurella multocida tipo A en pequeños</w:t>
        <w:br/>
        <w:br/>
        <w:t xml:space="preserve">       rumiantes: ¿patógeno emergente? Bioseguridad, Bienestar y Patologías En</w:t>
        <w:br/>
        <w:br/>
        <w:t xml:space="preserve">      Pequeños Rumiantes. XXII Foro Nacional de Ovino 2020, Edición virtual.</w:t>
        <w:br/>
        <w:br/>
        <w:br/>
        <w:t xml:space="preserve">                                           MARÍA BRAVO SANTILLANA  365</w:t>
        <w:br/>
      </w:r>
    </w:p>
    <w:p>
      <w:r>
        <w:t>Página 366:</w:t>
        <w:br/>
        <w:t>REF | Referencias Bibliográficas</w:t>
        <w:br/>
        <w:br/>
        <w:t>Matevosyan, L., Bazukyan,  I., y Trchounian, A. (2019). Antifungal and antibacterial</w:t>
        <w:br/>
        <w:br/>
        <w:t xml:space="preserve">        effects  of newly created  lactic  acid  bacteria  associations depending on</w:t>
        <w:br/>
        <w:br/>
        <w:t xml:space="preserve">        cultivation media and duration of cultivation. BMC Microbiology, 19(1), 1–8.</w:t>
        <w:br/>
        <w:br/>
        <w:t>Mathur, H., Beresford, T. P., y Cotter, P. D. (2020). Health Benefits of Lactic Acid Bacteria</w:t>
        <w:br/>
        <w:br/>
        <w:t xml:space="preserve">       (LAB) Fermentates. Nutrients, 12(6), 1679.</w:t>
        <w:br/>
        <w:br/>
        <w:t>Mathur, H., Field, D., Rea, M. C., Cotter, P. D., Hill, C., y Ross, R. P. (2017). Bacteriocin-</w:t>
        <w:br/>
        <w:br/>
        <w:t xml:space="preserve">       antimicrobial synergy: A medical and food perspective. Frontiers in Microbiology,</w:t>
        <w:br/>
        <w:br/>
        <w:t xml:space="preserve">        8, 1205.</w:t>
        <w:br/>
        <w:br/>
        <w:t>Matos, A., Andrade, S., Figueira, L., Matos, M., Pires, M., Coelho, A., y Pinto, M. (2016).</w:t>
        <w:br/>
        <w:br/>
        <w:t xml:space="preserve">       Mesenteric lymph node granulomatous lesions in naturally infected wild boar</w:t>
        <w:br/>
        <w:br/>
        <w:t xml:space="preserve">       (Sus scrofa) in Portugal—Histological, immunohistochemical and molecular</w:t>
        <w:br/>
        <w:br/>
        <w:t xml:space="preserve">       aspects. Veterinary Immunology and Immunopathology, 173, 21–26.</w:t>
        <w:br/>
        <w:br/>
        <w:t>Mazé, A., Boël, G., Zúñiga, M., Bourand, A., Loux, V., Yebra, M. J., Monedero, V., Correia,</w:t>
        <w:br/>
        <w:br/>
        <w:t xml:space="preserve">         K., Jacques, N., y Beaufils, S. (2010). Complete genome sequence of the probiotic</w:t>
        <w:br/>
        <w:br/>
        <w:t xml:space="preserve">       Lactobacillus casei strain BL23. Journal of Bacteriology, 192(10), 2647–2648.</w:t>
        <w:br/>
        <w:br/>
        <w:t>McCann, J. C., Elolimy, A. A., y Loor, J. J. (2017). Rumen microbiome, probiotics, and</w:t>
        <w:br/>
        <w:br/>
        <w:t xml:space="preserve">       fermentation additives. Veterinary Clinics: Food Animal Practice, 33(3), 539–553.</w:t>
        <w:br/>
        <w:br/>
        <w:t>McKenzie, V. J., Kueneman, J. G., y Harris, R. N. (2018). Probiotics as a tool for disease</w:t>
        <w:br/>
        <w:br/>
        <w:t xml:space="preserve">       mitigation in wildlife: Insights from food production and medicine. Annals of the</w:t>
        <w:br/>
        <w:br/>
        <w:t xml:space="preserve">     New York Academy of Sciences, 1429(1), 18–30.</w:t>
        <w:br/>
        <w:br/>
        <w:t>Meade, E., Slattery, M. A., y Garvey, M. (2020). Bacteriocins, potent antimicrobial</w:t>
        <w:br/>
        <w:br/>
        <w:t xml:space="preserve">       peptides and the fight against multi drug resistant species: Resistance is futile?</w:t>
        <w:br/>
        <w:br/>
        <w:t xml:space="preserve">        Antibiotics, 9(1), 32.</w:t>
        <w:br/>
        <w:br/>
        <w:br/>
        <w:br/>
        <w:t xml:space="preserve"> 366  MARÍA BRAVO SANTILLANA</w:t>
        <w:br/>
      </w:r>
    </w:p>
    <w:p>
      <w:r>
        <w:t>Página 367:</w:t>
        <w:br/>
        <w:t xml:space="preserve">                               REF | Referencias Bibliográficas</w:t>
        <w:br/>
        <w:br/>
        <w:br/>
        <w:t>Mekadim, C., Killer, J., Pechar, R., y Mrázek, J. (2019). Fragment of the aspartyl-tRNA</w:t>
        <w:br/>
        <w:br/>
        <w:t xml:space="preserve">       synthetase applicable as a shared classification and phylogenetic marker in</w:t>
        <w:br/>
        <w:br/>
        <w:t xml:space="preserve">        particular representatives of the order Lactobacillales. Folia Microbiologica,</w:t>
        <w:br/>
        <w:br/>
        <w:t xml:space="preserve">        64(1), 113–120.</w:t>
        <w:br/>
        <w:br/>
        <w:t>Menin, Á., Fleith, R., Reck, C., Marlow, M., Fernandes, P., Pilati, C., y Báfica, A. (2013).</w:t>
        <w:br/>
        <w:br/>
        <w:t xml:space="preserve">      Asymptomatic cattle naturally infected with Mycobacterium bovis present</w:t>
        <w:br/>
        <w:br/>
        <w:t xml:space="preserve">       exacerbated tissue pathology and bacterial dissemination. PloS One, 8(1),</w:t>
        <w:br/>
        <w:br/>
        <w:t xml:space="preserve">      e53884.</w:t>
        <w:br/>
        <w:br/>
        <w:t>Mentaberre, G., Romero, B., De Juan, L., Navarro-González, N., Velarde, R., Mateos, A.,</w:t>
        <w:br/>
        <w:br/>
        <w:t xml:space="preserve">      Marco, I., Olivé-Boix, X., Domínguez, L., y Lavín, S. (2014). Long-term assessment</w:t>
        <w:br/>
        <w:br/>
        <w:t xml:space="preserve">       of wild boar harvesting and cattle removal for bovine tuberculosis control in free</w:t>
        <w:br/>
        <w:br/>
        <w:t xml:space="preserve">       ranging populations. PLoS One, 9(2), e88824.</w:t>
        <w:br/>
        <w:br/>
        <w:t>Mijakovic,  I., Poncet,  S., Boël, G., Mazé, A., Gillet,  S., Jamet, E., Decottignies, P.,</w:t>
        <w:br/>
        <w:br/>
        <w:t xml:space="preserve">       Grangeasse,  C.,  Doublet,  P., y Le Maréchal,  P.  (2003). Transmembrane</w:t>
        <w:br/>
        <w:br/>
        <w:t xml:space="preserve">      modulator-dependent   bacterial  tyrosine  kinase   activates  UDP-glucose</w:t>
        <w:br/>
        <w:br/>
        <w:t xml:space="preserve">       dehydrogenases. The EMBO Journal, 22(18), 4709–4718.</w:t>
        <w:br/>
        <w:br/>
        <w:t>Real Decreto 138/2020, de 28 de enero, por el que se establece la normativa básica en</w:t>
        <w:br/>
        <w:br/>
        <w:t xml:space="preserve">       materia de actuaciones sanitarias en especies cinegéticas que actúan como</w:t>
        <w:br/>
        <w:br/>
        <w:t xml:space="preserve">       reservorio de la tuberculosis (complejo Mycobacterium tuberculosis)., (2020).</w:t>
        <w:br/>
        <w:br/>
        <w:t>Mirkovic, N., Radulovic, Z., Uzelac, G., Lozo, J., Obradovic, D., Topisirovic, L., y Kojic, M.</w:t>
        <w:br/>
        <w:br/>
        <w:t xml:space="preserve">       (2015). Isolation and characterisation of bacteriocin and aggregation-promoting</w:t>
        <w:br/>
        <w:br/>
        <w:t xml:space="preserve">       factor production  in Lactococcus  lactis  ssp.  Lactis BGBM50  strain. Food</w:t>
        <w:br/>
        <w:br/>
        <w:t xml:space="preserve">      Technology and Biotechnology, 53(2), 237–242.</w:t>
        <w:br/>
        <w:br/>
        <w:br/>
        <w:t xml:space="preserve">                                           MARÍA BRAVO SANTILLANA  367</w:t>
        <w:br/>
      </w:r>
    </w:p>
    <w:p>
      <w:r>
        <w:t>Página 368:</w:t>
        <w:br/>
        <w:t>REF | Referencias Bibliográficas</w:t>
        <w:br/>
        <w:br/>
        <w:t>Miró, J. M., y Gatell, J. M. (2000). Modelos experimentales de patología infecciosa.</w:t>
        <w:br/>
        <w:br/>
        <w:t xml:space="preserve">       Ediciones Doyma.</w:t>
        <w:br/>
        <w:br/>
        <w:t>Mohajeri, M. H., Brummer, R. J. M., Rastall, R. A., Weersma, R. K., Harmsen, H. J. M.,</w:t>
        <w:br/>
        <w:br/>
        <w:t xml:space="preserve">       Faas, M., y Eggersdorfer, M. (2018). The role of the microbiome for human</w:t>
        <w:br/>
        <w:br/>
        <w:t xml:space="preserve">       health: From basic science to clinical applications. European Journal of Nutrition,</w:t>
        <w:br/>
        <w:br/>
        <w:t xml:space="preserve">       57(S1), 1–14. https://doi.org/10.1007/s00394-018-1703-4</w:t>
        <w:br/>
        <w:br/>
        <w:t>Mohamadzadeh, M., Olson, S., Kalina, W. V., Ruthel, G., Demmin, G. L., Warfield, K. L.,</w:t>
        <w:br/>
        <w:br/>
        <w:t xml:space="preserve">        Bavari, S., y Klaenhammer, T. R. (2005). Lactobacilli activate human dendritic</w:t>
        <w:br/>
        <w:br/>
        <w:t xml:space="preserve">        cells that skew T cells toward T helper 1 polarization. Proceedings of the National</w:t>
        <w:br/>
        <w:br/>
        <w:t xml:space="preserve">      Academy of Sciences, 102(8), 2880–2885.</w:t>
        <w:br/>
        <w:br/>
        <w:t>Moreno, C., y Sanchez-Ibarrola, A. (2003). Receptores tipo Toll: Bases moleculares de la</w:t>
        <w:br/>
        <w:br/>
        <w:t xml:space="preserve">       relación entre respuestas innatas y adaptativas  del sistema  inmunitario.</w:t>
        <w:br/>
        <w:br/>
        <w:t xml:space="preserve">       Revisiones Médicas de la Universidad de Navarra, 47(3), 29-33.</w:t>
        <w:br/>
        <w:br/>
        <w:t>Morris, T. (1995). Antibiotic therapeutics in laboratory animals. Laboratory Animals,</w:t>
        <w:br/>
        <w:br/>
        <w:t xml:space="preserve">        29(1), 16–36.</w:t>
        <w:br/>
        <w:br/>
        <w:t>Moya, A., Peretó, J., Gil, R., y Latorre, A. (2008). Learning how to live together: Genomic</w:t>
        <w:br/>
        <w:br/>
        <w:t xml:space="preserve">        insights into prokaryote–animal symbioses. Nature Reviews Genetics, 9(3), 218–</w:t>
        <w:br/>
        <w:br/>
        <w:t xml:space="preserve">       229.</w:t>
        <w:br/>
        <w:br/>
        <w:t>Nagai, Y., Garrett, K. P., Ohta, S., Bahrun, U., Kouro, T., Akira, S., Takatsu, K., y Kincade,</w:t>
        <w:br/>
        <w:br/>
        <w:t xml:space="preserve">        P. W. (2006). Toll-like receptors on hematopoietic progenitor cells stimulate</w:t>
        <w:br/>
        <w:br/>
        <w:t xml:space="preserve">       innate immune system replenishment. Immunity, 24(6), 801–812.</w:t>
        <w:br/>
        <w:br/>
        <w:t>Naranjo, V., Gortazar, C., Vicente, J., y de la Fuente, J. (2008). Evidence of the role of</w:t>
        <w:br/>
        <w:br/>
        <w:t xml:space="preserve">      European wild boar as a reservoir of Mycobacterium tuberculosis complex.</w:t>
        <w:br/>
        <w:br/>
        <w:t xml:space="preserve">       Veterinary Microbiology, 127(1–2), 1–9.</w:t>
        <w:br/>
        <w:br/>
        <w:t xml:space="preserve"> 368  MARÍA BRAVO SANTILLANA</w:t>
        <w:br/>
      </w:r>
    </w:p>
    <w:p>
      <w:r>
        <w:t>Página 369:</w:t>
        <w:br/>
        <w:t xml:space="preserve">                               REF | Referencias Bibliográficas</w:t>
        <w:br/>
        <w:br/>
        <w:br/>
        <w:t>Nava, G. M., y Stappenbeck, T. S. (2011). Diversity of the autochthonous colonic</w:t>
        <w:br/>
        <w:br/>
        <w:t xml:space="preserve">       microbiota. Gut Microbes, 2(2), 99–104.</w:t>
        <w:br/>
        <w:br/>
        <w:t>Navarro-Gonzalez, N., Porrero, M. C., Mentaberre, G., Serrano, E., Mateos, A., Cabal, A.,</w:t>
        <w:br/>
        <w:br/>
        <w:t xml:space="preserve">      Domínguez, L., y Lavín, S. (2015). Escherichia coli O157: H7 in wild boars (Sus</w:t>
        <w:br/>
        <w:br/>
        <w:t xml:space="preserve">        scrofa) and Iberian ibex (Capra pyrenaica) sharing pastures with free-ranging</w:t>
        <w:br/>
        <w:br/>
        <w:t xml:space="preserve">        livestock in a natural environment in Spain. Veterinary Quarterly, 35(2), 102–106.</w:t>
        <w:br/>
        <w:br/>
        <w:t>Negishi, H., Miki, S., Sarashina, H., Taguchi-Atarashi, N., Nakajima, A., Matsuki, K., Endo,</w:t>
        <w:br/>
        <w:br/>
        <w:t xml:space="preserve">        N., Yanai, H., Nishio, J., y Honda, K. (2012). Essential contribution of IRF3 to</w:t>
        <w:br/>
        <w:br/>
        <w:t xml:space="preserve">        intestinal  homeostasis  and  microbiota-mediated  Tslp  gene  induction.</w:t>
        <w:br/>
        <w:br/>
        <w:t xml:space="preserve">       Proceedings of the National Academy of Sciences, 109(51), 21016–21021.</w:t>
        <w:br/>
        <w:br/>
        <w:t>Nelson, R. (1999). Intrinsically vancomycin-resistant gram-positive organisms: Clinical</w:t>
        <w:br/>
        <w:br/>
        <w:t xml:space="preserve">       relevance and implications for infection control. Journal of Hospital Infection,</w:t>
        <w:br/>
        <w:br/>
        <w:t xml:space="preserve">        42(4), 275–282.</w:t>
        <w:br/>
        <w:br/>
        <w:t>Ng, Z. J., Zarin, M. A., Lee, C. K., y Tan, J. S. (2020). Application of bacteriocins in food</w:t>
        <w:br/>
        <w:br/>
        <w:t xml:space="preserve">       preservation and infectious disease treatment for humans and livestock: A</w:t>
        <w:br/>
        <w:br/>
        <w:t xml:space="preserve">       review. RSC Advances, 10(64), 38937–38964.</w:t>
        <w:br/>
        <w:br/>
        <w:t>Nicholson, J. K., Holmes, E., Kinross, J., Burcelin, R., Gibson, G., Jia, W., y Pettersson, S.</w:t>
        <w:br/>
        <w:br/>
        <w:t xml:space="preserve">       (2012). Host-gut microbiota metabolic interactions. Science, 336(6086), 1262–</w:t>
        <w:br/>
        <w:br/>
        <w:t xml:space="preserve">       1267.</w:t>
        <w:br/>
        <w:br/>
        <w:t>Nissen-Meyer, J., Oppegård, C., Rogne, P., Haugen, H. S., y Kristiansen, P. E. (2010).</w:t>
        <w:br/>
        <w:br/>
        <w:t xml:space="preserve">       Structure and mode-of-action  of the two-peptide  (class-IIb)  bacteriocins.</w:t>
        <w:br/>
        <w:br/>
        <w:t xml:space="preserve">        Probiotics and Antimicrobial Proteins, 2(1), 52–60.</w:t>
        <w:br/>
        <w:br/>
        <w:br/>
        <w:br/>
        <w:br/>
        <w:t xml:space="preserve">                                           MARÍA BRAVO SANTILLANA  369</w:t>
        <w:br/>
      </w:r>
    </w:p>
    <w:p>
      <w:r>
        <w:t>Página 370:</w:t>
        <w:br/>
        <w:t>REF | Referencias Bibliográficas</w:t>
        <w:br/>
        <w:br/>
        <w:t>O’Connor, C. M., Haydon, D. T., y Kao, R. R. (2012). An ecological and comparative</w:t>
        <w:br/>
        <w:br/>
        <w:t xml:space="preserve">       perspective on the control of bovine tuberculosis in Great Britain and the</w:t>
        <w:br/>
        <w:br/>
        <w:t xml:space="preserve">       Republic of Ireland. Preventive Veterinary Medicine, 104(3–4), 185–197.</w:t>
        <w:br/>
        <w:br/>
        <w:t>O’Donnell, M. M., Harris, H. M., Ross, R. P., y O’Toole, P. W. (2017). Core fecal microbiota</w:t>
        <w:br/>
        <w:br/>
        <w:t xml:space="preserve">       of domesticated herbivorous ruminant, hindgut fermenters, and monogastric</w:t>
        <w:br/>
        <w:br/>
        <w:t xml:space="preserve">       animals. Microbiologyopen, 6(5), e00509.</w:t>
        <w:br/>
        <w:br/>
        <w:t>Ołdak, A., Zielińska, D., Rzepkowska, A., y Kołożyn-Krajewska, D. (2017). Comparison of</w:t>
        <w:br/>
        <w:br/>
        <w:t xml:space="preserve">        antibacterial  activity of Lactobacillus plantarum strains isolated from two</w:t>
        <w:br/>
        <w:br/>
        <w:t xml:space="preserve">        different kinds of regional cheeses from Poland: Oscypek and Korycinski cheese.</w:t>
        <w:br/>
        <w:br/>
        <w:t xml:space="preserve">      BioMed Research International, 2017, 6820369.</w:t>
        <w:br/>
        <w:br/>
        <w:t>Oppegård, C., Kjos, M., Veening, J., Nissen-Meyer, J., y Kristensen, T. (2016). A putative</w:t>
        <w:br/>
        <w:br/>
        <w:t xml:space="preserve">      amino acid transporter determines sensitivity to the two-peptide bacteriocin</w:t>
        <w:br/>
        <w:br/>
        <w:t xml:space="preserve">        plantaricin JK. MicrobiologyOpen, 5(4), 700–708.</w:t>
        <w:br/>
        <w:br/>
        <w:t>Orhan, G., Bayram, A., Zer, Y., y Balci, I. (2005). Synergy tests by E test and checkerboard</w:t>
        <w:br/>
        <w:br/>
        <w:t xml:space="preserve">      methods of antimicrobial combinations against Brucella melitensis. Journal of</w:t>
        <w:br/>
        <w:br/>
        <w:t xml:space="preserve">        Clinical Microbiology, 43(1), 140–143.</w:t>
        <w:br/>
        <w:br/>
        <w:t>O’Shea, E. F., O’Connor, P. M., Raftis, E. J., O’Toole, P. W., Stanton, C., Cotter, P. D., Ross,</w:t>
        <w:br/>
        <w:br/>
        <w:t xml:space="preserve">        R. P., y Hill, C. (2011). Production of multiple bacteriocins from a single locus by</w:t>
        <w:br/>
        <w:br/>
        <w:t xml:space="preserve">        gastrointestinal  strains of  Lactobacillus  salivarius. Journal of Bacteriology,</w:t>
        <w:br/>
        <w:br/>
        <w:t xml:space="preserve">       193(24), 6973–6982.</w:t>
        <w:br/>
        <w:br/>
        <w:t>Pachón,  J., Gavaldà,  J., y Miró,  J. M. (2000). Modelo de Neumonía. In Modelos</w:t>
        <w:br/>
        <w:br/>
        <w:t xml:space="preserve">       experimentales de patología infecciosa (José M Miró y José M Gatell, pp. 81–90).</w:t>
        <w:br/>
        <w:br/>
        <w:t xml:space="preserve">       Ediciones Doyma.</w:t>
        <w:br/>
        <w:br/>
        <w:br/>
        <w:br/>
        <w:t xml:space="preserve"> 370  MARÍA BRAVO SANTILLANA</w:t>
        <w:br/>
      </w:r>
    </w:p>
    <w:p>
      <w:r>
        <w:t>Página 371:</w:t>
        <w:br/>
        <w:t xml:space="preserve">                               REF | Referencias Bibliográficas</w:t>
        <w:br/>
        <w:br/>
        <w:br/>
        <w:t>Papagianni, M. (2012). Recent advances in engineering the central carbon metabolism</w:t>
        <w:br/>
        <w:br/>
        <w:t xml:space="preserve">       of industrially important bacteria. Microbial Cell Factories, 11(1), 1–13.</w:t>
        <w:br/>
        <w:br/>
        <w:t>Parada, J. L., Caron, C. R., Medeiros, A. B. P., y Soccol, C. R. (2007). Bacteriocins from</w:t>
        <w:br/>
        <w:br/>
        <w:t xml:space="preserve">        lactic acid bacteria: Purification, properties and use as biopreservatives. Brazilian</w:t>
        <w:br/>
        <w:br/>
        <w:t xml:space="preserve">       Archives of Biology and Technology, 50(3), 512–542.</w:t>
        <w:br/>
        <w:br/>
        <w:t>Pasparakis, M. (2012). Role of NF-κB in epithelial biology. Immunological Reviews,</w:t>
        <w:br/>
        <w:br/>
        <w:t xml:space="preserve">       246(1), 346–358.</w:t>
        <w:br/>
        <w:br/>
        <w:t>Pelzer, E., Gomez-Arango, L. F., Barrett, H. L., y Nitert, M. D. (2017). Maternal health and</w:t>
        <w:br/>
        <w:br/>
        <w:t xml:space="preserve">       the placental microbiome. Placenta, 54, 30–37.</w:t>
        <w:br/>
        <w:br/>
        <w:t>Pessione, E. (2012). Lactic acid bacteria contribution to gut microbiota complexity: Lights</w:t>
        <w:br/>
        <w:br/>
        <w:t xml:space="preserve">      and shadows. Frontiers in Cellular and Infection Microbiology, 2, 86.</w:t>
        <w:br/>
        <w:br/>
        <w:t>Peters, V., van de Steeg, E., van Bilsen, J., y Meijerink, M. (2019). Mechanisms and</w:t>
        <w:br/>
        <w:br/>
        <w:t xml:space="preserve">      immunomodulatory properties of pre-and probiotics. Beneficial Microbes, 10(3),</w:t>
        <w:br/>
        <w:br/>
        <w:t xml:space="preserve">      225–236.</w:t>
        <w:br/>
        <w:br/>
        <w:t>Pieters,  J. (2008). Mycobacterium tuberculosis and the macrophage: Maintaining a</w:t>
        <w:br/>
        <w:br/>
        <w:t xml:space="preserve">       balance. Cell Host y Microbe, 3(6), 399–407.</w:t>
        <w:br/>
        <w:br/>
        <w:t>Piqué, N., Berlanga, M., y Miñana-Galbis, D. (2019). Health benefits of heat-killed</w:t>
        <w:br/>
        <w:br/>
        <w:t xml:space="preserve">        (Tyndallized)  probiotics: An  overview.  International  Journal  of Molecular</w:t>
        <w:br/>
        <w:br/>
        <w:t xml:space="preserve">       Sciences, 20(10), 2534.</w:t>
        <w:br/>
        <w:br/>
        <w:t>Plan de Actuación Sobre Tuberculosis en Especies Silvestres. (2017). Ministerio de</w:t>
        <w:br/>
        <w:br/>
        <w:t xml:space="preserve">        Agricultura, Pesca y Alimentación.</w:t>
        <w:br/>
        <w:br/>
        <w:br/>
        <w:br/>
        <w:br/>
        <w:br/>
        <w:t xml:space="preserve">                                           MARÍA BRAVO SANTILLANA  371</w:t>
        <w:br/>
      </w:r>
    </w:p>
    <w:p>
      <w:r>
        <w:t>Página 372:</w:t>
        <w:br/>
        <w:t>REF | Referencias Bibliográficas</w:t>
        <w:br/>
        <w:br/>
        <w:t>Poeta, P., Costa, D., Igrejas, G., Rodrigues,  J., y Torres, C. (2007). Phenotypic and</w:t>
        <w:br/>
        <w:br/>
        <w:t xml:space="preserve">       genotypic characterization of antimicrobial resistance in faecal enterococci from</w:t>
        <w:br/>
        <w:br/>
        <w:t xml:space="preserve">       wild boars (Sus scrofa). Veterinary Microbiology, 125(3–4), 368–374.</w:t>
        <w:br/>
        <w:br/>
        <w:t>Pornsukarom, S., van Vliet, A. H., y Thakur, S. (2018). Whole genome sequencing analysis</w:t>
        <w:br/>
        <w:br/>
        <w:t xml:space="preserve">       of multiple Salmonella serovars provides insights into phylogenetic relatedness,</w:t>
        <w:br/>
        <w:br/>
        <w:t xml:space="preserve">       antimicrobial resistance, and virulence markers across humans, food animals</w:t>
        <w:br/>
        <w:br/>
        <w:t xml:space="preserve">      and agriculture environmental sources. BMC Genomics, 19(1), 1–14.</w:t>
        <w:br/>
        <w:br/>
        <w:t>Prabhu, V. R., Kamalakkannan, R., Arjun, M. S., y Nagarajan, M. (2020). Consequences of</w:t>
        <w:br/>
        <w:br/>
        <w:t xml:space="preserve">       domestication on gut microbiome: A comparative study between wild gaur and</w:t>
        <w:br/>
        <w:br/>
        <w:t xml:space="preserve">      domestic mithun. Frontiers in Microbiology, 11, 133.</w:t>
        <w:br/>
        <w:br/>
        <w:t>Praveena, P. E., Periasamy, S., Kumar, A., y Singh, N. (2010). Cytokine profiles, apoptosis</w:t>
        <w:br/>
        <w:br/>
        <w:t xml:space="preserve">      and pathology of experimental Pasteurella multocida serotype A1 infection in</w:t>
        <w:br/>
        <w:br/>
        <w:t xml:space="preserve">       mice. Research in Veterinary Science, 89(3), 332–339.</w:t>
        <w:br/>
        <w:br/>
        <w:t>Qin, W., Song, P., Lin, G., Huang, Y., Wang, L., Zhou, X., Li, S., y Zhang, T. (2020). Gut</w:t>
        <w:br/>
        <w:br/>
        <w:t xml:space="preserve">       Microbiota Plasticity Influences the Adaptability of Wild and Domestic Animals</w:t>
        <w:br/>
        <w:br/>
        <w:t xml:space="preserve">        in Co-inhabited Areas. Frontiers in Microbiology, 11, 125.</w:t>
        <w:br/>
        <w:br/>
        <w:t>Radostits, O. M., Gay, C., Hinchcliff, K. W., y Constable, P. D. (2007). Diseases associated</w:t>
        <w:br/>
        <w:br/>
        <w:t xml:space="preserve">       with Pasteurella species. In Veterinary medicina: A textbook of the diseases of</w:t>
        <w:br/>
        <w:br/>
        <w:t xml:space="preserve">        cattle, horses, sheep, pigs and goats (Vol. 10, pp. 921–963). Saunders Elsevier.</w:t>
        <w:br/>
        <w:br/>
        <w:t xml:space="preserve">       publisher:          10th            Co.,           Philadelphia,        USA</w:t>
        <w:br/>
        <w:br/>
        <w:br/>
        <w:br/>
        <w:t>Ramírez-López, C., y Vélez-Ruiz, J. F. (2016). Aislamiento, caracterización y selección de</w:t>
        <w:br/>
        <w:br/>
        <w:t xml:space="preserve">       bacterias lácticas autóctonas de leche y queso fresco artesanal de cabra.</w:t>
        <w:br/>
        <w:br/>
        <w:t xml:space="preserve">       Información Tecnológica, 27(6), 115–128.</w:t>
        <w:br/>
        <w:br/>
        <w:t xml:space="preserve"> 372  MARÍA BRAVO SANTILLANA</w:t>
        <w:br/>
      </w:r>
    </w:p>
    <w:p>
      <w:r>
        <w:t>Página 373:</w:t>
        <w:br/>
        <w:t xml:space="preserve">                               REF | Referencias Bibliográficas</w:t>
        <w:br/>
        <w:br/>
        <w:br/>
        <w:t>Rao, M., Streur, T. L., Aldwell, F. E., y Cook, G. M. (2001). Intracellular pH regulation by</w:t>
        <w:br/>
        <w:br/>
        <w:t xml:space="preserve">      Mycobacterium smegmatis and Mycobacterium  bovis BCG.  Microbiology,</w:t>
        <w:br/>
        <w:br/>
        <w:t xml:space="preserve">       147(4), 1017–1024.</w:t>
        <w:br/>
        <w:br/>
        <w:t>Real Decreto 138/2020, de 28 de enero, por el que se establece la normativa básica en</w:t>
        <w:br/>
        <w:br/>
        <w:t xml:space="preserve">       materia de actuaciones sanitarias en especies cinegéticas que actúan como</w:t>
        <w:br/>
        <w:br/>
        <w:t xml:space="preserve">       reservorio de la tuberculosis (complejo Mycobacterium tuberculosis)., (2020).</w:t>
        <w:br/>
        <w:br/>
        <w:t>Reenen, V. (1998). Isolation, purification and partial characterization of plantaricin 423,</w:t>
        <w:br/>
        <w:br/>
        <w:t xml:space="preserve">      a  bacteriocin  produced  by  Lactobacillus  plantarum.  Journal  of  Applied</w:t>
        <w:br/>
        <w:br/>
        <w:t xml:space="preserve">       Microbiology, 84(6), 1131–1137.</w:t>
        <w:br/>
        <w:br/>
        <w:t>Ren, C., Zhang, Q., De Haan, B.  J., Zhang, H., Faas, M. M., y De Vos, P. (2016).</w:t>
        <w:br/>
        <w:br/>
        <w:t xml:space="preserve">        Identification of TLR2/TLR6 signalling lactic acid bacteria for supporting immune</w:t>
        <w:br/>
        <w:br/>
        <w:t xml:space="preserve">       regulation. Scientific Reports, 6(1), 1–12.</w:t>
        <w:br/>
        <w:br/>
        <w:t>Repka, L. M., Chekan, J. R., Nair, S. K., y Van Der Donk, W. A. (2017). Mechanistic</w:t>
        <w:br/>
        <w:br/>
        <w:t xml:space="preserve">       understanding of lanthipeptide biosynthetic enzymes. Chemical Reviews, 117(8),</w:t>
        <w:br/>
        <w:br/>
        <w:t xml:space="preserve">      5457–5520.</w:t>
        <w:br/>
        <w:br/>
        <w:t>Rezvani, F., Ardestani, F., y Najafpour, G. (2017). Growth kinetic models of five species</w:t>
        <w:br/>
        <w:br/>
        <w:t xml:space="preserve">       of Lactobacilli and lactose consumption in batch submerged culture. Brazilian</w:t>
        <w:br/>
        <w:br/>
        <w:t xml:space="preserve">       Journal of Microbiology, 48(2), 251–258.</w:t>
        <w:br/>
        <w:br/>
        <w:t>Ribeiro, G., Gruninger, R., Badhan, A., y McAllister, T. (2016). Mining the rumen for</w:t>
        <w:br/>
        <w:br/>
        <w:t xml:space="preserve">        fibrolytic feed enzymes. Animal Frontiers, 6(2), 20–26.</w:t>
        <w:br/>
        <w:br/>
        <w:t>Ribelles,  P., Rodríguez,  I., y Suárez,  J.  E. (2012). LysA2, the Lactobacillus casei</w:t>
        <w:br/>
        <w:br/>
        <w:t xml:space="preserve">       bacteriophage A2 lysin is an endopeptidase active on a wide spectrum of lactic</w:t>
        <w:br/>
        <w:br/>
        <w:t xml:space="preserve">       acid bacteria. Applied Microbiology and Biotechnology, 94(1), 101–110.</w:t>
        <w:br/>
        <w:br/>
        <w:br/>
        <w:t xml:space="preserve">                                           MARÍA BRAVO SANTILLANA  373</w:t>
        <w:br/>
      </w:r>
    </w:p>
    <w:p>
      <w:r>
        <w:t>Página 374:</w:t>
        <w:br/>
        <w:t>REF | Referencias Bibliográficas</w:t>
        <w:br/>
        <w:br/>
        <w:t>Rich, J. T., Neely, J. G., Paniello, R. C., Voelker, C. C., Nussenbaum, B., y Wang, E. W.</w:t>
        <w:br/>
        <w:br/>
        <w:t xml:space="preserve">       (2010).  A   practical   guide   to   understanding   Kaplan-Meier   curves.</w:t>
        <w:br/>
        <w:br/>
        <w:t xml:space="preserve">      Otolaryngology—Head and Neck Surgery, 143(3), 331–336.</w:t>
        <w:br/>
        <w:br/>
        <w:t>Risco, D., Bravo, M., Martínez, R., Torres, A., Gonçalves, P., Cuesta, J., García-Jiménez,</w:t>
        <w:br/>
        <w:br/>
        <w:t xml:space="preserve">      W., Cerrato, R., Iglesias, R., y Galapero, J. (2018). Vaccination against porcine</w:t>
        <w:br/>
        <w:br/>
        <w:t xml:space="preserve">       Circovirus-2 reduces severity of tuberculosis in wild boar. Ecohealth, 15(2), 388–</w:t>
        <w:br/>
        <w:br/>
        <w:t xml:space="preserve">       395.</w:t>
        <w:br/>
        <w:br/>
        <w:t>Risco, D., Fernández-Llario, P., Cuesta, J. M., García-Jiménez, W. L., Gil, M., Gonçalves,</w:t>
        <w:br/>
        <w:br/>
        <w:t xml:space="preserve">         P., Martínez, R., Gómez, L., García, A., y Rey, J. (2013). Fatal outbreak of systemic</w:t>
        <w:br/>
        <w:br/>
        <w:t xml:space="preserve">        pasteurellosis in a wild boar (Sus scrofa) population from southwest Spain.</w:t>
        <w:br/>
        <w:br/>
        <w:t xml:space="preserve">       Journal of Veterinary Diagnostic Investigation, 25(6), 791–794.</w:t>
        <w:br/>
        <w:br/>
        <w:t>Risco, D., y García, A. (2020). Enfermedades respiratorias. In Principales enfermedades</w:t>
        <w:br/>
        <w:br/>
        <w:t xml:space="preserve">        infecciosas y parasitarias en el ganado ovino y caprino extensivo (pp. 145–160).</w:t>
        <w:br/>
        <w:br/>
        <w:t xml:space="preserve">        Servicio de Publicaciones UEx.</w:t>
        <w:br/>
        <w:br/>
        <w:t>Risco, D., Gonçalves, P., Mentaberre, G., Navarro-González, N., Casas-Díaz, E., Gassó, D.,</w:t>
        <w:br/>
        <w:br/>
        <w:t xml:space="preserve">      Colom-Cadena, A., Fernández-Aguilar, X., Castillo-Contreras, R., y Velarde, R.</w:t>
        <w:br/>
        <w:br/>
        <w:t xml:space="preserve">       (2018). Biometrical measurements as efficient indicators to assess wild boar</w:t>
        <w:br/>
        <w:br/>
        <w:t xml:space="preserve">      body condition. Ecological Indicators, 88, 43–50.</w:t>
        <w:br/>
        <w:br/>
        <w:t>Risco, D., Martínez, R., Bravo, M., Llario, P. F., Cerrato, R., Garcia-Jiménez, W. L.,</w:t>
        <w:br/>
        <w:br/>
        <w:t xml:space="preserve">       Gonçalves, P., García, A., Barquero-Pérez, Ó., y Quesada, A. (2019). Nasal</w:t>
        <w:br/>
        <w:br/>
        <w:t xml:space="preserve">       shedding of Mycobacterium tuberculosis in wild boar is related to generalised</w:t>
        <w:br/>
        <w:br/>
        <w:t xml:space="preserve">       tuberculosis and concomitant infections. Veterinary Record, 185(20), 629-629.</w:t>
        <w:br/>
        <w:br/>
        <w:t>Risco, D., Salguero, F. J., Cerrato, R., Gutierrez-Merino, J., Lanham-New, S., Barquero-</w:t>
        <w:br/>
        <w:br/>
        <w:t xml:space="preserve">       Pérez, Ó., Hermoso de Mendoza, J., y Fernández-Llario, P. (2016). Association</w:t>
        <w:br/>
        <w:br/>
        <w:t xml:space="preserve"> 374  MARÍA BRAVO SANTILLANA</w:t>
        <w:br/>
      </w:r>
    </w:p>
    <w:p>
      <w:r>
        <w:t>Página 375:</w:t>
        <w:br/>
        <w:t xml:space="preserve">                               REF | Referencias Bibliográficas</w:t>
        <w:br/>
        <w:br/>
        <w:br/>
        <w:t xml:space="preserve">      between vitamin D supplementation and severity of tuberculosis in wild boar</w:t>
        <w:br/>
        <w:br/>
        <w:t xml:space="preserve">      and red deer. Research in Veterinary Science, 108, 116–119.</w:t>
        <w:br/>
        <w:br/>
        <w:t>Risco, D., Serrano, E., Fernández-Llario, P., Cuesta, J. M., Gonçalves, P., García-Jiménez,</w:t>
        <w:br/>
        <w:br/>
        <w:t xml:space="preserve">     W. L., Martínez, R., Cerrato, R., Velarde, R., Gómez, L., Segalés, J., y Hermoso de</w:t>
        <w:br/>
        <w:br/>
        <w:t xml:space="preserve">      Mendoza,  J. (2014). Severity of Bovine Tuberculosis Is Associated with Co-</w:t>
        <w:br/>
        <w:br/>
        <w:t xml:space="preserve">       Infection with Common Pathogens in Wild Boar. PLOS ONE, 9(10), e110123.</w:t>
        <w:br/>
        <w:br/>
        <w:t>Rocha, D. J., Santos, C. S., y Pacheco, L. G. (2015). Bacterial reference genes for gene</w:t>
        <w:br/>
        <w:br/>
        <w:t xml:space="preserve">       expression studies by RT-qPCR: survey and analysis. Antonie Van Leeuwenhoek,</w:t>
        <w:br/>
        <w:br/>
        <w:t xml:space="preserve">       108(3), 685–693.</w:t>
        <w:br/>
        <w:br/>
        <w:t>Rocha-Ramírez, L., Pérez-Solano, R., Castañón-Alonso, S., Moreno Guerrero, S., Ramírez</w:t>
        <w:br/>
        <w:br/>
        <w:t xml:space="preserve">       Pacheco, A., García Garibay, M., y Eslava, C. (2017). Probiotic Lactobacillus strains</w:t>
        <w:br/>
        <w:br/>
        <w:t xml:space="preserve">       stimulate the inflammatory response and activate human macrophages. Journal</w:t>
        <w:br/>
        <w:br/>
        <w:t xml:space="preserve">       of Immunology Research, 2017.</w:t>
        <w:br/>
        <w:br/>
        <w:t>Roldán, M. L., Otero, J. L., Villarreal, F., Baroni, M. R., Carrasco, M. S., Álvarez, C., Russell-</w:t>
        <w:br/>
        <w:br/>
        <w:t xml:space="preserve">       White, K., Méndez, E. de los Á., y Simonetta, A. C. (2011). Efecto inhibidor de</w:t>
        <w:br/>
        <w:br/>
        <w:t xml:space="preserve">       Lactobacillus casei 206/1 contra Escherichia  coli O157: H7. Revista de La</w:t>
        <w:br/>
        <w:br/>
        <w:t xml:space="preserve">       Sociedad Venezolana de Microbiología, 31(1), 37–41.</w:t>
        <w:br/>
        <w:br/>
        <w:t>Roosaare, M., Vaher, M., Kaplinski, L., Möls, M., Andreson, R., Lepamets, M., Kõressaar,</w:t>
        <w:br/>
        <w:br/>
        <w:t xml:space="preserve">         T., Naaber, P., Kõljalg, S., y Remm, M. (2017). StrainSeeker: Fast identification of</w:t>
        <w:br/>
        <w:br/>
        <w:t xml:space="preserve">        bacterial strains from raw sequencing reads using user-provided guide trees.</w:t>
        <w:br/>
        <w:br/>
        <w:t xml:space="preserve">        PeerJ, 5, e3353.</w:t>
        <w:br/>
        <w:br/>
        <w:br/>
        <w:br/>
        <w:br/>
        <w:br/>
        <w:t xml:space="preserve">                                           MARÍA BRAVO SANTILLANA  375</w:t>
        <w:br/>
      </w:r>
    </w:p>
    <w:p>
      <w:r>
        <w:t>Página 376:</w:t>
        <w:br/>
        <w:t>REF | Referencias Bibliográficas</w:t>
        <w:br/>
        <w:br/>
        <w:t>Rowland, I., Gibson, G., Heinken, A., Scott, K., Swann, J., Thiele, I., y Tuohy, K. (2018).</w:t>
        <w:br/>
        <w:br/>
        <w:t xml:space="preserve">      Gut microbiota functions: Metabolism of nutrients and other food components.</w:t>
        <w:br/>
        <w:br/>
        <w:t xml:space="preserve">      European Journal of Nutrition, 57(1), 1–24.</w:t>
        <w:br/>
        <w:br/>
        <w:t>Saad, M. A., Abdelsamei, H. M., Ibrahim, E., Abdou, A. M., y El Sohaimy, S. A. (2015).</w:t>
        <w:br/>
        <w:br/>
        <w:t xml:space="preserve">        Effect of pH, heat treatments and proteinase K enzyme on the activity of</w:t>
        <w:br/>
        <w:br/>
        <w:t xml:space="preserve">       Lactobacillus acidophilus bacteriocin. Benha Veterinary Medical Journal, 28(1),</w:t>
        <w:br/>
        <w:br/>
        <w:t xml:space="preserve">      210–215.</w:t>
        <w:br/>
        <w:br/>
        <w:t>Sable, S., y Lortal, S. (1995). The lysins of bacteriophages infecting lactic acid bacteria.</w:t>
        <w:br/>
        <w:br/>
        <w:t xml:space="preserve">       Applied Microbiology and Biotechnology, 43(1), 1–6.</w:t>
        <w:br/>
        <w:br/>
        <w:t>Sáenz, Y., Rojo-Bezares, B., Navarro, L., Díez, L., Somalo, S., Zarazaga, M., Ruiz-Larrea, F.,</w:t>
        <w:br/>
        <w:br/>
        <w:t xml:space="preserve">       y Torres, C. (2009). Genetic diversity of the pln locus among oenological</w:t>
        <w:br/>
        <w:br/>
        <w:t xml:space="preserve">       Lactobacillus plantarum strains. International Journal of Food Microbiology,</w:t>
        <w:br/>
        <w:br/>
        <w:t xml:space="preserve">       134(3), 176–183.</w:t>
        <w:br/>
        <w:br/>
        <w:t>Saleem, A., Zanouny, A., y Singer, A. (2017). Growth performance, nutrients digestibility,</w:t>
        <w:br/>
        <w:br/>
        <w:t xml:space="preserve">      and blood metabolites of lambs fed diets supplemented with probiotics during</w:t>
        <w:br/>
        <w:br/>
        <w:t xml:space="preserve">       pre-and post-weaning period. Asian-Australasian Journal of Animal Sciences,</w:t>
        <w:br/>
        <w:br/>
        <w:t xml:space="preserve">        30(4), 523.</w:t>
        <w:br/>
        <w:br/>
        <w:t>Salminen, S., Collado, M. C., Endo, A., Hill, C., Lebeer, S., Quigley, E. M., Sanders, M. E.,</w:t>
        <w:br/>
        <w:br/>
        <w:t xml:space="preserve">       Shamir, R., Swann, J. R., y Szajewska, H. (2021). The International Scientific</w:t>
        <w:br/>
        <w:br/>
        <w:t xml:space="preserve">       Association of Probiotics and Prebiotics (ISAPP) consensus statement on the</w:t>
        <w:br/>
        <w:br/>
        <w:t xml:space="preserve">        definition and scope  of  postbiotics. Nature Reviews  Gastroenterology  y</w:t>
        <w:br/>
        <w:br/>
        <w:t xml:space="preserve">       Hepatology, 1–19.</w:t>
        <w:br/>
        <w:br/>
        <w:t>Sandoval-Mosqueda,   I.,  Llorente-Bousquets,  A.,  Montiel-Sosa,   J.,  Corona,  L.,  y</w:t>
        <w:br/>
        <w:br/>
        <w:t xml:space="preserve">       Guadarrama-Álvarez, Z. (2019). Encapsulation of Lactobacillus plantarum ATCC</w:t>
        <w:br/>
        <w:br/>
        <w:t xml:space="preserve"> 376  MARÍA BRAVO SANTILLANA</w:t>
        <w:br/>
      </w:r>
    </w:p>
    <w:p>
      <w:r>
        <w:t>Página 377:</w:t>
        <w:br/>
        <w:t xml:space="preserve">                               REF | Referencias Bibliográficas</w:t>
        <w:br/>
        <w:br/>
        <w:br/>
        <w:t xml:space="preserve">      8014 and Pediococcus acidilactici ATCC 8042 in a freeze-dried alginate-gum</w:t>
        <w:br/>
        <w:br/>
        <w:t xml:space="preserve">       arabic system and its in vitro testing under gastrointestinal conditions. Journal of</w:t>
        <w:br/>
        <w:br/>
        <w:t xml:space="preserve">       Microencapsulation, 36(7), 591–602.</w:t>
        <w:br/>
        <w:br/>
        <w:t>Sanhueza, E., Paredes-Osses, E., González, C. L., y García, A. (2015). Effect of pH in the</w:t>
        <w:br/>
        <w:br/>
        <w:t xml:space="preserve">        survival of Lactobacillus salivarius strain UCO_979C wild type and the pH acid</w:t>
        <w:br/>
        <w:br/>
        <w:t xml:space="preserve">       acclimated variant. Electronic Journal of Biotechnology, 18(5), 343–346.</w:t>
        <w:br/>
        <w:br/>
        <w:t>Şanlıbaba, P., y Güçer, Y. (2015). Antimicrobial activity of lactic acid bacteria. J. Int. Sci.</w:t>
        <w:br/>
        <w:br/>
        <w:t xml:space="preserve">       Publ, 3, 451–457.</w:t>
        <w:br/>
        <w:br/>
        <w:t>Santos,  N., Almeida,  V.,  Gortázar,  C., y  Correia-Neves, M.  (2015).  Patterns  of</w:t>
        <w:br/>
        <w:br/>
        <w:t xml:space="preserve">      Mycobacterium tuberculosis-complex excretion and characterization of super-</w:t>
        <w:br/>
        <w:br/>
        <w:t xml:space="preserve">      shedders in naturally-infected wild boar and red deer. Veterinary Research,</w:t>
        <w:br/>
        <w:br/>
        <w:t xml:space="preserve">        46(1), 1–10.</w:t>
        <w:br/>
        <w:br/>
        <w:t>Schroeder, B. O. (2019). Fight them or feed them: How the intestinal mucus layer</w:t>
        <w:br/>
        <w:br/>
        <w:t xml:space="preserve">      manages the gut microbiota. Gastroenterology Report, 7(1), 3–12.</w:t>
        <w:br/>
        <w:br/>
        <w:t>Schwiertz, A., y Rusch, V. (2016). A short definition of terms. In Microbiota of the Human</w:t>
        <w:br/>
        <w:br/>
        <w:t xml:space="preserve">      Body (pp. 1–3). Springer.</w:t>
        <w:br/>
        <w:br/>
        <w:t>Seemann, T. (2014). Prokka: Rapid prokaryotic genome annotation. Bioinformatics,</w:t>
        <w:br/>
        <w:br/>
        <w:t xml:space="preserve">       30(14), 2068–2069.</w:t>
        <w:br/>
        <w:br/>
        <w:t>Sengupta, R., Altermann, E., Anderson, R. C., McNabb, W. C., Moughan, P. J., y Roy, N.</w:t>
        <w:br/>
        <w:br/>
        <w:t xml:space="preserve">        C. (2013). The role of cell surface architecture of lactobacilli in host-microbe</w:t>
        <w:br/>
        <w:br/>
        <w:t xml:space="preserve">       interactions in the gastrointestinal tract. Mediators of Inflammation, 2013.</w:t>
        <w:br/>
        <w:br/>
        <w:br/>
        <w:br/>
        <w:br/>
        <w:br/>
        <w:t xml:space="preserve">                                           MARÍA BRAVO SANTILLANA  377</w:t>
        <w:br/>
      </w:r>
    </w:p>
    <w:p>
      <w:r>
        <w:t>Página 378:</w:t>
        <w:br/>
        <w:t>REF | Referencias Bibliográficas</w:t>
        <w:br/>
        <w:br/>
        <w:t>Shah, J. A., Lindestam Arlehamn, C. S., Horne, D. J., Sette, A., y Hawn, T. R. (2019).</w:t>
        <w:br/>
        <w:br/>
        <w:t xml:space="preserve">      Nontuberculous mycobacteria and heterologous immunity to tuberculosis. The</w:t>
        <w:br/>
        <w:br/>
        <w:t xml:space="preserve">       Journal of Infectious Diseases, 220(7), 1091–1098.</w:t>
        <w:br/>
        <w:br/>
        <w:t>Silva, Y. P., Bernardi, A., y Frozza, R. L. (2020). The role of short-chain fatty acids from</w:t>
        <w:br/>
        <w:br/>
        <w:t xml:space="preserve">       gut microbiota in gut-brain communication. Frontiers in Endocrinology, 11, 25.</w:t>
        <w:br/>
        <w:br/>
        <w:t>Sims, G. E., Jun, S.-R., Wu, G. A., y Kim, S.-H. (2009). Alignment-free genome comparison</w:t>
        <w:br/>
        <w:br/>
        <w:t xml:space="preserve">       with feature frequency profiles (FFP) and optimal resolutions. Proceedings of the</w:t>
        <w:br/>
        <w:br/>
        <w:t xml:space="preserve">       National Academy of Sciences, 106(8), 2677–2682.</w:t>
        <w:br/>
        <w:br/>
        <w:t>Singh, A.  P., Preet,  S., y Rishi, P. (2014). Nisin/β-lactam adjunct therapy against</w:t>
        <w:br/>
        <w:br/>
        <w:t xml:space="preserve">       Salmonella enterica serovar Typhimurium: A mechanistic approach. Journal of</w:t>
        <w:br/>
        <w:br/>
        <w:t xml:space="preserve">       Antimicrobial Chemotherapy, 69(7), 1877–1887.</w:t>
        <w:br/>
        <w:br/>
        <w:t>Singla,  V., Mandal,  S., Sharma,  P., Anand,  S., y Tomar,  S.  K. (2018). Antibiotic</w:t>
        <w:br/>
        <w:br/>
        <w:t xml:space="preserve">        susceptibility profile of Pediococcus spp. From diverse sources. 3 Biotech, 8(12),</w:t>
        <w:br/>
        <w:br/>
        <w:t xml:space="preserve">       489.</w:t>
        <w:br/>
        <w:br/>
        <w:t>Sivaraj, A., Sundar, R., Manikkam, R., Parthasarathy, K., Rani, U., y Kumar, V. (2018).</w:t>
        <w:br/>
        <w:br/>
        <w:t xml:space="preserve">       Potential  applications  of  lactic  acid  bacteria and  bacteriocins  in  anti-</w:t>
        <w:br/>
        <w:br/>
        <w:t xml:space="preserve">       mycobacterial therapy. Asian Pacific Journal of Tropical Medicine, 11(8), 453.</w:t>
        <w:br/>
        <w:br/>
        <w:t>Soltani, S., Hammami, R., Cotter, P. D., Rebuffat, S., Said, L. B., Gaudreau, H., Bédard, F.,</w:t>
        <w:br/>
        <w:br/>
        <w:t xml:space="preserve">       Biron, E., Drider, D., y Fliss,  I. (2021). Bacteriocins as a new generation of</w:t>
        <w:br/>
        <w:br/>
        <w:t xml:space="preserve">       antimicrobials: Toxicity aspects and regulations. FEMS Microbiology Reviews,</w:t>
        <w:br/>
        <w:br/>
        <w:t xml:space="preserve">        45(1), fuaa039.</w:t>
        <w:br/>
        <w:br/>
        <w:t>Sorbara, M.  T., y Pamer, E. G. (2019). Interbacterial mechanisms of colonization</w:t>
        <w:br/>
        <w:br/>
        <w:t xml:space="preserve">       resistance and the strategies pathogens use to overcome them. Mucosal</w:t>
        <w:br/>
        <w:br/>
        <w:t xml:space="preserve">      Immunology, 12(1), 1–9.</w:t>
        <w:br/>
        <w:br/>
        <w:t xml:space="preserve"> 378  MARÍA BRAVO SANTILLANA</w:t>
        <w:br/>
      </w:r>
    </w:p>
    <w:p>
      <w:r>
        <w:t>Página 379:</w:t>
        <w:br/>
        <w:t xml:space="preserve">                               REF | Referencias Bibliográficas</w:t>
        <w:br/>
        <w:br/>
        <w:br/>
        <w:t>Sosunov, V., Mischenko, V., Eruslanov, B., Svetoch, E., Shakina, Y., Stern, N., Majorov, K.,</w:t>
        <w:br/>
        <w:br/>
        <w:t xml:space="preserve">      Sorokoumova, G., Selishcheva, A., y Apt, A. (2007). Antimycobacterial activity of</w:t>
        <w:br/>
        <w:br/>
        <w:t xml:space="preserve">       bacteriocins and their complexes with liposomes. Journal of Antimicrobial</w:t>
        <w:br/>
        <w:br/>
        <w:t xml:space="preserve">      Chemotherapy, 59(5), 919–925.</w:t>
        <w:br/>
        <w:br/>
        <w:t>Stedman, A. (2017). BCG as a vaccine vehicle to deliver porcine immunity to African swine</w:t>
        <w:br/>
        <w:br/>
        <w:t xml:space="preserve">       fever    virus.    [Tesis    Doctoral,    University    of    Surrey].    ExLibris.</w:t>
        <w:br/>
        <w:br/>
        <w:t xml:space="preserve">       https://openresearch.surrey.ac.uk/esploro/outputs/doctoral/BCG-as-a-vaccine-</w:t>
        <w:br/>
        <w:br/>
        <w:t xml:space="preserve">       vehicle-to/99515580002346</w:t>
        <w:br/>
        <w:br/>
        <w:t>Stedman, A., de Motes, C. M., Lesellier, S., Dalley, D., Chambers, M., y Gutierrez-Merino,</w:t>
        <w:br/>
        <w:br/>
        <w:t xml:space="preserve">           J. (2018). Lactic acid Bacteria isolated from European badgers (Meles meles)</w:t>
        <w:br/>
        <w:br/>
        <w:t xml:space="preserve">      reduce the viability and survival of Bacillus Calmette-Guerin (BCG) vaccine and</w:t>
        <w:br/>
        <w:br/>
        <w:t xml:space="preserve">       influence the immune response to BCG in a human macrophage model. BMC</w:t>
        <w:br/>
        <w:br/>
        <w:t xml:space="preserve">       Microbiology, 18(1), 74.</w:t>
        <w:br/>
        <w:br/>
        <w:t>Stedman, A., van Vliet, A. H., A. Chambers, M., y Gutierrez-Merino,  J. (2020). Gut</w:t>
        <w:br/>
        <w:br/>
        <w:t xml:space="preserve">      commensal bacteria show beneficial properties as wildlife probiotics. Annals of</w:t>
        <w:br/>
        <w:br/>
        <w:t xml:space="preserve">       the New York Academy of Sciences, 1467(1), 112–132.</w:t>
        <w:br/>
        <w:br/>
        <w:t>Stefanovic, E., Casey, A., Cotter, P., Cavanagh, D., Fitzgerald, G., y McAuliffe, O. (2016).</w:t>
        <w:br/>
        <w:br/>
        <w:t xml:space="preserve">       Draft genome sequence of Lactobacillus casei DPC6800, an isolate with the</w:t>
        <w:br/>
        <w:br/>
        <w:t xml:space="preserve">       potential to diversify flavor in cheese. Genome Announcements, 4(2), e00063-</w:t>
        <w:br/>
        <w:br/>
        <w:t xml:space="preserve">       16.</w:t>
        <w:br/>
        <w:br/>
        <w:t>Subdirección General de Producciones Ganaderas y Cinegéticas, Dirección (Ed.). (2019).</w:t>
        <w:br/>
        <w:br/>
        <w:t xml:space="preserve">       Caracterización del sector ovino y caprino en España (No. 003-19-255–7;</w:t>
        <w:br/>
        <w:br/>
        <w:br/>
        <w:br/>
        <w:br/>
        <w:t xml:space="preserve">                                           MARÍA BRAVO SANTILLANA  379</w:t>
        <w:br/>
      </w:r>
    </w:p>
    <w:p>
      <w:r>
        <w:t>Página 380:</w:t>
        <w:br/>
        <w:t>REF | Referencias Bibliográficas</w:t>
        <w:br/>
        <w:br/>
        <w:t xml:space="preserve">       Catálogo de Publicaciones de La Administración General Del Estado, p. 22).</w:t>
        <w:br/>
        <w:br/>
        <w:t xml:space="preserve">       https://cpage.mpr.gob.es/</w:t>
        <w:br/>
        <w:br/>
        <w:t>Suez, J., Zmora, N., Segal, E., y Elinav, E. (2019). The pros, cons, and many unknowns of</w:t>
        <w:br/>
        <w:br/>
        <w:t xml:space="preserve">        probiotics. In Nature Medicine (Vol. 25, Issue 5, pp. 716–729). Nature Research.</w:t>
        <w:br/>
        <w:br/>
        <w:t xml:space="preserve">       https://doi.org/10.1038/s41591-019-0439-x</w:t>
        <w:br/>
        <w:br/>
        <w:t>Sugita, H., Matsuo, N., Hirose, Y., Iwato, M., y Deguchi, Y. (1997). Vibrio sp. Strain NM</w:t>
        <w:br/>
        <w:br/>
        <w:t xml:space="preserve">       10, isolated from the intestine of a Japanese coastal fish, has an inhibitory effect</w:t>
        <w:br/>
        <w:br/>
        <w:t xml:space="preserve">       against Pasteurella piscicida. Applied and Environmental Microbiology, 63(12),</w:t>
        <w:br/>
        <w:br/>
        <w:t xml:space="preserve">      4986–4989.</w:t>
        <w:br/>
        <w:br/>
        <w:t>Sun, B., Wang, X., Bernstein, S., Huffman, M. A., Xia, D.-P., Gu, Z., Chen, R., Sheeran, L.</w:t>
        <w:br/>
        <w:br/>
        <w:t xml:space="preserve">         K., Wagner, R. S., y Li, J. (2016). Marked variation between winter and spring gut</w:t>
        <w:br/>
        <w:br/>
        <w:t xml:space="preserve">       microbiota in free-ranging Tibetan Macaques (Macaca thibetana). Scientific</w:t>
        <w:br/>
        <w:br/>
        <w:t xml:space="preserve">       Reports, 6, 26035.</w:t>
        <w:br/>
        <w:br/>
        <w:t>Tai, H. F., Foo, H. L., Rahim, R. A., Loh, T. C., Abdullah, M. P., y Yoshinobu, K. (2015).</w:t>
        <w:br/>
        <w:br/>
        <w:t xml:space="preserve">       Molecular characterisation of new organisation of plnEF and plw  loci of</w:t>
        <w:br/>
        <w:br/>
        <w:t xml:space="preserve">       bacteriocin genes harbour concomitantly in Lactobacillus plantarum I-UL4.</w:t>
        <w:br/>
        <w:br/>
        <w:t xml:space="preserve">       Microbial Cell Factories, 14(1), 1–13.</w:t>
        <w:br/>
        <w:br/>
        <w:t>Takeuchi, O., y Akira, S. (2010). Pattern Recognition Receptors and Inflammation. In Cell</w:t>
        <w:br/>
        <w:br/>
        <w:t xml:space="preserve">        (Vol.     140,      Issue      6,     pp.     805–820).      Cell      Press.</w:t>
        <w:br/>
        <w:br/>
        <w:t xml:space="preserve">       https://doi.org/10.1016/j.cell.2010.01.022</w:t>
        <w:br/>
        <w:br/>
        <w:t>Teneva, D., Goranov, B., Denkova, R., Denkova, Z., y Kostov, G. (2016). Antimicrobial</w:t>
        <w:br/>
        <w:br/>
        <w:t xml:space="preserve">        activity of Lactobacillus plantarum  strains against Escherichia  coli  strains.</w:t>
        <w:br/>
        <w:br/>
        <w:t xml:space="preserve">        Scientific Works of University of Food Technologies, 63(1), 199-206.</w:t>
        <w:br/>
        <w:br/>
        <w:br/>
        <w:br/>
        <w:t xml:space="preserve"> 380  MARÍA BRAVO SANTILLANA</w:t>
        <w:br/>
      </w:r>
    </w:p>
    <w:p>
      <w:r>
        <w:t>Página 381:</w:t>
        <w:br/>
        <w:t xml:space="preserve">                               REF | Referencias Bibliográficas</w:t>
        <w:br/>
        <w:br/>
        <w:br/>
        <w:t>Thomas-White, K., Forster, S. C., Kumar, N., Van Kuiken, M., Putonti, C., Stares, M. D.,</w:t>
        <w:br/>
        <w:br/>
        <w:t xml:space="preserve">         Hilt, E. E., Price, T. K., Wolfe, A. J., y Lawley, T. D. (2018). Culturing of female</w:t>
        <w:br/>
        <w:br/>
        <w:t xml:space="preserve">       bladder bacteria reveals an interconnected urogenital microbiota. Nature</w:t>
        <w:br/>
        <w:br/>
        <w:t xml:space="preserve">      Communications, 9(1), 1557. https://doi.org/10.1038/s41467-018-03968-5</w:t>
        <w:br/>
        <w:br/>
        <w:t>Todorov, S., Botes, M., Guigas, C., Schillinger, U., Wiid, I., Wachsman, M., Holzapfel, W.,</w:t>
        <w:br/>
        <w:br/>
        <w:t xml:space="preserve">       y Dicks, L. (2008). Boza, a natural source of probiotic lactic acid bacteria. Journal</w:t>
        <w:br/>
        <w:br/>
        <w:t xml:space="preserve">       of Applied Microbiology, 104(2), 465–477.</w:t>
        <w:br/>
        <w:br/>
        <w:t>Todorov, S., y Dicks, L. (2006). Medium components effecting bacteriocin production by</w:t>
        <w:br/>
        <w:br/>
        <w:t xml:space="preserve">      two strains of Lactobacillus plantarum ST414BZ and ST664BZ isolated from boza.</w:t>
        <w:br/>
        <w:br/>
        <w:t xml:space="preserve">        Biologia, 61(3), 269–274.</w:t>
        <w:br/>
        <w:br/>
        <w:t>Todorov, S., Franco, B., y Wiid, I. (2014). In vitro study of beneficial properties and safety</w:t>
        <w:br/>
        <w:br/>
        <w:t xml:space="preserve">       of lactic acid bacteria isolated from Portuguese fermented meat products.</w:t>
        <w:br/>
        <w:br/>
        <w:t xml:space="preserve">        Beneficial Microbes, 5(3), 351–366.</w:t>
        <w:br/>
        <w:br/>
        <w:t>Townsend, K. M., Boyce, J. D., Chung, J. Y., Frost, A. J., y Adler, B. (2001). Genetic</w:t>
        <w:br/>
        <w:br/>
        <w:t xml:space="preserve">       organization of Pasteurella multocida cap loci and development of a multiplex</w:t>
        <w:br/>
        <w:br/>
        <w:t xml:space="preserve">       capsular PCR typing system. Journal of Clinical Microbiology, 39(3), 924–929.</w:t>
        <w:br/>
        <w:br/>
        <w:t>Treangen, T. J., Ondov, B. D., Koren, S., y Phillippy, A. M. (2014). The Harvest suite for</w:t>
        <w:br/>
        <w:br/>
        <w:t xml:space="preserve">       rapid core-genome alignment and visualization of thousands of intraspecific</w:t>
        <w:br/>
        <w:br/>
        <w:t xml:space="preserve">       microbial genomes. Genome Biology, 15(11), 1–15.</w:t>
        <w:br/>
        <w:br/>
        <w:t>Tulini, F. L. (2014). Isolation of lactic acid bacteria from milk and cheese with potential</w:t>
        <w:br/>
        <w:br/>
        <w:t xml:space="preserve">        for food biopreservation and utilization for increasing whey digestibility. [Tesis</w:t>
        <w:br/>
        <w:br/>
        <w:t xml:space="preserve">       Doctoral,     Universidade     de     Sao      Paulo].     Teses     USP.</w:t>
        <w:br/>
        <w:br/>
        <w:br/>
        <w:br/>
        <w:br/>
        <w:t xml:space="preserve">                                           MARÍA BRAVO SANTILLANA  381</w:t>
        <w:br/>
      </w:r>
    </w:p>
    <w:p>
      <w:r>
        <w:t>Página 382:</w:t>
        <w:br/>
        <w:t>REF | Referencias Bibliográficas</w:t>
        <w:br/>
        <w:br/>
        <w:t xml:space="preserve">       https://www.teses.usp.br/teses/disponiveis/60/60135/tde-30102014-</w:t>
        <w:br/>
        <w:br/>
        <w:t xml:space="preserve">       142251/publico/Tese_Completa_original.pdf</w:t>
        <w:br/>
        <w:br/>
        <w:t>Turgis, M., Khanh, D., Majid,  J., Behnoush, M., y Monique, L. (2016). Synergistic</w:t>
        <w:br/>
        <w:br/>
        <w:t xml:space="preserve">       antimicrobial effect of combined bacteriocins against food pathogens and</w:t>
        <w:br/>
        <w:br/>
        <w:t xml:space="preserve">       spoilage bacteria. Microb Res Inter, 4(1), 1–5.</w:t>
        <w:br/>
        <w:br/>
        <w:t>Unger, S. A., y Bogaert, D. (2017). The respiratory microbiome and respiratory infections.</w:t>
        <w:br/>
        <w:br/>
        <w:t xml:space="preserve">       Journal of Infection, 74, S84–S88.</w:t>
        <w:br/>
        <w:br/>
        <w:t>Ushida, K., Tsuchida, S., Ogura, Y., Toyoda, A., y Maruyama, F. (2016). Domestication and</w:t>
        <w:br/>
        <w:br/>
        <w:t xml:space="preserve">       cereal feeding developed domestic pig-type intestinal microbiota in animals of</w:t>
        <w:br/>
        <w:br/>
        <w:t xml:space="preserve">       suidae. Animal Science Journal, 87(6), 835–841.</w:t>
        <w:br/>
        <w:br/>
        <w:t>van Heel, A. J., de Jong, A., Song, C., Viel, J. H., Kok, J., y Kuipers, O. P. (2018). BAGEL4: A</w:t>
        <w:br/>
        <w:br/>
        <w:t xml:space="preserve">        user-friendly web server to thoroughly mine RiPPs and bacteriocins. Nucleic</w:t>
        <w:br/>
        <w:br/>
        <w:t xml:space="preserve">       Acids Research, 46(W1), W278–W281.</w:t>
        <w:br/>
        <w:br/>
        <w:t>Van Tassell, M. L., y Miller, M. J. (2011). Lactobacillus adhesion to mucus. Nutrients, 3(5),</w:t>
        <w:br/>
        <w:br/>
        <w:t xml:space="preserve">      613–636.</w:t>
        <w:br/>
        <w:br/>
        <w:t>Van Zyl, W., Deane, S., y Dicks, L. (2019). Bacteriocin production and adhesion properties</w:t>
        <w:br/>
        <w:br/>
        <w:t xml:space="preserve">       as mechanisms for the anti-listerial activity of Lactobacillus plantarum 423 and</w:t>
        <w:br/>
        <w:br/>
        <w:t xml:space="preserve">       Enterococcus mundtii ST4SA. Beneficial Microbes, 10(3), 329–349.</w:t>
        <w:br/>
        <w:br/>
        <w:t>Vásquez, S. M., Suárez, H., y Zapata, S. (2009). Utilización de sustancias antimicrobianas</w:t>
        <w:br/>
        <w:br/>
        <w:t xml:space="preserve">       producidas por bacterias ácido lácticas en la conservación de la carne. Revista</w:t>
        <w:br/>
        <w:br/>
        <w:t xml:space="preserve">       Chilena de Nutrición, 36(1), 64–71.</w:t>
        <w:br/>
        <w:br/>
        <w:t>Vasseur, M. V., Lacroix, M. Z., Toutain, P.-L., Bousquet-Melou, A., y Ferran, A. A. (2017).</w:t>
        <w:br/>
        <w:br/>
        <w:t xml:space="preserve">       Infection-stage adjusted dose of beta-lactams for parsimonious and efficient</w:t>
        <w:br/>
        <w:br/>
        <w:br/>
        <w:br/>
        <w:t xml:space="preserve"> 382  MARÍA BRAVO SANTILLANA</w:t>
        <w:br/>
      </w:r>
    </w:p>
    <w:p>
      <w:r>
        <w:t>Página 383:</w:t>
        <w:br/>
        <w:t xml:space="preserve">                               REF | Referencias Bibliográficas</w:t>
        <w:br/>
        <w:br/>
        <w:br/>
        <w:t xml:space="preserve">        antibiotic treatments: A Pasteurella multocida experimental pneumonia in mice.</w:t>
        <w:br/>
        <w:br/>
        <w:t xml:space="preserve">       Plos One, 12(8), e0182863.</w:t>
        <w:br/>
        <w:br/>
        <w:t>Velasco, J. L. F., Moreno, E. E. C., Ramírez, M. C., y Vara, I. A. D. (2006). Alimentos</w:t>
        <w:br/>
        <w:br/>
        <w:t xml:space="preserve">       funcionales para cerdos al destete. Veterinaria México, 37(1), 117–136.</w:t>
        <w:br/>
        <w:br/>
        <w:t>Vicente, J., Höfle, U., Garrido, J., Fernandez de Mera, I., Acevedo, P., Juste, R., Barral, M.,</w:t>
        <w:br/>
        <w:br/>
        <w:t xml:space="preserve">       y  Gortázar,  C.  (2007).  Risk  Factors  Associated With  the  Prevalence  of</w:t>
        <w:br/>
        <w:br/>
        <w:t xml:space="preserve">       Tuberculosis-Like Lesions in Fenced Wild Boar and Red Deer in South Central</w:t>
        <w:br/>
        <w:br/>
        <w:t xml:space="preserve">       Spain.          Veterinary          Research,          38,         451–464.</w:t>
        <w:br/>
        <w:br/>
        <w:t xml:space="preserve">       https://doi.org/10.1051/vetres:2007002</w:t>
        <w:br/>
        <w:br/>
        <w:t>Vicente, J., Höfle, U., Garrido, J. M., Fernández-De-Mera, I. G., Juste, R., Barral, M., y</w:t>
        <w:br/>
        <w:br/>
        <w:t xml:space="preserve">       Gortazar, C. (2006). Wild boar and red deer display high prevalences of</w:t>
        <w:br/>
        <w:br/>
        <w:t xml:space="preserve">        tuberculosis-like lesions in Spain. Veterinary Research, 37(1), 107–119.</w:t>
        <w:br/>
        <w:br/>
        <w:t>Viera, K. R. M., y Márquez, P. L. (2020). Utilización de animales en la investigación</w:t>
        <w:br/>
        <w:br/>
        <w:t xml:space="preserve">      biomédica y médica. Revista Iberoamericana de Bioética, 12, 01–19.</w:t>
        <w:br/>
        <w:br/>
        <w:t>Von Reyn, C. F., Mtei, L., Arbeit, R. D., Waddell, R., Cole, B., Mackenzie, T., Matee, M.,</w:t>
        <w:br/>
        <w:br/>
        <w:t xml:space="preserve">        Bakari, M., Tvaroha, S., y Adams, L. V. (2010). Prevention of tuberculosis in Bacille</w:t>
        <w:br/>
        <w:br/>
        <w:t xml:space="preserve">       Calmette–Guérin-primed, HIV-infected  adults boosted with an  inactivated</w:t>
        <w:br/>
        <w:br/>
        <w:t xml:space="preserve">       whole-cell mycobacterial vaccine. Aids, 24(5), 675–685.</w:t>
        <w:br/>
        <w:br/>
        <w:t>Wang, Y., Qin, Y., Xie, Q., Zhang, Y., Hu, J., y Li, P. (2018). Purification and characterization</w:t>
        <w:br/>
        <w:br/>
        <w:t xml:space="preserve">       of plantaricin LPL-1, a novel class IIa bacteriocin produced by Lactobacillus</w:t>
        <w:br/>
        <w:br/>
        <w:t xml:space="preserve">      plantarum LPL-1 isolated from fermented fish. Frontiers in Microbiology, 9, 2276.</w:t>
        <w:br/>
        <w:br/>
        <w:br/>
        <w:br/>
        <w:br/>
        <w:br/>
        <w:t xml:space="preserve">                                           MARÍA BRAVO SANTILLANA  383</w:t>
        <w:br/>
      </w:r>
    </w:p>
    <w:p>
      <w:r>
        <w:t>Página 384:</w:t>
        <w:br/>
        <w:t>REF | Referencias Bibliográficas</w:t>
        <w:br/>
        <w:br/>
        <w:t>Ward,  D., y Somkuti, G. (1995). Characterization of a bacteriocin produced by</w:t>
        <w:br/>
        <w:br/>
        <w:t xml:space="preserve">       Streptococcus thermophilus ST134. Applied Microbiology and Biotechnology,</w:t>
        <w:br/>
        <w:br/>
        <w:t xml:space="preserve">        43(2), 330–335.</w:t>
        <w:br/>
        <w:br/>
        <w:t>Ward, L., y Timmins, M. (1999). Differentiation of Lactobacillus casei, Lactobacillus</w:t>
        <w:br/>
        <w:br/>
        <w:t xml:space="preserve">       paracasei and Lactobacillus rhamnosus by polymerase chain reaction. Letters in</w:t>
        <w:br/>
        <w:br/>
        <w:t xml:space="preserve">       Applied Microbiology, 29(2), 90–92.</w:t>
        <w:br/>
        <w:br/>
        <w:t>Wegh, C. A., Geerlings, S. Y., Knol, J., Roeselers, G., y Belzer, C. (2019). Postbiotics and</w:t>
        <w:br/>
        <w:br/>
        <w:t xml:space="preserve">       Their Potential Applications in Early Life Nutrition and Beyond. International</w:t>
        <w:br/>
        <w:br/>
        <w:t xml:space="preserve">       Journal of Molecular Sciences, 20(19), 4673.</w:t>
        <w:br/>
        <w:br/>
        <w:t>Weindl, L., Frank, E., Ullrich, U., Heurich, M., Kleta, S., Ellerbroek, L., y Gareis, M. (2016).</w:t>
        <w:br/>
        <w:br/>
        <w:t xml:space="preserve">        Listeria monocytogenes in different specimens from healthy red deer and wild</w:t>
        <w:br/>
        <w:br/>
        <w:t xml:space="preserve">       boars. Foodborne Pathogens and Disease, 13(7), 391–397.</w:t>
        <w:br/>
        <w:br/>
        <w:t>Welsh, M. D., Cunningham, R. T., Corbett, D. M., Girvin, R. M., McNair, J., Skuce, R. A.,</w:t>
        <w:br/>
        <w:br/>
        <w:t xml:space="preserve">       Bryson, D. G., y Pollock, J. M. (2005). Influence of pathological progression on the</w:t>
        <w:br/>
        <w:br/>
        <w:t xml:space="preserve">       balance between cellular and humoral immune responses in bovine tuberculosis.</w:t>
        <w:br/>
        <w:br/>
        <w:t xml:space="preserve">      Immunology, 114(1), 101–111.</w:t>
        <w:br/>
        <w:br/>
        <w:t>WHO methods and data sources for country-level causes of death 2000-2019. (2020).</w:t>
        <w:br/>
        <w:br/>
        <w:t xml:space="preserve">      World Health Organization.</w:t>
        <w:br/>
        <w:br/>
        <w:t>Winglee, K., Eloe-Fadrosh, E., Gupta, S., Guo, H., Fraser, C., y Bishai, W. (2014). Aerosol</w:t>
        <w:br/>
        <w:br/>
        <w:t xml:space="preserve">      Mycobacterium tuberculosis infection causes rapid loss of diversity in gut</w:t>
        <w:br/>
        <w:br/>
        <w:t xml:space="preserve">       microbiota. PloS One, 9(5), e97048.</w:t>
        <w:br/>
        <w:br/>
        <w:t>Wood, M. R., Elaine, A. Y., y Mehta, S. (2017). The human microbiome in the fight against</w:t>
        <w:br/>
        <w:br/>
        <w:t xml:space="preserve">       tuberculosis. The American Journal of Tropical Medicine and Hygiene, 96(6),</w:t>
        <w:br/>
        <w:br/>
        <w:t xml:space="preserve">      1274–1284.</w:t>
        <w:br/>
        <w:br/>
        <w:t xml:space="preserve"> 384  MARÍA BRAVO SANTILLANA</w:t>
        <w:br/>
      </w:r>
    </w:p>
    <w:p>
      <w:r>
        <w:t>Página 385:</w:t>
        <w:br/>
        <w:t xml:space="preserve">                               REF | Referencias Bibliográficas</w:t>
        <w:br/>
        <w:br/>
        <w:br/>
        <w:t>Xavier, K. B. (2018). Bacterial interspecies quorum sensing in the mammalian gut</w:t>
        <w:br/>
        <w:br/>
        <w:t xml:space="preserve">       microbiota. Comptes Rendus Biologies, 341(5), 297–299.</w:t>
        <w:br/>
        <w:br/>
        <w:t>Xu, C., Fu, Y., Liu, F., Liu, Z., Ma,  J., Jiang, R., Song, C., Jiang, Z., y Hou, J. (2021).</w:t>
        <w:br/>
        <w:br/>
        <w:t xml:space="preserve">        Purification and antimicrobial mechanism of a novel bacteriocin produced by</w:t>
        <w:br/>
        <w:br/>
        <w:t xml:space="preserve">       Lactobacillus rhamnosus 1.0320. LWT, 137, 110338.</w:t>
        <w:br/>
        <w:br/>
        <w:t>Yatera, K., Noguchi, S., y Mukae, H. (2018). The microbiome in the lower respiratory</w:t>
        <w:br/>
        <w:br/>
        <w:t xml:space="preserve">        tract. Respiratory Investigation, 56(6), 432–439.</w:t>
        <w:br/>
        <w:br/>
        <w:t>Yoon, S. S., Kim, E.-K., y Lee, W.-J. (2015). Functional genomic and metagenomic</w:t>
        <w:br/>
        <w:br/>
        <w:t xml:space="preserve">      approaches  to  understanding  gut  microbiota–animal  mutualism.  Current</w:t>
        <w:br/>
        <w:br/>
        <w:t xml:space="preserve">       Opinion in Microbiology, 24, 38–46.</w:t>
        <w:br/>
        <w:br/>
        <w:t>Yoshida,  T.,  Sugimoto,  T.,  Sato,  M.,  y  Hirai,  K.  (2000).  Incidence  of  Listeria</w:t>
        <w:br/>
        <w:br/>
        <w:t xml:space="preserve">      monocytogenes in wild animals in Japan. Journal of Veterinary Medical Science,</w:t>
        <w:br/>
        <w:br/>
        <w:t xml:space="preserve">        62(6), 673–675.</w:t>
        <w:br/>
        <w:br/>
        <w:t>Yu, S., y Gao, N. (2015). Compartmentalizing intestinal epithelial cell toll-like receptors</w:t>
        <w:br/>
        <w:br/>
        <w:t xml:space="preserve">        for immune surveillance. In Cellular and Molecular Life Sciences (Vol. 72, Issue</w:t>
        <w:br/>
        <w:br/>
        <w:t xml:space="preserve">       17, pp. 3343–3353). Birkhauser Verlag AG. https://doi.org/10.1007/s00018-015-</w:t>
        <w:br/>
        <w:br/>
        <w:t xml:space="preserve">      1931-1</w:t>
        <w:br/>
        <w:br/>
        <w:t>Yu, X., Jaatinen, A., Rintahaka, J., Hynönen, U., Lyytinen, O., Kant, R., Åvall-Jääskeläinen,</w:t>
        <w:br/>
        <w:br/>
        <w:t xml:space="preserve">         S., von Ossowski, I., y Palva, A. (2015). Human gut-commensalic Lactobacillus</w:t>
        <w:br/>
        <w:br/>
        <w:t xml:space="preserve">       ruminis ATCC 25644 displays sortase-assembled surface piliation: Phenotypic</w:t>
        <w:br/>
        <w:br/>
        <w:t xml:space="preserve">       characterization of its fimbrial operon through in silico predictive analysis and</w:t>
        <w:br/>
        <w:br/>
        <w:t xml:space="preserve">      recombinant expression in Lactococcus lactis. PLoS One, 10(12), e0145718.</w:t>
        <w:br/>
        <w:br/>
        <w:br/>
        <w:br/>
        <w:br/>
        <w:t xml:space="preserve">                                           MARÍA BRAVO SANTILLANA  385</w:t>
        <w:br/>
      </w:r>
    </w:p>
    <w:p>
      <w:r>
        <w:t>Página 386:</w:t>
        <w:br/>
        <w:t>REF | Referencias Bibliográficas</w:t>
        <w:br/>
        <w:br/>
        <w:t>Zacharof, M., y Lovitt, R. (2012). Bacteriocins produced by lactic acid bacteria a review</w:t>
        <w:br/>
        <w:br/>
        <w:t xml:space="preserve">         article. Apcbee Procedia, 2, 50–56.</w:t>
        <w:br/>
        <w:br/>
        <w:t>Zankari,  E., Hasman, H., Cosentino,  S., Vestergaard, M., Rasmussen,  S., Lund, O.,</w:t>
        <w:br/>
        <w:br/>
        <w:t xml:space="preserve">       Aarestrup, F. M., y Larsen, M. V. (2012). Identification of acquired antimicrobial</w:t>
        <w:br/>
        <w:br/>
        <w:t xml:space="preserve">       resistance genes. Journal of Antimicrobial Chemotherapy, 67(11), 2640–2644.</w:t>
        <w:br/>
        <w:br/>
        <w:t>Zhang, D., Ji, H., Wang, S., Liu, H., Wang, J., y Wang, Y. (2019). In vitro characterisation</w:t>
        <w:br/>
        <w:br/>
        <w:t xml:space="preserve">       of two Lactobacillus strains and evaluation of their suitability as probiotics for</w:t>
        <w:br/>
        <w:br/>
        <w:t xml:space="preserve">       growing-finishing pigs. Animal Production Science, 59(8), 1537–1545.</w:t>
        <w:br/>
        <w:br/>
        <w:t>Zhang, Q., Lee, W.-B., Kang, J.-S., Kim, L. K., y Kim, Y.-J. (2018). Integrin CD11b negatively</w:t>
        <w:br/>
        <w:br/>
        <w:t xml:space="preserve">       regulates  Mincle-induced  signaling  via  the  Lyn–SIRPα–SHP1  complex.</w:t>
        <w:br/>
        <w:br/>
        <w:t xml:space="preserve">       Experimental y Molecular Medicine, 50(2), e439–e439.</w:t>
        <w:br/>
        <w:br/>
        <w:t>Zheng, J., Ruan, L., Sun, M., y Gänzle, M. (2015). A genomic view of lactobacilli and</w:t>
        <w:br/>
        <w:br/>
        <w:t xml:space="preserve">       pediococci demonstrates that phylogeny matches ecology and physiology.</w:t>
        <w:br/>
        <w:br/>
        <w:t xml:space="preserve">       Applied and Environmental Microbiology, 81(20), 7233–7243.</w:t>
        <w:br/>
        <w:br/>
        <w:t>Zheng, J., Wittouck, S., Salvetti, E., Franz, C. M., Harris, H. M., Mattarelli, P., O’Toole, P.</w:t>
        <w:br/>
        <w:br/>
        <w:t xml:space="preserve">      W., Pot, B., Vandamme, P., y Walter, J. (2020). A taxonomic note on the genus</w:t>
        <w:br/>
        <w:br/>
        <w:t xml:space="preserve">        Lactobacillus: Description of 23 novel genera, emended description of the genus</w:t>
        <w:br/>
        <w:br/>
        <w:t xml:space="preserve">       Lactobacillus   Beijerinck   1901,  and  union   of   Lactobacillaceae  and</w:t>
        <w:br/>
        <w:br/>
        <w:t xml:space="preserve">       Leuconostocaceae.  International  Journal  of  Systematic and  Evolutionary</w:t>
        <w:br/>
        <w:br/>
        <w:t xml:space="preserve">       Microbiology, 70(4), 2782–2858.</w:t>
        <w:br/>
        <w:br/>
        <w:br/>
        <w:br/>
        <w:br/>
        <w:br/>
        <w:t xml:space="preserve"> 386  MARÍA BRAVO SANTILLANA</w:t>
        <w:br/>
      </w:r>
    </w:p>
    <w:p>
      <w:r>
        <w:t>Página 387:</w:t>
        <w:br/>
        <w:t>REF | Referencias Bibliográficas</w:t>
        <w:br/>
        <w:br/>
        <w:br/>
        <w:br/>
        <w:br/>
        <w:br/>
        <w:t xml:space="preserve">   MARÍA BRAVO SANTILLANA  387</w:t>
        <w:br/>
      </w:r>
    </w:p>
    <w:p>
      <w:r>
        <w:t>Página 388:</w:t>
        <w:br/>
        <w:t>REF | Referencias Bibliográficas</w:t>
        <w:br/>
        <w:br/>
        <w:br/>
        <w:t xml:space="preserve"> APÉNDICES</w:t>
        <w:br/>
        <w:br/>
        <w:br/>
        <w:br/>
        <w:br/>
        <w:br/>
        <w:t xml:space="preserve"> 388  MARÍA BRAVO SANTILLANA</w:t>
        <w:br/>
      </w:r>
    </w:p>
    <w:p>
      <w:r>
        <w:t>Página 389:</w:t>
        <w:br/>
        <w:t xml:space="preserve">      APN | Apéndices</w:t>
        <w:br/>
        <w:br/>
        <w:br/>
        <w:br/>
        <w:br/>
        <w:br/>
        <w:t>MARÍA BRAVO SANTILLANA  389</w:t>
        <w:br/>
      </w:r>
    </w:p>
    <w:p>
      <w:r>
        <w:t>Página 390:</w:t>
        <w:br/>
        <w:t>REF | Referencias Bibliográficas</w:t>
        <w:br/>
        <w:br/>
        <w:t xml:space="preserve"> APÉNDICE I</w:t>
        <w:br/>
        <w:br/>
        <w:br/>
        <w:t xml:space="preserve"> Apéndice IA. Cebadores utilizados para la amplificación de los transcritos derivados de los precursores</w:t>
        <w:br/>
        <w:br/>
        <w:t xml:space="preserve">             de las bacteriocinas clase II de L. plantarum, L. paracasei y L. salivarius.</w:t>
        <w:br/>
        <w:br/>
        <w:t xml:space="preserve"> Gen    Bacteriocina                     Cebadores</w:t>
        <w:br/>
        <w:br/>
        <w:t xml:space="preserve"> plnE     Plantaricina E, L. plantarum         Fw: caatattccaggttgccgca     Rv: gaatgcctgcaactgaacca</w:t>
        <w:br/>
        <w:br/>
        <w:t xml:space="preserve"> plnF     Plantaricina F, L. plantarum         Fw: atttcaggtggcgttttcca      Rv: aatcctcggacagcgctaat</w:t>
        <w:br/>
        <w:br/>
        <w:t xml:space="preserve"> plnJ     Plantaricina J, L. plantarum          Fw: gccagcttcgccatcataaa     Rv: aggatttggatgtagtagatgca</w:t>
        <w:br/>
        <w:br/>
        <w:t xml:space="preserve"> plnK    Plantaricina K, L. plantarum         Fw: ttgaaccaccaagcacgg      Rv: ttgaagaattaactgctgacgc</w:t>
        <w:br/>
        <w:br/>
        <w:t xml:space="preserve"> A       Bacteriocina clase IIb, L. casei        Fw: agttgtcaggggtttcaggt      Rv: ccgccgattatcccaaaagg</w:t>
        <w:br/>
        <w:br/>
        <w:t xml:space="preserve"> B       Bacteriocina clase IIb, L. casei        Fw: gagccaagcgacgcaataaa    Rv: cgcctgcaacagttgtaaatg</w:t>
        <w:br/>
        <w:br/>
        <w:t xml:space="preserve"> Tα      Bacteriocina clase IId, L. salivarius    Fw: gcaatcagaggaggaatggc    Rv: ccgatacaagccaatccacc</w:t>
        <w:br/>
        <w:br/>
        <w:t xml:space="preserve"> Tβ      Bacteriocina clase IId, L. salivarius    Fw: gggaatggcattaattgggga    Rv: ggattaccgaaagctgcacc</w:t>
        <w:br/>
        <w:br/>
        <w:t xml:space="preserve"> gyrA   DNA topoisomerasa, L. plantarum    Fw: tttaagtcgcaacaccgtgg     Rv: gattcctttggccgtacgac</w:t>
        <w:br/>
        <w:br/>
        <w:t xml:space="preserve"> dnaG  DNA primasa, L. plantarum          Fw: agttggtagtcggtctggtg      Rv: cgcacctaaggatcagcaac</w:t>
        <w:br/>
        <w:br/>
        <w:t xml:space="preserve"> gyrA   DNA topoisomerasa, L. paracasei    Fw: cttccacgcatgatgtcctg      Rv: cgccttcatgcacgttgata</w:t>
        <w:br/>
        <w:br/>
        <w:t xml:space="preserve"> dnaG  DNA primasa, L. paracasei          Fw: cagttcggccaattgatcgt      Rv: cgactcgatccaggaatcca</w:t>
        <w:br/>
        <w:br/>
        <w:t xml:space="preserve"> gyrA   DNA topoisomerasa, L. salivarius     Fw: gttttgccagcacgttttcc       Rv: tcccattacaattgcgccag</w:t>
        <w:br/>
        <w:br/>
        <w:t xml:space="preserve"> dnaG  DNA primasa, L. salivarius           Fw: gcacaaagattcaacgtcgc     Rv: cgttctgctttctctgcctt</w:t>
        <w:br/>
        <w:br/>
        <w:t>gyrA y dnaG fueron seleccionados como genes constitutivos (Rocha et al., 2015).</w:t>
        <w:br/>
        <w:br/>
        <w:br/>
        <w:br/>
        <w:br/>
        <w:br/>
        <w:t xml:space="preserve"> 390  MARÍA BRAVO SANTILLANA</w:t>
        <w:br/>
      </w:r>
    </w:p>
    <w:p>
      <w:r>
        <w:t>Página 391:</w:t>
        <w:br/>
        <w:t xml:space="preserve">                                                              APN | Apéndices</w:t>
        <w:br/>
        <w:br/>
        <w:br/>
        <w:br/>
        <w:br/>
        <w:br/>
        <w:t>Apéndice IB. Correlación entre valores medios de log10 (UFC / mL) y log10 (FU) de M. bovis BCG en cocultivos con lactobacilos después de 48 horas (h) de incubación en caldo</w:t>
        <w:br/>
        <w:br/>
        <w:t>MH con OADC (10 %), Tween 80 (0,1 %) y glicerol (0,2 %). Los gráficos muestran una bondad de ajuste positiva entre log10 (UFC / mL) y log10 (FU) (R2&gt; 0.9).</w:t>
        <w:br/>
        <w:br/>
        <w:br/>
        <w:br/>
        <w:br/>
        <w:br/>
        <w:t xml:space="preserve">                                                                                     MARÍA BRAVO SANTILLANA    391</w:t>
        <w:br/>
      </w:r>
    </w:p>
    <w:p>
      <w:r>
        <w:t>Página 392:</w:t>
        <w:br/>
        <w:t>APN | Apéndices</w:t>
        <w:br/>
        <w:br/>
        <w:br/>
        <w:t xml:space="preserve">                       Apéndice IC. Proteínas codificadas por el clúster de la bacteriocina de péptido único de Ligilactobacillus salivarius C12</w:t>
        <w:br/>
        <w:br/>
        <w:t xml:space="preserve">  ORF (gen)    Tamaño (aa)                 Función                           Homólogo            %                   Referencia</w:t>
        <w:br/>
        <w:br/>
        <w:t xml:space="preserve">                                            Proteína putativa                                                                                      (Harris et al., 2017)    1 (T2)          87                                                           Ligilactobacillus salivarius CCUG47825      96</w:t>
        <w:br/>
        <w:br/>
        <w:t xml:space="preserve">    2 (T3)          57            Péptido similar a bacteriocinas              Ligilactobacillus salivarius UCC118        96                (Flynn et al., 2002)</w:t>
        <w:br/>
        <w:br/>
        <w:t xml:space="preserve">     3(T4)           85            Péptido similar a bacteriocinas            Ligilactobacillus salivarius ATCC11741      96                 (Harris et al., 2017)</w:t>
        <w:br/>
        <w:br/>
        <w:t xml:space="preserve">    4 (Ta)          80           Subunidad A bacteriocina ThmA         Blp1a, Ligilactobacillus salivarius BGH01     96        (Busarcevic y Dalgalarrondo, 2012)</w:t>
        <w:br/>
        <w:br/>
        <w:t xml:space="preserve">   5 (T1M1)         59                    Inmunidad                         Ligilactobacillus salivarius BGH01        82        (Busarcevic y Dalgalarrondo, 2012)</w:t>
        <w:br/>
        <w:br/>
        <w:t xml:space="preserve">    6 (Tb)          69           Subunidad B bacteriocina TmhB         Blp1b, Ligilactobacillus salivarius BGH01     100        (Busarcevic y Dalgalarrondo, 2012)</w:t>
        <w:br/>
        <w:br/>
        <w:t xml:space="preserve">   7 (T1M2)         54                    Inmunidad                         Ligilactobacillus salivarius BGH01        100        (Busarcevic y Dalgalarrondo, 2012)</w:t>
        <w:br/>
        <w:br/>
        <w:t xml:space="preserve">    8 (TIP)          39                Péptido de inducción                Ligilaactobacillus salivarius ATCC11741      79                 (Harris et al., 2017)</w:t>
        <w:br/>
        <w:br/>
        <w:t xml:space="preserve">    9 (TK)          429                    Histidina quinasa                   Ligilactobacillus salivarius ATCC11741      87                 (Harris et al., 2017)</w:t>
        <w:br/>
        <w:br/>
        <w:t xml:space="preserve">                  264             Regulador de la respuesta                Ligilactobacillus salivarius UCC118                            (Flynn et al., 2002)    10 (TR)                                                                                            99</w:t>
        <w:br/>
        <w:br/>
        <w:t xml:space="preserve">   11 (orf1)         76                   Proteína putativa                   Ligilactobacillus salivarius ATCC11741       99                 (Harris et al., 2017)</w:t>
        <w:br/>
        <w:br/>
        <w:t xml:space="preserve">    12(orf2)         65                   Proteína putativa                   Ligilactobacillus salivarius ATCC11741      100                (Harris et al., 2017)</w:t>
        <w:br/>
        <w:br/>
        <w:t xml:space="preserve">   13 (orf3)         44                   Proteína putativa                   Ligilactobacillus salivarius ATCC11741      100                (Harris et al., 2017)</w:t>
        <w:br/>
        <w:br/>
        <w:t xml:space="preserve">   14 (orf4)        237                  Proteína putativa                   Ligilactobacillus salivarius ATCC11741       98                 (Harris et al., 2017)</w:t>
        <w:br/>
        <w:br/>
        <w:t xml:space="preserve">   15 (orf5)         88                   Proteína putativa                   Ligilactobacillus salivarius CCUG47825      99                 (Harris et al., 2017)</w:t>
        <w:br/>
        <w:br/>
        <w:t xml:space="preserve">   16 (orf6)        273                       Integrasa                         Ligilactobacillus salivarius UCC118        99                (Flynn et al., 2002)</w:t>
        <w:br/>
        <w:br/>
        <w:br/>
        <w:br/>
        <w:t xml:space="preserve">    392    MARÍA BRAVO SANTILLANA</w:t>
        <w:br/>
      </w:r>
    </w:p>
    <w:p>
      <w:r>
        <w:t>Página 393:</w:t>
        <w:br/>
        <w:t xml:space="preserve">                                                              APN | Apéndices</w:t>
        <w:br/>
        <w:br/>
        <w:br/>
        <w:t xml:space="preserve">   Apéndice ID. Proteínas codificadas por el clúster de las bacteriocinas de dos péptidos de los aislados de Lactiplantibacillus plantarum y Lacticaseibacillus paracasei</w:t>
        <w:br/>
        <w:br/>
        <w:t>Aislados          ORF (gen)     Tamaño (aa)      Función                                 Homólogo (100%)               Referencia</w:t>
        <w:br/>
        <w:br/>
        <w:t xml:space="preserve">                                                      Proteasa CAAX autoinmunidad                                                     (Diep et al., 1996, 2009)C1/EML1/SA3       1 (W)          228                                                          PlnW, L. plantarum C11</w:t>
        <w:br/>
        <w:br/>
        <w:t xml:space="preserve">                  2 (V)          226              Proteasa CAAX autoinmunidad                     PlnV, L. plantarum C11           (Diep et al., 1996, 2009)</w:t>
        <w:br/>
        <w:br/>
        <w:t xml:space="preserve">                     3(U)           222                Familia CAAX proteína putativa                    PlnU, L. plantarum C11           (Diep et al., 1996, 2009)</w:t>
        <w:br/>
        <w:br/>
        <w:t xml:space="preserve">                  4 (T)          149                Familia CAAX proteína putativa                      PlnT, L. plantarum C11            (Diep et al., 1996, 2009)</w:t>
        <w:br/>
        <w:br/>
        <w:t xml:space="preserve">                  5 (S)          99                Proteína putativa                                    PlnS, L. plantarum C11            (Diep et al., 1996, 2009)</w:t>
        <w:br/>
        <w:br/>
        <w:t xml:space="preserve">                  6 (H)          458               Factor accesorio de transportador ABC             PlnH, L. plantarum C11           (Diep et al., 1996, 2009)</w:t>
        <w:br/>
        <w:br/>
        <w:t xml:space="preserve">                  7 (G)          716              Transportador ABC                                PlnG, L. plantarum C11           (Diep et al., 1996, 2009)</w:t>
        <w:br/>
        <w:br/>
        <w:t xml:space="preserve">                  8 (E)          56                 Plantaricina E                                       PlnE, L. plantarum C11            (Diep et al., 1996, 2009)</w:t>
        <w:br/>
        <w:br/>
        <w:t xml:space="preserve">                  9 (F)          52                 Plantaricina F                                        PlnF, L. plantarum C11            (Diep et al., 1996, 2009)</w:t>
        <w:br/>
        <w:br/>
        <w:t>SA5                             77                 Bacteriocina clase IIb                                      L. casei DPC6800                  (Stefanovic et al., 2016)                  1 (A)</w:t>
        <w:br/>
        <w:br/>
        <w:t xml:space="preserve">                  2 (B)          71                 Bacteriocina clase IIb                                      L. casei UCD174                 (Broadbent et al., 2012)</w:t>
        <w:br/>
        <w:br/>
        <w:t xml:space="preserve">                      3(C)           102               Proteína putativa                                          L. casei W56                   (Hochwind et al., 2012)</w:t>
        <w:br/>
        <w:br/>
        <w:t xml:space="preserve">                  4 (AT)         198                Acetiltransferasa                                           L. casei W56                   (Hochwind et al., 2012)</w:t>
        <w:br/>
        <w:br/>
        <w:t xml:space="preserve">                  5 (D)          111             Inmunidad                                                  L. casei DPC6800                  (Stefanovic et al., 2016)</w:t>
        <w:br/>
        <w:br/>
        <w:t xml:space="preserve">                  6 (E)          225              Metaloproteasa                                            L. casei W56                   (Hochwind et al., 2012)</w:t>
        <w:br/>
        <w:br/>
        <w:t xml:space="preserve">                  7 (F)          110               Proteína putativa                                          L. casei W56                   (Hochwind et al., 2012)</w:t>
        <w:br/>
        <w:br/>
        <w:t xml:space="preserve">                  8 (G)          52                Proteína de membrana putativa                         L. casei BL23                  (Mazé et al., 2010)</w:t>
        <w:br/>
        <w:br/>
        <w:br/>
        <w:t xml:space="preserve">                                                                                    MARÍA BRAVO SANTILLANA    393</w:t>
        <w:br/>
      </w:r>
    </w:p>
    <w:p>
      <w:r>
        <w:t>Página 394:</w:t>
        <w:br/>
        <w:t>APN | Apéndices</w:t>
        <w:br/>
        <w:br/>
        <w:br/>
        <w:br/>
        <w:br/>
        <w:t xml:space="preserve">                     Apéndice IE. Proteínas codificadas por los genes hipotéticos de bacteriolisinas identificadas en los aislados de lactobacilos</w:t>
        <w:br/>
        <w:br/>
        <w:t xml:space="preserve"> Proteína     Gen     Tamaño    Dominio catalítico conservado    Lactobacilosa       Homólogo (100%)                Referencia</w:t>
        <w:br/>
        <w:t xml:space="preserve">                            (aa)</w:t>
        <w:br/>
        <w:br/>
        <w:t xml:space="preserve"> Fago lisina   acm      245-772    Endopeptidasa        M23   C1, EML1, SA3, C2   Lactobacillus sp. CBA3606       L.  Genomas  completos  NCBI</w:t>
        <w:br/>
        <w:t xml:space="preserve">                                 Muramidasa GH25-PlyB          C12, SA5            paracasei ATCC 25302           L.  (Martin et al., 2006; Ward y</w:t>
        <w:br/>
        <w:t xml:space="preserve">                                                                                                        salivarius CECT 5713             Timmins, 1999)</w:t>
        <w:br/>
        <w:br/>
        <w:t xml:space="preserve"> Lisozima       lyc       309-921     Endolisina GH25-LysA             C2, C12, SA5           L. reuteri TD1 L. casei 32G         (Aktas et al., 2015; Leonard</w:t>
        <w:br/>
        <w:t xml:space="preserve">                                                                                                                                  et al., 2014)</w:t>
        <w:br/>
        <w:br/>
        <w:t xml:space="preserve"> Autolisina 1   lytA_1    486        Endopeptidasa C39            C2                       L. salivarius cp400               (MacKenzie et al., 2014)</w:t>
        <w:br/>
        <w:br/>
        <w:t xml:space="preserve"> Autolisina 2   lytA_2    350-468    Amidasa familia PGRP            C2, C12, SA5           L. salivarius ACS-116-V-Col5a L.   Genomas  completos  NCBI</w:t>
        <w:br/>
        <w:t xml:space="preserve">                                                                                                  casei 32G                         (Aktas et al., 2015)</w:t>
        <w:br/>
        <w:br/>
        <w:t xml:space="preserve"> Amidasa       lytC      282-350    MurNAc-LAA                     C1,  EML1,  SA3   Lactobacillus    sp.   CBA3606   Genomas completos NCBI</w:t>
        <w:br/>
        <w:t xml:space="preserve">                                                                        C2, C12, SA5         Lactobacillus sp. DS22_6</w:t>
        <w:br/>
        <w:br/>
        <w:t xml:space="preserve"> Toxina 1      toxA_1   125        Amidasa                     C2                       L. salivarius cp400               (MacKenzie et al., 2014)</w:t>
        <w:br/>
        <w:br/>
        <w:t xml:space="preserve"> Toxina 2      toxA_2   523        Endopeptidasa M23              C2, C12                 L. salivarius cp400               (MacKenzie et al., 2014)</w:t>
        <w:br/>
        <w:br/>
        <w:t>aAislados de lactobacilos del estudio en los que se ha identificado</w:t>
        <w:br/>
        <w:br/>
        <w:br/>
        <w:br/>
        <w:br/>
        <w:t xml:space="preserve">    394    MARÍA BRAVO SANTILLANA</w:t>
        <w:br/>
      </w:r>
    </w:p>
    <w:p>
      <w:r>
        <w:t>Página 395:</w:t>
        <w:br/>
        <w:t xml:space="preserve">                                                              APN | Apéndices</w:t>
        <w:br/>
        <w:br/>
        <w:t>APÉNDICE II</w:t>
        <w:br/>
        <w:t xml:space="preserve">   APÉNDICE II. Resultados de la mortalidad y los síntomas registrados tras las infecciones experimentales con Pasteurella multocida en modelo ratón en los grupos del</w:t>
        <w:br/>
        <w:t xml:space="preserve">                                                                             estudio</w:t>
        <w:br/>
        <w:br/>
        <w:br/>
        <w:br/>
        <w:t xml:space="preserve">          Grupo                                              Dosis                            Síntomas                Nº de bajas (dpi)d               Mortalidad (%)</w:t>
        <w:br/>
        <w:br/>
        <w:t xml:space="preserve">                                        Suplementoa      Antibióticob      Infecciónc                          1       2      3      4     5</w:t>
        <w:br/>
        <w:br/>
        <w:t xml:space="preserve"> Fase 0    Control                                            -                        -                      -             No            0       0      0      0     0         0 (0 %)</w:t>
        <w:br/>
        <w:br/>
        <w:t xml:space="preserve">          Suplemento                          1:1                       -                      -             No            0       0      0      0     0         0 (0 %)</w:t>
        <w:br/>
        <w:br/>
        <w:t xml:space="preserve">            Infección DL50                                  -                        -           DL50        Leves/Moderados      0       2      1      0     0         3 (50 %)</w:t>
        <w:br/>
        <w:br/>
        <w:t xml:space="preserve">            Infección DL100                                 -                        -           DL100            Graves           1       2      1      2     0        6 (100 %)</w:t>
        <w:br/>
        <w:br/>
        <w:t xml:space="preserve"> Fase 1   No tratamiento                                 -                        -           DL50        Leves/Moderados      0       2      1      0     0         3 (50 %)</w:t>
        <w:br/>
        <w:br/>
        <w:t xml:space="preserve">            Antibiótico                                       -          10mg/Kg/día       DL50              Leves           0       0      0      0     0         0 (0 %)</w:t>
        <w:br/>
        <w:br/>
        <w:t xml:space="preserve">          Suplemento                          1:1                       -           DL50        Leves/Moderados      0       0      3      0     0         3 (50 %)</w:t>
        <w:br/>
        <w:br/>
        <w:t xml:space="preserve"> Fase 2   No tratamiento                                 -                        -           DL100            Graves           1       3      2      0     0        6 (100 %)</w:t>
        <w:br/>
        <w:br/>
        <w:t xml:space="preserve">            Antibiótico                                       -          10mg/Kg/día      DL100            Graves           0       3      3      0     0        6 (100 %)</w:t>
        <w:br/>
        <w:br/>
        <w:t xml:space="preserve">          Suplemento                          1:1                       -           DL100            Graves           0       4      2      0     0        6 (100 %)</w:t>
        <w:br/>
        <w:br/>
        <w:t xml:space="preserve">            Antibiótico + suplemento             1:1         10mg/Kg/día      DL100       Moderados/Graves      1       0      3      0     0       2 (66,67 %)</w:t>
        <w:br/>
        <w:br/>
        <w:br/>
        <w:t>aSuplemento administrado en el agua de bebida en proporción 1:1 semanalmente (50 mL de sobrenadante de L. salivarius C12 en 50 mL de agua) 14 días antes de la infección y 5 días después</w:t>
        <w:br/>
        <w:t>bAntibiótico administrado en el agua de bebida a una dosis de 10 mg de doxaciclina por Kg de peso y por día durante 5 días (300 µL doxaciclina al 10 % en 100 mL de agua)</w:t>
        <w:br/>
        <w:t>cInóculo del patógeno Pasteurella multocida a DL50 (104 ufc/mL) o DL100 (107 ufc/mL)</w:t>
        <w:br/>
        <w:t>dNúmero de animales muertos en los días posinfección (dpi)</w:t>
        <w:br/>
        <w:br/>
        <w:br/>
        <w:br/>
        <w:br/>
        <w:t xml:space="preserve">                                                                                     MARÍA BRAVO SANTILLANA    395</w:t>
        <w:br/>
      </w:r>
    </w:p>
    <w:p>
      <w:r>
        <w:t>Página 396:</w:t>
        <w:br/>
        <w:t>APN | Apéndices</w:t>
        <w:br/>
        <w:br/>
        <w:t xml:space="preserve"> APÉNDICE III</w:t>
        <w:br/>
        <w:t xml:space="preserve">   APÉNDICE IIIA. Informe de resultados del diagnóstico previo de procesos infecciosos que causan</w:t>
        <w:br/>
        <w:t xml:space="preserve">                             mortalidad en un cebadero de corderos</w:t>
        <w:br/>
        <w:br/>
        <w:br/>
        <w:br/>
        <w:br/>
        <w:br/>
        <w:t xml:space="preserve"> 396  MARÍA BRAVO SANTILLANA</w:t>
        <w:br/>
      </w:r>
    </w:p>
    <w:p>
      <w:r>
        <w:t>Página 397:</w:t>
        <w:br/>
        <w:t xml:space="preserve">      APN | Apéndices</w:t>
        <w:br/>
        <w:br/>
        <w:br/>
        <w:br/>
        <w:br/>
        <w:br/>
        <w:t>MARÍA BRAVO SANTILLANA  397</w:t>
        <w:br/>
      </w:r>
    </w:p>
    <w:p>
      <w:r>
        <w:t>Página 398:</w:t>
        <w:br/>
        <w:t>APN | Apéndices</w:t>
        <w:br/>
        <w:br/>
        <w:br/>
        <w:br/>
        <w:br/>
        <w:br/>
        <w:t xml:space="preserve"> 398  MARÍA BRAVO SANTILLANA</w:t>
        <w:br/>
      </w:r>
    </w:p>
    <w:p>
      <w:r>
        <w:t>Página 399:</w:t>
        <w:br/>
        <w:t xml:space="preserve">      APN | Apéndices</w:t>
        <w:br/>
        <w:br/>
        <w:br/>
        <w:br/>
        <w:br/>
        <w:br/>
        <w:t>MARÍA BRAVO SANTILLANA  399</w:t>
        <w:br/>
      </w:r>
    </w:p>
    <w:p>
      <w:r>
        <w:t>Página 400:</w:t>
        <w:br/>
        <w:t>APN | Apéndices</w:t>
        <w:br/>
        <w:br/>
        <w:br/>
        <w:br/>
        <w:br/>
        <w:br/>
        <w:t xml:space="preserve"> 400  MARÍA BRAVO SANTILLANA</w:t>
        <w:br/>
      </w:r>
    </w:p>
    <w:p>
      <w:r>
        <w:t>Página 401:</w:t>
        <w:br/>
        <w:t xml:space="preserve">      APN | Apéndices</w:t>
        <w:br/>
        <w:br/>
        <w:br/>
        <w:br/>
        <w:br/>
        <w:br/>
        <w:t>MARÍA BRAVO SANTILLANA  401</w:t>
        <w:br/>
      </w:r>
    </w:p>
    <w:p>
      <w:r>
        <w:t>Página 402:</w:t>
        <w:br/>
        <w:t>APN | Apéndices</w:t>
        <w:br/>
        <w:br/>
        <w:br/>
        <w:br/>
        <w:t xml:space="preserve">  APÉNDICE IIIB. Informe de resultados de las pruebas de cribado para la selección de BAL candidatas</w:t>
        <w:br/>
        <w:t xml:space="preserve">          para el diseño y elaboración del producto posbiótico de un cebadero de corderos</w:t>
        <w:br/>
        <w:br/>
        <w:br/>
        <w:br/>
        <w:br/>
        <w:br/>
        <w:t xml:space="preserve"> 402  MARÍA BRAVO SANTILLANA</w:t>
        <w:br/>
      </w:r>
    </w:p>
    <w:p>
      <w:r>
        <w:t>Página 403:</w:t>
        <w:br/>
        <w:t xml:space="preserve">      APN | Apéndices</w:t>
        <w:br/>
        <w:br/>
        <w:br/>
        <w:br/>
        <w:br/>
        <w:br/>
        <w:t>MARÍA BRAVO SANTILLANA  403</w:t>
        <w:br/>
      </w:r>
    </w:p>
    <w:p>
      <w:r>
        <w:t>Página 404:</w:t>
        <w:br/>
        <w:t>APN | Apéndices</w:t>
        <w:br/>
        <w:br/>
        <w:br/>
        <w:br/>
        <w:br/>
        <w:br/>
        <w:t xml:space="preserve"> 404  MARÍA BRAVO SANTILLANA</w:t>
        <w:br/>
      </w:r>
    </w:p>
    <w:p>
      <w:r>
        <w:t>Página 405:</w:t>
        <w:br/>
        <w:t xml:space="preserve">                                 APN | Apéndices</w:t>
        <w:br/>
        <w:br/>
        <w:t>APÉNDICE IV</w:t>
        <w:br/>
        <w:t xml:space="preserve">  APÉNDICE IV. Resultados totales de los jabalíes abatidos y muestreados durante las dos temporadas de caza</w:t>
        <w:br/>
        <w:br/>
        <w:t xml:space="preserve">  Fecha      Finca      Jabalíes          Jabalíes        Lesiones       Lesiones        Lesiones         Inspección         Sueros      Sueros</w:t>
        <w:br/>
        <w:br/>
        <w:t>montería              abatidos      inspeccionados      TB       generalizadas     localizadas       incompleta       recogidos    positivos</w:t>
        <w:br/>
        <w:br/>
        <w:t xml:space="preserve">  20/1/18       1          151               10               0              0               0              NA                10            0</w:t>
        <w:br/>
        <w:br/>
        <w:t xml:space="preserve">  19/1/19       1          191               10               0              0               0              NA                10            0</w:t>
        <w:br/>
        <w:br/>
        <w:t xml:space="preserve">  4/11/17       2           71               10               0              0               0                  0                10            0</w:t>
        <w:br/>
        <w:br/>
        <w:t xml:space="preserve"> 17/10/18       2          116               10               0              0               0                  0                10            0</w:t>
        <w:br/>
        <w:br/>
        <w:t xml:space="preserve">  12/1/18       3           90                0               0              0               0              NA                6            0</w:t>
        <w:br/>
        <w:br/>
        <w:t xml:space="preserve">  7/2/19        3          131               10               0              0               0                  0                10            0</w:t>
        <w:br/>
        <w:br/>
        <w:t xml:space="preserve">  3/12/17       4           10                9               7              1               3                  3                 9            6</w:t>
        <w:br/>
        <w:br/>
        <w:t xml:space="preserve">  3/2/18        4           7                0               0              0               0              NA                7            7</w:t>
        <w:br/>
        <w:br/>
        <w:t xml:space="preserve"> 14/11/18       4           45                0               0              0               0              NA                10            9</w:t>
        <w:br/>
        <w:br/>
        <w:t xml:space="preserve">  30/1/19       4           45                0               0              0               0              NA                10            8</w:t>
        <w:br/>
        <w:br/>
        <w:t xml:space="preserve"> 13/12/17       5           57               10               8              2               6                  0                10            6</w:t>
        <w:br/>
        <w:br/>
        <w:t xml:space="preserve">  15/2/18       5           88               10               4              1               3                  0                10            7</w:t>
        <w:br/>
        <w:br/>
        <w:t xml:space="preserve">  20/2/19       5           39                8               6              2               1                  3                 8            7</w:t>
        <w:br/>
        <w:br/>
        <w:t xml:space="preserve">  4/11/17       6           53               10               5              0               5                  0                10            0</w:t>
        <w:br/>
        <w:br/>
        <w:t xml:space="preserve">  9/11/18       6           55                9               1              0               1                  0                 9            0</w:t>
        <w:br/>
        <w:br/>
        <w:t xml:space="preserve">  10/2/18       7           15               15               5              2               3                  0                15            8</w:t>
        <w:br/>
        <w:br/>
        <w:t xml:space="preserve"> 15/11/18       7           87                0               0              0               0              NA                10            5</w:t>
        <w:br/>
        <w:br/>
        <w:t xml:space="preserve">  3/1/19        7           13               10               4              2               1                  1                10            0</w:t>
        <w:br/>
        <w:br/>
        <w:t xml:space="preserve">  3/2/18        8           48               10               0              0               0              NA                10            0</w:t>
        <w:br/>
        <w:br/>
        <w:t xml:space="preserve">  11/1/19       8           60               10               2              1               1                  0                10            0</w:t>
        <w:br/>
        <w:br/>
        <w:t xml:space="preserve">  27/1/18       9          185               10               5              0               5                  0                10            3</w:t>
        <w:br/>
        <w:br/>
        <w:t xml:space="preserve">  9/2/19        9          175               10               0              0               0                  0                10            3</w:t>
        <w:br/>
        <w:br/>
        <w:t xml:space="preserve"> 18/11/17      10          107               0               0              0               0                  0                14            5</w:t>
        <w:br/>
        <w:br/>
        <w:t xml:space="preserve"> 22/12/18      10          161               8               0              0               0                  0                 8            0</w:t>
        <w:br/>
        <w:br/>
        <w:t xml:space="preserve"> 31/10/17      11          132               10               1              0               1                  0                 0         NA</w:t>
        <w:br/>
        <w:br/>
        <w:t xml:space="preserve"> 24/11/18      11          75               10               3              1               1                  1                 0         NA</w:t>
        <w:br/>
        <w:br/>
        <w:t xml:space="preserve">  9/2/18       12          11               10              10              4               6                  0                10            8</w:t>
        <w:br/>
        <w:br/>
        <w:t xml:space="preserve">  14/1/19       12           7                5               5              0               0                  5                 5            0</w:t>
        <w:br/>
        <w:br/>
        <w:t xml:space="preserve"> 28/12/17      13          38               10               2              0               2                  0                10            2</w:t>
        <w:br/>
        <w:br/>
        <w:t xml:space="preserve">  18/1/19       13          148               10               0              0               0                  0                10            3</w:t>
        <w:br/>
        <w:br/>
        <w:t xml:space="preserve">  20/1/18       14          11               10               0              0               0              NA                10            3</w:t>
        <w:br/>
        <w:br/>
        <w:t xml:space="preserve">  9/1/19       14          16                3               0              0               0                  0                 3            0</w:t>
        <w:br/>
        <w:br/>
        <w:t xml:space="preserve">  20/1/18       15          171               10               8              3               5                  0                10            7</w:t>
        <w:br/>
        <w:br/>
        <w:t xml:space="preserve"> 13/12/18      15          178               15               3              1               2                  0                15            1</w:t>
        <w:br/>
        <w:br/>
        <w:t xml:space="preserve"> 15/11/17      16          33               10               0              0               0                  0                10            2</w:t>
        <w:br/>
        <w:br/>
        <w:t xml:space="preserve">  18/2/19       16          31                0               0              0               0              NA                9            0</w:t>
        <w:br/>
        <w:br/>
        <w:t xml:space="preserve"> 22/11/17      17          103               10               7              4               3                  0                 0         NA</w:t>
        <w:br/>
        <w:br/>
        <w:t xml:space="preserve">  12/1/19       17          86               10               3              0               3                  0                 0         NA</w:t>
        <w:br/>
        <w:br/>
        <w:t xml:space="preserve"> 11/11/17      18          17                9               7              2               5                  0                 9            6</w:t>
        <w:br/>
        <w:br/>
        <w:t xml:space="preserve"> 16/12/17      18          17                8               0              0               0                  0                10            3</w:t>
        <w:br/>
        <w:br/>
        <w:t xml:space="preserve">  13/1/18       18          49               10               8              0               8                  0                10            3</w:t>
        <w:br/>
        <w:br/>
        <w:t xml:space="preserve"> 17/11/18      18          16                9               5              0               5                  0                 9            3</w:t>
        <w:br/>
        <w:br/>
        <w:t xml:space="preserve">  8/12/18       18          44                0               0              0               0                  0                10            4</w:t>
        <w:br/>
        <w:br/>
        <w:t xml:space="preserve"> 22/12/18      18          56               10               8              1               1                  6                10            6</w:t>
        <w:br/>
        <w:br/>
        <w:t xml:space="preserve">  13/2/18       19          72               10               6              2               4                  0                10            5</w:t>
        <w:br/>
        <w:br/>
        <w:t xml:space="preserve">  14/2/19       19          49                8               6              0               0              NA                10            6</w:t>
        <w:br/>
        <w:br/>
        <w:t xml:space="preserve">  15/2/19       19          30               10               5              0               0              NA                10            7</w:t>
        <w:br/>
        <w:br/>
        <w:t xml:space="preserve"> 20/10/17      20           8                4               2              1               1                  0                 4            0</w:t>
        <w:br/>
        <w:br/>
        <w:t xml:space="preserve">  27/1/18       20          18                9               4              1               3                  0                 9            3</w:t>
        <w:br/>
        <w:br/>
        <w:t xml:space="preserve"> 27/10/18      20          18               10               5              1               3                  1                10            7</w:t>
        <w:br/>
        <w:br/>
        <w:t xml:space="preserve">  12/1/19       20          15               10               1              0               1                  0                10            0</w:t>
        <w:br/>
        <w:br/>
        <w:t xml:space="preserve">      TOTAL              3449              409             146             32               83                 20               449          153</w:t>
        <w:br/>
        <w:br/>
        <w:br/>
        <w:br/>
        <w:t xml:space="preserve">                                          MARÍA BRAVO SANTILLANA  405</w:t>
        <w:br/>
      </w:r>
    </w:p>
    <w:p>
      <w:r>
        <w:t>Página 406:</w:t>
        <w:br/>
        <w:t>APN | Apéndices</w:t>
        <w:br/>
        <w:br/>
        <w:br/>
        <w:br/>
        <w:br/>
        <w:br/>
        <w:t xml:space="preserve"> 406  MARÍA BRAVO SANTILLANA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