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 = 12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YOP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Design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Cross-sectional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Cross-sectional comparative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Quasi-Experimental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Study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Institutional Setting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Online Survey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Relocation Camps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School Based Survey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Telephone Survey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 Slum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Climatic Events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Flood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Hurricane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Hurricane and Flood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Multiple (Coastal or Riverbank erosion,Cyclone, Flood)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Typhoon, mudslides, flooding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Country-Economy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LMIC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(17%)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2026-09-08T18:58:21Z</dcterms:created>
  <dcterms:modified xsi:type="dcterms:W3CDTF">2026-09-08T18:58:21Z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