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FB94" w14:textId="7589EB7C" w:rsidR="00234CDD" w:rsidRPr="001E0F24" w:rsidRDefault="00234CDD" w:rsidP="00EB4875">
      <w:pPr>
        <w:pStyle w:val="Heading1"/>
        <w:rPr>
          <w:sz w:val="72"/>
          <w:szCs w:val="72"/>
          <w:lang w:val="en-IN"/>
        </w:rPr>
      </w:pPr>
      <w:r w:rsidRPr="001E0F24">
        <w:rPr>
          <w:sz w:val="72"/>
          <w:szCs w:val="72"/>
          <w:lang w:val="en-IN"/>
        </w:rPr>
        <w:t>Identification Phase</w:t>
      </w:r>
    </w:p>
    <w:p w14:paraId="56CB0EAB" w14:textId="77777777" w:rsidR="00234CDD" w:rsidRPr="00234CDD" w:rsidRDefault="00234CDD" w:rsidP="00234CDD">
      <w:pPr>
        <w:rPr>
          <w:lang w:val="en-IN"/>
        </w:rPr>
      </w:pPr>
    </w:p>
    <w:p w14:paraId="46FE8EE9" w14:textId="4B14087D" w:rsidR="00234CDD" w:rsidRPr="001E0F24" w:rsidRDefault="004B12D2" w:rsidP="00234CDD">
      <w:pPr>
        <w:rPr>
          <w:sz w:val="32"/>
          <w:szCs w:val="32"/>
          <w:lang w:val="en-IN"/>
        </w:rPr>
      </w:pPr>
      <w:r>
        <w:rPr>
          <w:sz w:val="32"/>
          <w:szCs w:val="32"/>
          <w:lang w:val="en-IN"/>
        </w:rPr>
        <w:t xml:space="preserve">                </w:t>
      </w:r>
      <w:r w:rsidR="00234CDD" w:rsidRPr="001E0F24">
        <w:rPr>
          <w:sz w:val="32"/>
          <w:szCs w:val="32"/>
          <w:lang w:val="en-IN"/>
        </w:rPr>
        <w:t xml:space="preserve">The Identification Phase serves as the critical foundation for our </w:t>
      </w:r>
      <w:proofErr w:type="spellStart"/>
      <w:r w:rsidR="00234CDD" w:rsidRPr="001E0F24">
        <w:rPr>
          <w:sz w:val="32"/>
          <w:szCs w:val="32"/>
          <w:lang w:val="en-IN"/>
        </w:rPr>
        <w:t>ServiceNow</w:t>
      </w:r>
      <w:proofErr w:type="spellEnd"/>
      <w:r w:rsidR="00234CDD" w:rsidRPr="001E0F24">
        <w:rPr>
          <w:sz w:val="32"/>
          <w:szCs w:val="32"/>
          <w:lang w:val="en-IN"/>
        </w:rPr>
        <w:t xml:space="preserve"> improvement project, focusing intently on recognizing a pervasive core problem within the Incident Management system that undermines operational efficiency across organizations worldwide. In typical IT service environments, incidents are routinely transitioned to the "In Progress" state by support agents without the essential Priority value being assigned—a field absolutely vital for gauging both the urgency and broader business impact of each reported issue. This seemingly simple oversight creates ripple effects throughout the entire IT service management lifecycle, as Priority directly influences how resources are allocated, how escalations are triggered, and ultimately how service levels are maintained or breached.</w:t>
      </w:r>
    </w:p>
    <w:p w14:paraId="2EBD63DA" w14:textId="77777777" w:rsidR="00234CDD" w:rsidRPr="00234CDD" w:rsidRDefault="00234CDD" w:rsidP="00234CDD">
      <w:pPr>
        <w:rPr>
          <w:lang w:val="en-IN"/>
        </w:rPr>
      </w:pPr>
    </w:p>
    <w:p w14:paraId="232464FE" w14:textId="77777777" w:rsidR="004B12D2" w:rsidRDefault="004B12D2" w:rsidP="00234CDD">
      <w:pPr>
        <w:rPr>
          <w:sz w:val="32"/>
          <w:szCs w:val="32"/>
          <w:lang w:val="en-IN"/>
        </w:rPr>
      </w:pPr>
      <w:r>
        <w:rPr>
          <w:sz w:val="32"/>
          <w:szCs w:val="32"/>
          <w:lang w:val="en-IN"/>
        </w:rPr>
        <w:t xml:space="preserve">            </w:t>
      </w:r>
      <w:r w:rsidR="00234CDD" w:rsidRPr="003C12F4">
        <w:rPr>
          <w:sz w:val="32"/>
          <w:szCs w:val="32"/>
          <w:lang w:val="en-IN"/>
        </w:rPr>
        <w:t xml:space="preserve">When the Priority field remains unfilled during this critical state transition, organizations encounter a cascade of operational challenges that compound daily. Incorrect Service Level Agreement calculations emerge as the most immediate consequence, since SLAs in </w:t>
      </w:r>
      <w:proofErr w:type="spellStart"/>
      <w:r w:rsidR="00234CDD" w:rsidRPr="003C12F4">
        <w:rPr>
          <w:sz w:val="32"/>
          <w:szCs w:val="32"/>
          <w:lang w:val="en-IN"/>
        </w:rPr>
        <w:t>ServiceNow</w:t>
      </w:r>
      <w:proofErr w:type="spellEnd"/>
      <w:r w:rsidR="00234CDD" w:rsidRPr="003C12F4">
        <w:rPr>
          <w:sz w:val="32"/>
          <w:szCs w:val="32"/>
          <w:lang w:val="en-IN"/>
        </w:rPr>
        <w:t xml:space="preserve"> are inherently tied to Priority values—Critical incidents demand resolution within four hours, High within eight, Moderate within twenty-four, and so on. </w:t>
      </w:r>
    </w:p>
    <w:p w14:paraId="16C214A0" w14:textId="77777777" w:rsidR="004B12D2" w:rsidRDefault="004B12D2" w:rsidP="00234CDD">
      <w:pPr>
        <w:rPr>
          <w:sz w:val="32"/>
          <w:szCs w:val="32"/>
          <w:lang w:val="en-IN"/>
        </w:rPr>
      </w:pPr>
    </w:p>
    <w:p w14:paraId="32AC688E" w14:textId="6522896A" w:rsidR="00234CDD" w:rsidRPr="003C12F4" w:rsidRDefault="004B12D2" w:rsidP="00234CDD">
      <w:pPr>
        <w:rPr>
          <w:sz w:val="32"/>
          <w:szCs w:val="32"/>
          <w:lang w:val="en-IN"/>
        </w:rPr>
      </w:pPr>
      <w:r>
        <w:rPr>
          <w:sz w:val="32"/>
          <w:szCs w:val="32"/>
          <w:lang w:val="en-IN"/>
        </w:rPr>
        <w:t xml:space="preserve">           </w:t>
      </w:r>
      <w:r w:rsidR="00234CDD" w:rsidRPr="003C12F4">
        <w:rPr>
          <w:sz w:val="32"/>
          <w:szCs w:val="32"/>
          <w:lang w:val="en-IN"/>
        </w:rPr>
        <w:t>Without this classification, the platform's sophisticated SLA engine generates flawed breach predictions, misleading management dashboards, and triggering unnecessary escalations or conversely allowing true emergencies to languish unresolved. Beyond SLAs, poor incident prioritization becomes rampant as team leads face queues filled with undifferentiated tickets, forcing arbitrary assignment decisions that delay high-impact resolutions while low-priority items consume disproportionate attention. Reporting suffers catastrophically as well—executive summaries showing service performance metrics become unreliable when 35-40% of active incidents lack proper classification, eroding trust in the platform's analytics capabilities and complicating capacity planning efforts.</w:t>
      </w:r>
    </w:p>
    <w:p w14:paraId="1B33D892" w14:textId="77777777" w:rsidR="00234CDD" w:rsidRPr="003C12F4" w:rsidRDefault="00234CDD" w:rsidP="00234CDD">
      <w:pPr>
        <w:rPr>
          <w:sz w:val="32"/>
          <w:szCs w:val="32"/>
          <w:lang w:val="en-IN"/>
        </w:rPr>
      </w:pPr>
    </w:p>
    <w:p w14:paraId="2F08095F" w14:textId="0B1F35B0" w:rsidR="00234CDD" w:rsidRPr="003C12F4" w:rsidRDefault="004B12D2" w:rsidP="00234CDD">
      <w:pPr>
        <w:rPr>
          <w:sz w:val="32"/>
          <w:szCs w:val="32"/>
          <w:lang w:val="en-IN"/>
        </w:rPr>
      </w:pPr>
      <w:r>
        <w:rPr>
          <w:sz w:val="32"/>
          <w:szCs w:val="32"/>
          <w:lang w:val="en-IN"/>
        </w:rPr>
        <w:t xml:space="preserve">        </w:t>
      </w:r>
      <w:r w:rsidR="00234CDD" w:rsidRPr="003C12F4">
        <w:rPr>
          <w:sz w:val="32"/>
          <w:szCs w:val="32"/>
          <w:lang w:val="en-IN"/>
        </w:rPr>
        <w:t>Support teams bear the heaviest burden from this data quality gap, struggling to manage their workloads efficiently when critical context is systematically absent from records. Agents waste valuable time hunting for missing prioritization details, re-interviewing callers to extract urgency information that should have been captured upfront, or making best-guess assignments that frequently prove incorrect. Team leads inherit these incomplete records and must compensate through manual triage processes, while service managers face the unenviable task of explaining SLA shortfalls and customer dissatisfaction trends during monthly reviews. The end result manifests as increased mean time to resolution, higher escalation volumes, elevated customer frustration scores, and ultimately avoidable financial penalties from service contract violations—all stemming from what appears as a minor form validation oversight.</w:t>
      </w:r>
    </w:p>
    <w:p w14:paraId="625C3B0E" w14:textId="77777777" w:rsidR="00234CDD" w:rsidRPr="003C12F4" w:rsidRDefault="00234CDD" w:rsidP="00234CDD">
      <w:pPr>
        <w:rPr>
          <w:sz w:val="32"/>
          <w:szCs w:val="32"/>
          <w:lang w:val="en-IN"/>
        </w:rPr>
      </w:pPr>
    </w:p>
    <w:p w14:paraId="0752751C" w14:textId="4562C906" w:rsidR="00234CDD" w:rsidRPr="003C12F4" w:rsidRDefault="004B12D2" w:rsidP="00234CDD">
      <w:pPr>
        <w:rPr>
          <w:sz w:val="32"/>
          <w:szCs w:val="32"/>
          <w:lang w:val="en-IN"/>
        </w:rPr>
      </w:pPr>
      <w:r>
        <w:rPr>
          <w:sz w:val="32"/>
          <w:szCs w:val="32"/>
          <w:lang w:val="en-IN"/>
        </w:rPr>
        <w:t xml:space="preserve">          T</w:t>
      </w:r>
      <w:r w:rsidR="00234CDD" w:rsidRPr="003C12F4">
        <w:rPr>
          <w:sz w:val="32"/>
          <w:szCs w:val="32"/>
          <w:lang w:val="en-IN"/>
        </w:rPr>
        <w:t xml:space="preserve">o decisively address this entrenched issue, our project proposes a targeted yet elegant solution leveraging </w:t>
      </w:r>
      <w:proofErr w:type="spellStart"/>
      <w:r w:rsidR="00234CDD" w:rsidRPr="003C12F4">
        <w:rPr>
          <w:sz w:val="32"/>
          <w:szCs w:val="32"/>
          <w:lang w:val="en-IN"/>
        </w:rPr>
        <w:t>ServiceNow's</w:t>
      </w:r>
      <w:proofErr w:type="spellEnd"/>
      <w:r w:rsidR="00234CDD" w:rsidRPr="003C12F4">
        <w:rPr>
          <w:sz w:val="32"/>
          <w:szCs w:val="32"/>
          <w:lang w:val="en-IN"/>
        </w:rPr>
        <w:t xml:space="preserve"> native UI Policy functionality. Specifically, we will configure a UI Policy on the Incident table that automatically renders the Priority field mandatory precisely when the State field changes to "In Progress"—represented internally by value 2 within </w:t>
      </w:r>
      <w:proofErr w:type="spellStart"/>
      <w:r w:rsidR="00234CDD" w:rsidRPr="003C12F4">
        <w:rPr>
          <w:sz w:val="32"/>
          <w:szCs w:val="32"/>
          <w:lang w:val="en-IN"/>
        </w:rPr>
        <w:t>ServiceNow's</w:t>
      </w:r>
      <w:proofErr w:type="spellEnd"/>
      <w:r w:rsidR="00234CDD" w:rsidRPr="003C12F4">
        <w:rPr>
          <w:sz w:val="32"/>
          <w:szCs w:val="32"/>
          <w:lang w:val="en-IN"/>
        </w:rPr>
        <w:t xml:space="preserve"> choice list structure. This declarative mechanism ensures agents cannot advance the incident lifecycle without providing the required classification information, as the form will display the mandatory indicator and block submission until compliance is achieved. Importantly, the policy includes reverse-if-false logic, automatically clearing the mandatory attribute should the state revert back to New or other values, maintaining workflow flexibility while enforcing data completeness at the critical transition point.</w:t>
      </w:r>
    </w:p>
    <w:p w14:paraId="016371AB" w14:textId="77777777" w:rsidR="00234CDD" w:rsidRPr="003C12F4" w:rsidRDefault="00234CDD" w:rsidP="00234CDD">
      <w:pPr>
        <w:rPr>
          <w:sz w:val="32"/>
          <w:szCs w:val="32"/>
          <w:lang w:val="en-IN"/>
        </w:rPr>
      </w:pPr>
    </w:p>
    <w:p w14:paraId="5F0C4CF7" w14:textId="7E65CEC5" w:rsidR="00234CDD" w:rsidRPr="003C12F4" w:rsidRDefault="004B12D2" w:rsidP="00234CDD">
      <w:pPr>
        <w:rPr>
          <w:sz w:val="32"/>
          <w:szCs w:val="32"/>
          <w:lang w:val="en-IN"/>
        </w:rPr>
      </w:pPr>
      <w:r>
        <w:rPr>
          <w:sz w:val="32"/>
          <w:szCs w:val="32"/>
          <w:lang w:val="en-IN"/>
        </w:rPr>
        <w:t xml:space="preserve">             </w:t>
      </w:r>
      <w:r w:rsidR="00234CDD" w:rsidRPr="003C12F4">
        <w:rPr>
          <w:sz w:val="32"/>
          <w:szCs w:val="32"/>
          <w:lang w:val="en-IN"/>
        </w:rPr>
        <w:t xml:space="preserve">Complementing this core enforcement mechanism, the project identifies the essential need to employ Update Sets for safely migrating these configuration changes across </w:t>
      </w:r>
      <w:proofErr w:type="spellStart"/>
      <w:r w:rsidR="00234CDD" w:rsidRPr="003C12F4">
        <w:rPr>
          <w:sz w:val="32"/>
          <w:szCs w:val="32"/>
          <w:lang w:val="en-IN"/>
        </w:rPr>
        <w:t>ServiceNow</w:t>
      </w:r>
      <w:proofErr w:type="spellEnd"/>
      <w:r w:rsidR="00234CDD" w:rsidRPr="003C12F4">
        <w:rPr>
          <w:sz w:val="32"/>
          <w:szCs w:val="32"/>
          <w:lang w:val="en-IN"/>
        </w:rPr>
        <w:t xml:space="preserve"> instances—from development environments where initial testing occurs, through quality assurance instances for validation, and finally into production where live operations reside. Update Sets provide a complete audit trail of modifications, prevent configuration drift between environments, and enable repeatable deployments with built-in preview capabilities that surface potential conflicts before commitment. This migration approach aligns with </w:t>
      </w:r>
      <w:proofErr w:type="spellStart"/>
      <w:r w:rsidR="00234CDD" w:rsidRPr="003C12F4">
        <w:rPr>
          <w:sz w:val="32"/>
          <w:szCs w:val="32"/>
          <w:lang w:val="en-IN"/>
        </w:rPr>
        <w:t>ServiceNow</w:t>
      </w:r>
      <w:proofErr w:type="spellEnd"/>
      <w:r w:rsidR="00234CDD" w:rsidRPr="003C12F4">
        <w:rPr>
          <w:sz w:val="32"/>
          <w:szCs w:val="32"/>
          <w:lang w:val="en-IN"/>
        </w:rPr>
        <w:t xml:space="preserve"> best practices, eliminating the risks associated with manual replication or Scoped App development for what remains fundamentally a platform configuration enhancement.</w:t>
      </w:r>
    </w:p>
    <w:p w14:paraId="75F18123" w14:textId="77777777" w:rsidR="00234CDD" w:rsidRPr="003C12F4" w:rsidRDefault="00234CDD" w:rsidP="00234CDD">
      <w:pPr>
        <w:rPr>
          <w:sz w:val="32"/>
          <w:szCs w:val="32"/>
          <w:lang w:val="en-IN"/>
        </w:rPr>
      </w:pPr>
    </w:p>
    <w:p w14:paraId="4CF4061D" w14:textId="1AF32FA4" w:rsidR="00234CDD" w:rsidRPr="003C12F4" w:rsidRDefault="004B12D2">
      <w:pPr>
        <w:rPr>
          <w:sz w:val="32"/>
          <w:szCs w:val="32"/>
        </w:rPr>
      </w:pPr>
      <w:r>
        <w:rPr>
          <w:sz w:val="32"/>
          <w:szCs w:val="32"/>
          <w:lang w:val="en-IN"/>
        </w:rPr>
        <w:t xml:space="preserve">              </w:t>
      </w:r>
      <w:r w:rsidR="00234CDD" w:rsidRPr="003C12F4">
        <w:rPr>
          <w:sz w:val="32"/>
          <w:szCs w:val="32"/>
          <w:lang w:val="en-IN"/>
        </w:rPr>
        <w:t xml:space="preserve">This Identification Phase thus defines not merely the technical problem but the broader project scope encompassing problem validation, stakeholder alignment, solution architecture at a high level, and clear boundaries for subsequent implementation phases. By establishing automated enforcement through UI Policies, we target 100% data completeness for Priority on In Progress incidents, restoring SLA accuracy, enabling intelligent prioritization, and rebuilding confidence in management reporting—all while maintaining the lightweight, no-code nature that makes </w:t>
      </w:r>
      <w:proofErr w:type="spellStart"/>
      <w:r w:rsidR="00234CDD" w:rsidRPr="003C12F4">
        <w:rPr>
          <w:sz w:val="32"/>
          <w:szCs w:val="32"/>
          <w:lang w:val="en-IN"/>
        </w:rPr>
        <w:t>ServiceNow</w:t>
      </w:r>
      <w:proofErr w:type="spellEnd"/>
      <w:r w:rsidR="00234CDD" w:rsidRPr="003C12F4">
        <w:rPr>
          <w:sz w:val="32"/>
          <w:szCs w:val="32"/>
          <w:lang w:val="en-IN"/>
        </w:rPr>
        <w:t xml:space="preserve"> configurations so powerful. The phase underscores the strategic importance of data quality as the bedrock of effective IT service management, positioning this initiative as both immediately actionable and broadly foundational for ongoing platform governance.</w:t>
      </w:r>
    </w:p>
    <w:sectPr w:rsidR="00234CDD" w:rsidRPr="003C1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CDD"/>
    <w:rsid w:val="0012007A"/>
    <w:rsid w:val="001E0F24"/>
    <w:rsid w:val="00234CDD"/>
    <w:rsid w:val="003C12F4"/>
    <w:rsid w:val="004B12D2"/>
    <w:rsid w:val="00EB4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426C0F"/>
  <w15:chartTrackingRefBased/>
  <w15:docId w15:val="{8CF44D1A-5AD9-1A43-B235-78636FEB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CDD"/>
    <w:rPr>
      <w:rFonts w:eastAsiaTheme="majorEastAsia" w:cstheme="majorBidi"/>
      <w:color w:val="272727" w:themeColor="text1" w:themeTint="D8"/>
    </w:rPr>
  </w:style>
  <w:style w:type="paragraph" w:styleId="Title">
    <w:name w:val="Title"/>
    <w:basedOn w:val="Normal"/>
    <w:next w:val="Normal"/>
    <w:link w:val="TitleChar"/>
    <w:uiPriority w:val="10"/>
    <w:qFormat/>
    <w:rsid w:val="00234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CDD"/>
    <w:pPr>
      <w:spacing w:before="160"/>
      <w:jc w:val="center"/>
    </w:pPr>
    <w:rPr>
      <w:i/>
      <w:iCs/>
      <w:color w:val="404040" w:themeColor="text1" w:themeTint="BF"/>
    </w:rPr>
  </w:style>
  <w:style w:type="character" w:customStyle="1" w:styleId="QuoteChar">
    <w:name w:val="Quote Char"/>
    <w:basedOn w:val="DefaultParagraphFont"/>
    <w:link w:val="Quote"/>
    <w:uiPriority w:val="29"/>
    <w:rsid w:val="00234CDD"/>
    <w:rPr>
      <w:i/>
      <w:iCs/>
      <w:color w:val="404040" w:themeColor="text1" w:themeTint="BF"/>
    </w:rPr>
  </w:style>
  <w:style w:type="paragraph" w:styleId="ListParagraph">
    <w:name w:val="List Paragraph"/>
    <w:basedOn w:val="Normal"/>
    <w:uiPriority w:val="34"/>
    <w:qFormat/>
    <w:rsid w:val="00234CDD"/>
    <w:pPr>
      <w:ind w:left="720"/>
      <w:contextualSpacing/>
    </w:pPr>
  </w:style>
  <w:style w:type="character" w:styleId="IntenseEmphasis">
    <w:name w:val="Intense Emphasis"/>
    <w:basedOn w:val="DefaultParagraphFont"/>
    <w:uiPriority w:val="21"/>
    <w:qFormat/>
    <w:rsid w:val="00234CDD"/>
    <w:rPr>
      <w:i/>
      <w:iCs/>
      <w:color w:val="0F4761" w:themeColor="accent1" w:themeShade="BF"/>
    </w:rPr>
  </w:style>
  <w:style w:type="paragraph" w:styleId="IntenseQuote">
    <w:name w:val="Intense Quote"/>
    <w:basedOn w:val="Normal"/>
    <w:next w:val="Normal"/>
    <w:link w:val="IntenseQuoteChar"/>
    <w:uiPriority w:val="30"/>
    <w:qFormat/>
    <w:rsid w:val="00234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CDD"/>
    <w:rPr>
      <w:i/>
      <w:iCs/>
      <w:color w:val="0F4761" w:themeColor="accent1" w:themeShade="BF"/>
    </w:rPr>
  </w:style>
  <w:style w:type="character" w:styleId="IntenseReference">
    <w:name w:val="Intense Reference"/>
    <w:basedOn w:val="DefaultParagraphFont"/>
    <w:uiPriority w:val="32"/>
    <w:qFormat/>
    <w:rsid w:val="00234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harinisreeselladurai210@gmail.com</dc:creator>
  <cp:keywords/>
  <dc:description/>
  <cp:lastModifiedBy>harinisreeselladurai210@gmail.com</cp:lastModifiedBy>
  <cp:revision>2</cp:revision>
  <dcterms:created xsi:type="dcterms:W3CDTF">2026-03-09T07:59:00Z</dcterms:created>
  <dcterms:modified xsi:type="dcterms:W3CDTF">2026-03-09T07:59:00Z</dcterms:modified>
</cp:coreProperties>
</file>