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575B" w14:textId="73BD8A15" w:rsidR="000D7D4F" w:rsidRDefault="000D7D4F" w:rsidP="000D7D4F">
      <w:pPr>
        <w:pStyle w:val="Heading1"/>
        <w:rPr>
          <w:sz w:val="72"/>
          <w:szCs w:val="72"/>
        </w:rPr>
      </w:pPr>
      <w:r w:rsidRPr="000D7D4F">
        <w:rPr>
          <w:sz w:val="72"/>
          <w:szCs w:val="72"/>
        </w:rPr>
        <w:t xml:space="preserve">Project Planning Phase </w:t>
      </w:r>
    </w:p>
    <w:p w14:paraId="4B561C9F" w14:textId="77777777" w:rsidR="000D7D4F" w:rsidRPr="000D7D4F" w:rsidRDefault="000D7D4F" w:rsidP="000D7D4F"/>
    <w:p w14:paraId="00E41A13" w14:textId="110BD62E" w:rsidR="000D7D4F" w:rsidRPr="000D7D4F" w:rsidRDefault="000D7D4F" w:rsidP="000D7D4F">
      <w:pPr>
        <w:rPr>
          <w:sz w:val="32"/>
          <w:szCs w:val="32"/>
        </w:rPr>
      </w:pPr>
      <w:r>
        <w:t xml:space="preserve">              </w:t>
      </w:r>
      <w:r w:rsidRPr="000D7D4F">
        <w:rPr>
          <w:sz w:val="32"/>
          <w:szCs w:val="32"/>
        </w:rPr>
        <w:t>The Project Planning Phase emerges as the strategic orchestration center of our ServiceNow enhancement initiative, transforming the meticulously documented requirements from the previous phase into a precise, chronological roadmap that guarantees systematic, error-free implementation of mandatory Priority field enforcement through UI Policies and Update Sets. Far beyond creating simple task lists, this phase establishes comprehensive operational governance encompassing task sequencing, resource allocation, timeboxed execution windows, dependency mapping, risk mitigation protocols, verification checkpoints, and contingency planning—ensuring every configuration step flows logically from prerequisite completion while building quality assurance into each transition point to eliminate the configuration drift, human error, and environmental conflicts that frequently derail platform deployments.</w:t>
      </w:r>
    </w:p>
    <w:p w14:paraId="49C9007A" w14:textId="77777777" w:rsidR="000D7D4F" w:rsidRPr="000D7D4F" w:rsidRDefault="000D7D4F" w:rsidP="000D7D4F">
      <w:pPr>
        <w:ind w:firstLine="720"/>
        <w:rPr>
          <w:sz w:val="32"/>
          <w:szCs w:val="32"/>
        </w:rPr>
      </w:pPr>
      <w:r w:rsidRPr="000D7D4F">
        <w:rPr>
          <w:sz w:val="32"/>
          <w:szCs w:val="32"/>
        </w:rPr>
        <w:t>Initiation begins with the foundational activity of creating a dedicated Update Set serving as the single source of truth for all configuration artifacts, strategically named "INC_Priority_Enforcement_v1.0" to convey purpose, scope, and version clarity while establishing immediate isolation from concurrent development activities that might inadvertently capture unrelated changes into shared sets. This dedicated container immediately becomes the "current" active Update Set through the deliberate "Local Updates → Include" workflow, activating comprehensive change capture across sys_ui_policy, sys_ui_policy_action, and metadata tables, ensuring every subsequent modification—regardless of how minor—receives automatic versioning, timestamping, and audit trail generation that survives across development cycles, team handoffs, and instance migrations. Resource prerequisites confirm admin access to retrieved_update_</w:t>
      </w:r>
      <w:proofErr w:type="gramStart"/>
      <w:r w:rsidRPr="000D7D4F">
        <w:rPr>
          <w:sz w:val="32"/>
          <w:szCs w:val="32"/>
        </w:rPr>
        <w:t>sets.list</w:t>
      </w:r>
      <w:proofErr w:type="gramEnd"/>
      <w:r w:rsidRPr="000D7D4F">
        <w:rPr>
          <w:sz w:val="32"/>
          <w:szCs w:val="32"/>
        </w:rPr>
        <w:t xml:space="preserve"> navigation while verifying the set's "In Progress" state before proceeding, establishing the immutable baseline that underpins deployment repeatability and rollback capability.</w:t>
      </w:r>
    </w:p>
    <w:p w14:paraId="3F241D4A" w14:textId="77777777" w:rsidR="000D7D4F" w:rsidRPr="000D7D4F" w:rsidRDefault="000D7D4F" w:rsidP="000D7D4F">
      <w:pPr>
        <w:ind w:firstLine="720"/>
        <w:rPr>
          <w:sz w:val="32"/>
          <w:szCs w:val="32"/>
        </w:rPr>
      </w:pPr>
      <w:r w:rsidRPr="000D7D4F">
        <w:rPr>
          <w:sz w:val="32"/>
          <w:szCs w:val="32"/>
        </w:rPr>
        <w:t>With change capture infrastructure established, execution advances to core UI Policy creation targeting the Incident table (incident), accessed through the standardized navigation pathway of incident.do right-click "Configure → UI Policies → New," where implementers populate the essential form fields with surgical precision: policy name "Mandatory Priority - In Progress" for immediate identification, table reference explicitly set to incident sys_class_name, active status true, and order value 100 strategically positioned to execute after form layout policies but before notification triggers, preventing cascade conflicts while ensuring timely condition evaluation during agent state transitions. The condition definition represents planning's most critical intellectual contribution, crafted as "</w:t>
      </w:r>
      <w:proofErr w:type="gramStart"/>
      <w:r w:rsidRPr="000D7D4F">
        <w:rPr>
          <w:sz w:val="32"/>
          <w:szCs w:val="32"/>
        </w:rPr>
        <w:t>state.changesTo</w:t>
      </w:r>
      <w:proofErr w:type="gramEnd"/>
      <w:r w:rsidRPr="000D7D4F">
        <w:rPr>
          <w:sz w:val="32"/>
          <w:szCs w:val="32"/>
        </w:rPr>
        <w:t>(2)" to capture the precise moment of In Progress transition regardless of previous state value, distinguishing this intelligent trigger from static "state=2" conditions that fire indiscriminately on form loads carrying persisted state—ensuring mandatory enforcement activates only during legitimate workflow advancement while preserving New/Resolved state flexibility.</w:t>
      </w:r>
    </w:p>
    <w:p w14:paraId="6784846F" w14:textId="77777777" w:rsidR="000D7D4F" w:rsidRPr="000D7D4F" w:rsidRDefault="000D7D4F" w:rsidP="000D7D4F">
      <w:pPr>
        <w:ind w:firstLine="720"/>
        <w:rPr>
          <w:sz w:val="32"/>
          <w:szCs w:val="32"/>
        </w:rPr>
      </w:pPr>
      <w:r w:rsidRPr="000D7D4F">
        <w:rPr>
          <w:sz w:val="32"/>
          <w:szCs w:val="32"/>
        </w:rPr>
        <w:t>UI Policy Action creation follows as the functional payload, navigated through the policy's related list interface where field name "priority" receives mandatory=true assignment alongside visible=true and read-only=false defaults, collectively establishing comprehensive field behavior control that manifests as red asterisk indicators, form submission blocking, and client/server validation harmony. Reverse-if-false activation completes the action configuration, guaranteeing mandatory attribute clearance should agents legitimately revert state progression—a sophisticated behavior pattern preventing workflow rigidity while maintaining data quality at the critical In Progress threshold where SLA clocks commence and prioritization decisions solidify.</w:t>
      </w:r>
    </w:p>
    <w:p w14:paraId="61D98D62" w14:textId="77777777" w:rsidR="000D7D4F" w:rsidRPr="000D7D4F" w:rsidRDefault="000D7D4F" w:rsidP="000D7D4F">
      <w:pPr>
        <w:ind w:firstLine="720"/>
        <w:rPr>
          <w:sz w:val="32"/>
          <w:szCs w:val="32"/>
        </w:rPr>
      </w:pPr>
      <w:r w:rsidRPr="000D7D4F">
        <w:rPr>
          <w:sz w:val="32"/>
          <w:szCs w:val="32"/>
        </w:rPr>
        <w:t>Verification emerges as planning's quality assurance backbone, mandating immediate post-configuration validation through structured test scenarios executed directly within the development PDI: creating test incident INC-TEST-001, transitioning state to In Progress, confirming Priority asterisk appearance and submission blockage, reverting state to New with mandatory clearance verification, and cross-browser testing across Chrome, Edge, and Firefox to eliminate rendering inconsistencies. Concurrently, Update Set completeness verification navigates to the dedicated set's "Local Updates" tab confirming capture of both sys_ui_policy and sys_ui_policy_action records with zero skipped dependencies, establishing deployment readiness through preview simulation that surfaces reference qualifier conflicts before production exposure.</w:t>
      </w:r>
    </w:p>
    <w:p w14:paraId="7211DA7D" w14:textId="77777777" w:rsidR="000D7D4F" w:rsidRPr="000D7D4F" w:rsidRDefault="000D7D4F" w:rsidP="000D7D4F">
      <w:pPr>
        <w:ind w:firstLine="720"/>
        <w:rPr>
          <w:sz w:val="32"/>
          <w:szCs w:val="32"/>
        </w:rPr>
      </w:pPr>
      <w:r w:rsidRPr="000D7D4F">
        <w:rPr>
          <w:sz w:val="32"/>
          <w:szCs w:val="32"/>
        </w:rPr>
        <w:t>Migration planning elevates the phase into enterprise deployment architecture, orchestrating the three-instance lifecycle spanning Development, Test, and Production environments through disciplined XML export/import choreography: completing the development Update Set to lock capture, exporting via "Export to XML" generating INC_Priority_Enforcement_v1.0.xml (typically 15-25KB), importing into Test via retrieved_update_sets import functionality with mandatory preview execution confirming zero errors/skipped records, committing after local test suite validation, then repeating the identical sequence into Production during approved maintenance window with real-time stakeholder notification cadence. This migration blueprint incorporates environment-specific adaptation protocols addressing sys_id regeneration, reference field mapping, and choice list value synchronization across instances, ensuring identical behavior despite underlying identifier variances.</w:t>
      </w:r>
    </w:p>
    <w:p w14:paraId="31F7F136" w14:textId="77777777" w:rsidR="000D7D4F" w:rsidRPr="000D7D4F" w:rsidRDefault="000D7D4F" w:rsidP="000D7D4F">
      <w:pPr>
        <w:ind w:firstLine="720"/>
        <w:rPr>
          <w:sz w:val="32"/>
          <w:szCs w:val="32"/>
        </w:rPr>
      </w:pPr>
      <w:r w:rsidRPr="000D7D4F">
        <w:rPr>
          <w:sz w:val="32"/>
          <w:szCs w:val="32"/>
        </w:rPr>
        <w:t>Risk analysis permeates planning at enterprise sophistication, preemptively identifying configuration condition pitfalls where "state=2" incorrectly triggers on form loads rather than transitions (mitigated through changesTo syntax precision), Update Set conflicts from concurrent development (eliminated through dedicated set isolation), instance downtime exposure during migration (contained through maintenance window scheduling), policy cascade failures from order collisions (resolved through strategic Order=100 positioning), and cross-release incompatibilities spanning Vancouver-to-Xanadu transitions (addressed through version-specific validation checklists). Each risk receives quantitative probability/impact scoring alongside timebound mitigation execution and assigned ownership, creating comprehensive contingency frameworks that maintain forward momentum while guaranteeing recovery paths should execution deviate from baseline.</w:t>
      </w:r>
    </w:p>
    <w:p w14:paraId="0FED6B94" w14:textId="77777777" w:rsidR="000D7D4F" w:rsidRPr="000D7D4F" w:rsidRDefault="000D7D4F" w:rsidP="000D7D4F">
      <w:pPr>
        <w:ind w:firstLine="720"/>
        <w:rPr>
          <w:sz w:val="32"/>
          <w:szCs w:val="32"/>
        </w:rPr>
      </w:pPr>
      <w:r w:rsidRPr="000D7D4F">
        <w:rPr>
          <w:sz w:val="32"/>
          <w:szCs w:val="32"/>
        </w:rPr>
        <w:t>Timeline orchestration establishes disciplined execution cadence across the one-week implementation window commencing March 16th: Day 1 allocates four hours for Update Set creation through initial verification with admin resource confirmed, Day 2 dedicates six hours to UI Policy configuration, action linkage, and comprehensive test execution spanning unit/integration scenarios, Day 3 focuses four hours on Test environment migration with full regression validation, Day 4 reserves three hours for Production deployment rehearsal and stakeholder walkthrough, Day 5 executes live migration during 10PM-11PM maintenance window followed by two-hour post-deployment monitoring confirming 100% Priority compliance across first-wave incidents. Daily standups maintain cadence through 15-minute synchronization across implementer, tester, and stakeholder representatives, surfacing blockers within first response window while preserving critical path velocity.</w:t>
      </w:r>
    </w:p>
    <w:p w14:paraId="2244C0C5" w14:textId="77777777" w:rsidR="000D7D4F" w:rsidRPr="000D7D4F" w:rsidRDefault="000D7D4F" w:rsidP="000D7D4F">
      <w:pPr>
        <w:ind w:firstLine="720"/>
        <w:rPr>
          <w:sz w:val="32"/>
          <w:szCs w:val="32"/>
        </w:rPr>
      </w:pPr>
      <w:r w:rsidRPr="000D7D4F">
        <w:rPr>
          <w:sz w:val="32"/>
          <w:szCs w:val="32"/>
        </w:rPr>
        <w:t>Resource planning addresses human and environmental dependencies with surgical clarity: primary implementer requires itil_admin role minimum with three years ServiceNow configuration experience, secondary validator possessing admin role for Update Set migration authority, stakeholder communicator with service management background for agent training coordination, and environment owners confirming PDI availability, Test refresh status, and Production change window approval. Training allocation incorporates 30-minute knowledge transfer covering policy maintenance procedures, rollback execution, and monitoring query construction ("In Progress" AND priority ISNULL = 0 results), ensuring day-one operational independence across support tiers while establishing 24/7 escalation paths through service desk ticketing protocols.</w:t>
      </w:r>
    </w:p>
    <w:p w14:paraId="42A3FB4A" w14:textId="77777777" w:rsidR="000D7D4F" w:rsidRPr="000D7D4F" w:rsidRDefault="000D7D4F" w:rsidP="000D7D4F">
      <w:pPr>
        <w:ind w:firstLine="720"/>
        <w:rPr>
          <w:sz w:val="32"/>
          <w:szCs w:val="32"/>
        </w:rPr>
      </w:pPr>
      <w:r w:rsidRPr="000D7D4F">
        <w:rPr>
          <w:sz w:val="32"/>
          <w:szCs w:val="32"/>
        </w:rPr>
        <w:t>Success measurement establishes multilevel criteria spanning technical completeness (UI Policy active, action linked, Update Set migrated), functional validation (100% form submission blocking, reverse-if-false confirmed), operational adoption (agent compliance 95%+ Day 1, 100% Day 3), and business outcome realization (SLA calculation accuracy improvement, penalty reduction trajectory), each tracked through designated ownership and reporting cadences feeding executive dashboards. Documentation standardization mandates configuration screenshots, step-by-step procedures with exact navigation paths, test case results with screenshots, migration logs, and post-implementation monitoring queries preserved within Update Set comments and Knowledge Base articles, creating self-sustaining artifacts that accelerate future maintenance while serving audit/compliance requirements.</w:t>
      </w:r>
    </w:p>
    <w:p w14:paraId="27EC28CA" w14:textId="77777777" w:rsidR="000D7D4F" w:rsidRPr="000D7D4F" w:rsidRDefault="000D7D4F" w:rsidP="000D7D4F">
      <w:pPr>
        <w:ind w:firstLine="720"/>
        <w:rPr>
          <w:sz w:val="32"/>
          <w:szCs w:val="32"/>
        </w:rPr>
      </w:pPr>
      <w:r w:rsidRPr="000D7D4F">
        <w:rPr>
          <w:sz w:val="32"/>
          <w:szCs w:val="32"/>
        </w:rPr>
        <w:t>Communication planning establishes stakeholder cadence across executive briefings highlighting business value realization ($42K monthly savings trajectory), management updates confirming operational stability through compliance dashboards, technical team syncs validating cross-environment consistency, and agent communications explaining workflow impacts with training reinforcement. Change management incorporates pre-implementation agent notifications framing mandatory Priority as workflow improvement rather than restriction, live assistance during first shift post-deployment, and feedback loops capturing adoption barriers for continuous refinement.</w:t>
      </w:r>
    </w:p>
    <w:p w14:paraId="29E59E3B" w14:textId="77777777" w:rsidR="000D7D4F" w:rsidRPr="000D7D4F" w:rsidRDefault="000D7D4F" w:rsidP="000D7D4F">
      <w:pPr>
        <w:ind w:firstLine="720"/>
        <w:rPr>
          <w:sz w:val="32"/>
          <w:szCs w:val="32"/>
        </w:rPr>
      </w:pPr>
      <w:r w:rsidRPr="000D7D4F">
        <w:rPr>
          <w:sz w:val="32"/>
          <w:szCs w:val="32"/>
        </w:rPr>
        <w:t>Budget allocation confirms zero licensing costs leveraging platform-native capabilities, one FTE day implementation effort valued at standard configuration rates, and negligible compute overhead from policy execution (&lt;0.1% platform resource delta), delivering immediate ROI through SLA penalty elimination while establishing governance patterns for 50+ similar configuration initiatives annually. Exit criteria from planning rigorously confirm Update Set readiness (complete, exported, zero dependency errors), implementation team alignment (sign-off on procedures), environment readiness (PDI/Test/Prod migration paths validated), risk register closure (all high risks mitigated), and stakeholder approval (change advisory board sign-off), ensuring flawless transition to execution phase with comprehensive operational readiness across technical, human, and business dimensions.</w:t>
      </w:r>
    </w:p>
    <w:p w14:paraId="68F416E5" w14:textId="77777777" w:rsidR="000D7D4F" w:rsidRPr="000D7D4F" w:rsidRDefault="000D7D4F" w:rsidP="000D7D4F">
      <w:pPr>
        <w:ind w:firstLine="720"/>
        <w:rPr>
          <w:sz w:val="32"/>
          <w:szCs w:val="32"/>
        </w:rPr>
      </w:pPr>
      <w:r w:rsidRPr="000D7D4F">
        <w:rPr>
          <w:sz w:val="32"/>
          <w:szCs w:val="32"/>
        </w:rPr>
        <w:t>This exhaustive Project Planning Phase delivers not merely a task sequence but enterprise-grade deployment architecture that transforms UI Policy configuration from ad-hoc scripting into repeatable, scalable platform governance, positioning the mandatory Priority enforcement solution for predictable success across development cycles while establishing methodology standards that elevate organizational ServiceNow competency from tactical configuration to strategic service improvement. With operational blueprints complete, risk frameworks operationalized, resource dependencies resolved, and success trajectories quantified, the project advances with absolute execution clarity, carrying disciplined planning artifacts that guarantee alignment between architectural intent and operational reality across the full instance lifecycle.</w:t>
      </w:r>
    </w:p>
    <w:p w14:paraId="008E79F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Aptos Display">
    <w:altName w:val="Calibri"/>
    <w:panose1 w:val="020B0004020202020204"/>
    <w:charset w:val="00"/>
    <w:family w:val="roman"/>
    <w:notTrueType/>
    <w:pitch w:val="default"/>
  </w:font>
  <w:font w:name="Yu Gothic Light">
    <w:altName w:val="游ゴシック Light"/>
    <w:panose1 w:val="020B0300000000000000"/>
    <w:charset w:val="80"/>
    <w:family w:val="roman"/>
    <w:notTrueType/>
    <w:pitch w:val="default"/>
  </w:font>
  <w:font w:name="Times New Roman">
    <w:panose1 w:val="02020603050405020304"/>
    <w:charset w:val="00"/>
    <w:family w:val="roman"/>
    <w:pitch w:val="variable"/>
    <w:sig w:usb0="00000003" w:usb1="00000000" w:usb2="00000000" w:usb3="00000000" w:csb0="00000001" w:csb1="00000000"/>
  </w:font>
  <w:font w:name="Yu Mincho">
    <w:altName w:val="游明朝"/>
    <w:panose1 w:val="020204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D4F"/>
    <w:rsid w:val="000D7D4F"/>
    <w:rsid w:val="001D4651"/>
    <w:rsid w:val="00443362"/>
    <w:rsid w:val="00576DC1"/>
    <w:rsid w:val="00942E8F"/>
    <w:rsid w:val="00B6591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E5C75"/>
  <w15:chartTrackingRefBased/>
  <w15:docId w15:val="{0E3DBAB9-E4CB-3442-BABA-BDC60D8B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D4F"/>
    <w:rPr>
      <w:rFonts w:eastAsiaTheme="majorEastAsia" w:cstheme="majorBidi"/>
      <w:color w:val="272727" w:themeColor="text1" w:themeTint="D8"/>
    </w:rPr>
  </w:style>
  <w:style w:type="paragraph" w:styleId="Title">
    <w:name w:val="Title"/>
    <w:basedOn w:val="Normal"/>
    <w:next w:val="Normal"/>
    <w:link w:val="TitleChar"/>
    <w:uiPriority w:val="10"/>
    <w:qFormat/>
    <w:rsid w:val="000D7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D4F"/>
    <w:pPr>
      <w:spacing w:before="160"/>
      <w:jc w:val="center"/>
    </w:pPr>
    <w:rPr>
      <w:i/>
      <w:iCs/>
      <w:color w:val="404040" w:themeColor="text1" w:themeTint="BF"/>
    </w:rPr>
  </w:style>
  <w:style w:type="character" w:customStyle="1" w:styleId="QuoteChar">
    <w:name w:val="Quote Char"/>
    <w:basedOn w:val="DefaultParagraphFont"/>
    <w:link w:val="Quote"/>
    <w:uiPriority w:val="29"/>
    <w:rsid w:val="000D7D4F"/>
    <w:rPr>
      <w:i/>
      <w:iCs/>
      <w:color w:val="404040" w:themeColor="text1" w:themeTint="BF"/>
    </w:rPr>
  </w:style>
  <w:style w:type="paragraph" w:styleId="ListParagraph">
    <w:name w:val="List Paragraph"/>
    <w:basedOn w:val="Normal"/>
    <w:uiPriority w:val="34"/>
    <w:qFormat/>
    <w:rsid w:val="000D7D4F"/>
    <w:pPr>
      <w:ind w:left="720"/>
      <w:contextualSpacing/>
    </w:pPr>
  </w:style>
  <w:style w:type="character" w:styleId="IntenseEmphasis">
    <w:name w:val="Intense Emphasis"/>
    <w:basedOn w:val="DefaultParagraphFont"/>
    <w:uiPriority w:val="21"/>
    <w:qFormat/>
    <w:rsid w:val="000D7D4F"/>
    <w:rPr>
      <w:i/>
      <w:iCs/>
      <w:color w:val="0F4761" w:themeColor="accent1" w:themeShade="BF"/>
    </w:rPr>
  </w:style>
  <w:style w:type="paragraph" w:styleId="IntenseQuote">
    <w:name w:val="Intense Quote"/>
    <w:basedOn w:val="Normal"/>
    <w:next w:val="Normal"/>
    <w:link w:val="IntenseQuoteChar"/>
    <w:uiPriority w:val="30"/>
    <w:qFormat/>
    <w:rsid w:val="000D7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D4F"/>
    <w:rPr>
      <w:i/>
      <w:iCs/>
      <w:color w:val="0F4761" w:themeColor="accent1" w:themeShade="BF"/>
    </w:rPr>
  </w:style>
  <w:style w:type="character" w:styleId="IntenseReference">
    <w:name w:val="Intense Reference"/>
    <w:basedOn w:val="DefaultParagraphFont"/>
    <w:uiPriority w:val="32"/>
    <w:qFormat/>
    <w:rsid w:val="000D7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1758</Words>
  <Characters>10022</Characters>
  <Application>Microsoft Office Word</Application>
  <DocSecurity>0</DocSecurity>
  <Lines>83</Lines>
  <Paragraphs>23</Paragraphs>
  <ScaleCrop>false</ScaleCrop>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sreeselladurai2610@gmail.com</dc:creator>
  <cp:keywords/>
  <dc:description/>
  <cp:lastModifiedBy>harinisreeselladurai210@gmail.com</cp:lastModifiedBy>
  <cp:revision>2</cp:revision>
  <dcterms:created xsi:type="dcterms:W3CDTF">2026-03-09T08:23:00Z</dcterms:created>
  <dcterms:modified xsi:type="dcterms:W3CDTF">2026-03-09T08:23:00Z</dcterms:modified>
</cp:coreProperties>
</file>