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Design Document</w:t>
      </w:r>
    </w:p>
    <w:p>
      <w:pPr>
        <w:pStyle w:val="Subtitle"/>
      </w:pPr>
      <w:r>
        <w:t xml:space="preserve">ACME Inventory Management System (IMS) v2.5</w:t>
      </w:r>
    </w:p>
    <w:p>
      <w:pPr>
        <w:pStyle w:val="Author"/>
      </w:pPr>
      <w:r>
        <w:t xml:space="preserve">ACME Engineering</w:t>
      </w:r>
    </w:p>
    <w:p>
      <w:pPr>
        <w:pStyle w:val="Date"/>
      </w:pPr>
      <w:r>
        <w:t xml:space="preserve">2026-02-09</w:t>
      </w:r>
    </w:p>
    <w:bookmarkStart w:id="9" w:name="technical-design-document"/>
    <w:p>
      <w:pPr>
        <w:pStyle w:val="Heading1"/>
      </w:pPr>
      <w:r>
        <w:t xml:space="preserve">Technical Design Document</w:t>
      </w:r>
    </w:p>
    <w:bookmarkEnd w:id="9"/>
    <w:bookmarkStart w:id="1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describes the technical design of the ACME Inventory Management System (IMS) v2.5. The system provides real-time inventory tracking, automated reorder management, and compliance reporting for GxP-regulated warehouse operations.</w:t>
      </w:r>
    </w:p>
    <w:bookmarkEnd w:id="10"/>
    <w:bookmarkStart w:id="11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The ACME IMS falls under FDA 21 CFR Part 11 (Electronic Records) and EU Annex 11 (Computerised Systems). The system is classified as GxP Category 5 (Custom Application) per GAMP 5 guidelines.</w:t>
      </w:r>
    </w:p>
    <w:p>
      <w:pPr>
        <w:pStyle w:val="BodyText"/>
      </w:pPr>
      <w:r>
        <w:t xml:space="preserve">The application covers the following functional areas:</w:t>
      </w:r>
    </w:p>
    <w:p>
      <w:pPr>
        <w:pStyle w:val="Compact"/>
        <w:numPr>
          <w:ilvl w:val="0"/>
          <w:numId w:val="1001"/>
        </w:numPr>
      </w:pPr>
      <w:r>
        <w:t xml:space="preserve">Inventory intake</w:t>
      </w:r>
    </w:p>
    <w:p>
      <w:pPr>
        <w:pStyle w:val="Compact"/>
        <w:numPr>
          <w:ilvl w:val="0"/>
          <w:numId w:val="1001"/>
        </w:numPr>
      </w:pPr>
      <w:r>
        <w:t xml:space="preserve">Storage tracking</w:t>
      </w:r>
    </w:p>
    <w:p>
      <w:pPr>
        <w:pStyle w:val="Compact"/>
        <w:numPr>
          <w:ilvl w:val="0"/>
          <w:numId w:val="1001"/>
        </w:numPr>
      </w:pPr>
      <w:r>
        <w:t xml:space="preserve">Dispatch</w:t>
      </w:r>
    </w:p>
    <w:p>
      <w:pPr>
        <w:pStyle w:val="Compact"/>
        <w:numPr>
          <w:ilvl w:val="0"/>
          <w:numId w:val="1001"/>
        </w:numPr>
      </w:pPr>
      <w:r>
        <w:t xml:space="preserve">Audit trail generation</w:t>
      </w:r>
    </w:p>
    <w:p>
      <w:pPr>
        <w:pStyle w:val="FirstParagraph"/>
      </w:pPr>
      <w:r>
        <w:t xml:space="preserve">The system integrates with the existing ERP system (SAP S/4HANA) and the quality management system (Veeva Vault QMS).</w:t>
      </w:r>
    </w:p>
    <w:bookmarkEnd w:id="11"/>
    <w:bookmarkStart w:id="12" w:name="system-overview"/>
    <w:p>
      <w:pPr>
        <w:pStyle w:val="Heading1"/>
      </w:pPr>
      <w:r>
        <w:t xml:space="preserve">3. System Overview</w:t>
      </w:r>
    </w:p>
    <w:p>
      <w:pPr>
        <w:pStyle w:val="FirstParagraph"/>
      </w:pPr>
      <w:r>
        <w:t xml:space="preserve">ACME IMS is a three-tier web application consisting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React with TypeScript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Python / FastAPI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15</w:t>
      </w:r>
    </w:p>
    <w:p>
      <w:pPr>
        <w:pStyle w:val="FirstParagraph"/>
      </w:pPr>
      <w:r>
        <w:t xml:space="preserve">Deployment target: Azure Kubernetes Service (AKS) in the US East region.</w:t>
      </w:r>
    </w:p>
    <w:bookmarkEnd w:id="12"/>
    <w:bookmarkStart w:id="13" w:name="architecture-and-components"/>
    <w:p>
      <w:pPr>
        <w:pStyle w:val="Heading1"/>
      </w:pPr>
      <w:r>
        <w:t xml:space="preserve">4. Architecture and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Python / FastAPI</w:t>
            </w:r>
          </w:p>
        </w:tc>
        <w:tc>
          <w:tcPr/>
          <w:p>
            <w:pPr>
              <w:pStyle w:val="Compact"/>
            </w:pPr>
            <w:r>
              <w:t xml:space="preserve">3.11 / 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</w:tr>
    </w:tbl>
    <w:bookmarkEnd w:id="13"/>
    <w:bookmarkStart w:id="17" w:name="workspace-and-environment"/>
    <w:p>
      <w:pPr>
        <w:pStyle w:val="Heading1"/>
      </w:pPr>
      <w:r>
        <w:t xml:space="preserve">5. Workspace and Environment</w:t>
      </w:r>
    </w:p>
    <w:p>
      <w:pPr>
        <w:pStyle w:val="FirstParagraph"/>
      </w:pPr>
      <w:r>
        <w:t xml:space="preserve">The ACME IMS is deployed across three environments: DEV, UAT, and PROD. All environments run on Azure Kubernetes Service (AKS) with identical configuration except for resource scaling.</w:t>
      </w:r>
    </w:p>
    <w:bookmarkStart w:id="14" w:name="infrastructure"/>
    <w:p>
      <w:pPr>
        <w:pStyle w:val="Heading2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AKS Nodes</w:t>
            </w:r>
          </w:p>
        </w:tc>
        <w:tc>
          <w:tcPr/>
          <w:p>
            <w:pPr>
              <w:pStyle w:val="Compact"/>
            </w:pPr>
            <w:r>
              <w:t xml:space="preserve">DB Size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</w:tbl>
    <w:bookmarkEnd w:id="14"/>
    <w:bookmarkStart w:id="15" w:name="workspace-configuration"/>
    <w:p>
      <w:pPr>
        <w:pStyle w:val="Heading2"/>
      </w:pPr>
      <w:r>
        <w:t xml:space="preserve">Workspace Configuration</w:t>
      </w:r>
    </w:p>
    <w:p>
      <w:pPr>
        <w:pStyle w:val="FirstParagraph"/>
      </w:pPr>
      <w:r>
        <w:t xml:space="preserve">Developer workstations require: Python 3.11+, Node.js 20 LTS, Docker Desktop, Azure CLI 2.53+, kubectl 1.28+, and Helm 3.13+.</w:t>
      </w:r>
    </w:p>
    <w:bookmarkEnd w:id="15"/>
    <w:bookmarkStart w:id="16" w:name="network-configuration"/>
    <w:p>
      <w:pPr>
        <w:pStyle w:val="Heading2"/>
      </w:pPr>
      <w:r>
        <w:t xml:space="preserve">Network Configuration</w:t>
      </w:r>
    </w:p>
    <w:p>
      <w:pPr>
        <w:pStyle w:val="Compact"/>
        <w:numPr>
          <w:ilvl w:val="0"/>
          <w:numId w:val="1003"/>
        </w:numPr>
      </w:pPr>
      <w:r>
        <w:t xml:space="preserve">VNet: 10.0.0.0/16</w:t>
      </w:r>
    </w:p>
    <w:p>
      <w:pPr>
        <w:pStyle w:val="Compact"/>
        <w:numPr>
          <w:ilvl w:val="0"/>
          <w:numId w:val="1003"/>
        </w:numPr>
      </w:pPr>
      <w:r>
        <w:t xml:space="preserve">AKS subnet: 10.0.1.0/24</w:t>
      </w:r>
    </w:p>
    <w:p>
      <w:pPr>
        <w:pStyle w:val="Compact"/>
        <w:numPr>
          <w:ilvl w:val="0"/>
          <w:numId w:val="1003"/>
        </w:numPr>
      </w:pPr>
      <w:r>
        <w:t xml:space="preserve">DB subnet: 10.0.2.0/24</w:t>
      </w:r>
    </w:p>
    <w:p>
      <w:pPr>
        <w:pStyle w:val="Compact"/>
        <w:numPr>
          <w:ilvl w:val="0"/>
          <w:numId w:val="1003"/>
        </w:numPr>
      </w:pPr>
      <w:r>
        <w:t xml:space="preserve">NSG rules restrict DB access to AKS subnet only</w:t>
      </w:r>
    </w:p>
    <w:p>
      <w:pPr>
        <w:pStyle w:val="Compact"/>
        <w:numPr>
          <w:ilvl w:val="0"/>
          <w:numId w:val="1003"/>
        </w:numPr>
      </w:pPr>
      <w:r>
        <w:t xml:space="preserve">VPN gateway for SAP connectivity</w:t>
      </w:r>
    </w:p>
    <w:bookmarkEnd w:id="16"/>
    <w:bookmarkEnd w:id="17"/>
    <w:bookmarkStart w:id="18" w:name="interfaces-and-data-flow"/>
    <w:p>
      <w:pPr>
        <w:pStyle w:val="Heading1"/>
      </w:pPr>
      <w:r>
        <w:t xml:space="preserve">6. Interfaces and Data Flow</w:t>
      </w:r>
    </w:p>
    <w:p>
      <w:pPr>
        <w:pStyle w:val="FirstParagraph"/>
      </w:pPr>
      <w:r>
        <w:t xml:space="preserve">The frontend communicates with the backend via REST API over HTTPS (TLS 1.3). The backend connects to PostgreSQL via connection pooling (pgBouncer). SAP integration uses RFC over a secure VPN tunnel.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→ Backend</w:t>
            </w:r>
          </w:p>
        </w:tc>
        <w:tc>
          <w:tcPr/>
          <w:p>
            <w:pPr>
              <w:pStyle w:val="Compact"/>
            </w:pPr>
            <w:r>
              <w:t xml:space="preserve">REST API / HTTPS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→ Database</w:t>
            </w:r>
          </w:p>
        </w:tc>
        <w:tc>
          <w:tcPr/>
          <w:p>
            <w:pPr>
              <w:pStyle w:val="Compact"/>
            </w:pPr>
            <w:r>
              <w:t xml:space="preserve">PostgreSQL / pgBouncer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→ SAP</w:t>
            </w:r>
          </w:p>
        </w:tc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  <w:r>
              <w:t xml:space="preserve">VPN tunnel</w:t>
            </w:r>
          </w:p>
        </w:tc>
      </w:tr>
    </w:tbl>
    <w:bookmarkEnd w:id="18"/>
    <w:bookmarkStart w:id="20" w:name="security-considerations"/>
    <w:p>
      <w:pPr>
        <w:pStyle w:val="Heading1"/>
      </w:pPr>
      <w:r>
        <w:t xml:space="preserve">7. Security Considerations</w:t>
      </w:r>
    </w:p>
    <w:p>
      <w:pPr>
        <w:pStyle w:val="FirstParagraph"/>
      </w:pPr>
      <w:r>
        <w:rPr>
          <w:b/>
          <w:bCs/>
        </w:rPr>
        <w:t xml:space="preserve">Authentication</w:t>
      </w:r>
      <w:r>
        <w:t xml:space="preserve">: Azure AD with SAML 2.0 SSO.</w:t>
      </w:r>
    </w:p>
    <w:p>
      <w:pPr>
        <w:pStyle w:val="BodyText"/>
      </w:pPr>
      <w:r>
        <w:rPr>
          <w:b/>
          <w:bCs/>
        </w:rPr>
        <w:t xml:space="preserve">Authorization</w:t>
      </w:r>
      <w:r>
        <w:t xml:space="preserve">: Role-based access control (RBAC) with 4 roles:</w:t>
      </w:r>
    </w:p>
    <w:p>
      <w:pPr>
        <w:pStyle w:val="Compact"/>
        <w:numPr>
          <w:ilvl w:val="0"/>
          <w:numId w:val="1004"/>
        </w:numPr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t xml:space="preserve">Manager</w:t>
      </w:r>
    </w:p>
    <w:p>
      <w:pPr>
        <w:pStyle w:val="Compact"/>
        <w:numPr>
          <w:ilvl w:val="0"/>
          <w:numId w:val="1004"/>
        </w:numPr>
      </w:pPr>
      <w:r>
        <w:t xml:space="preserve">Operator</w:t>
      </w:r>
    </w:p>
    <w:p>
      <w:pPr>
        <w:pStyle w:val="Compact"/>
        <w:numPr>
          <w:ilvl w:val="0"/>
          <w:numId w:val="1004"/>
        </w:numPr>
      </w:pPr>
      <w:r>
        <w:t xml:space="preserve">Viewer</w:t>
      </w:r>
    </w:p>
    <w:p>
      <w:pPr>
        <w:pStyle w:val="FirstParagraph"/>
      </w:pPr>
      <w:r>
        <w:rPr>
          <w:b/>
          <w:bCs/>
        </w:rPr>
        <w:t xml:space="preserve">Data Encryption</w:t>
      </w:r>
      <w:r>
        <w:t xml:space="preserve">: AES-256 at rest, TLS 1.3 in transit.</w:t>
      </w:r>
    </w:p>
    <w:p>
      <w:pPr>
        <w:pStyle w:val="BodyText"/>
      </w:pPr>
      <w:r>
        <w:rPr>
          <w:b/>
          <w:bCs/>
        </w:rPr>
        <w:t xml:space="preserve">Audit Logging</w:t>
      </w:r>
      <w:r>
        <w:t xml:space="preserve">: All CRUD operations logged with user ID, timestamp, and IP address.</w:t>
      </w:r>
    </w:p>
    <w:bookmarkStart w:id="19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 loss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Audit trail + DB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RBAC + SSO +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HA cluster + auto-failover</w:t>
            </w:r>
          </w:p>
        </w:tc>
      </w:tr>
    </w:tbl>
    <w:bookmarkEnd w:id="19"/>
    <w:bookmarkEnd w:id="20"/>
    <w:bookmarkStart w:id="23" w:name="regulatory-and-gxp-requirements"/>
    <w:p>
      <w:pPr>
        <w:pStyle w:val="Heading1"/>
      </w:pPr>
      <w:r>
        <w:t xml:space="preserve">8. Regulatory and GxP Requirements</w:t>
      </w:r>
    </w:p>
    <w:p>
      <w:pPr>
        <w:pStyle w:val="FirstParagraph"/>
      </w:pPr>
      <w:r>
        <w:t xml:space="preserve">The system is subject to:</w:t>
      </w:r>
    </w:p>
    <w:p>
      <w:pPr>
        <w:pStyle w:val="Compact"/>
        <w:numPr>
          <w:ilvl w:val="0"/>
          <w:numId w:val="1005"/>
        </w:numPr>
      </w:pPr>
      <w:r>
        <w:t xml:space="preserve">FDA 21 CFR Part 11 (Electronic Records)</w:t>
      </w:r>
    </w:p>
    <w:p>
      <w:pPr>
        <w:pStyle w:val="Compact"/>
        <w:numPr>
          <w:ilvl w:val="0"/>
          <w:numId w:val="1005"/>
        </w:numPr>
      </w:pPr>
      <w:r>
        <w:t xml:space="preserve">EU Annex 11 (Computerised Systems)</w:t>
      </w:r>
    </w:p>
    <w:p>
      <w:pPr>
        <w:pStyle w:val="Compact"/>
        <w:numPr>
          <w:ilvl w:val="0"/>
          <w:numId w:val="1005"/>
        </w:numPr>
      </w:pPr>
      <w:r>
        <w:t xml:space="preserve">GAMP 5 Category 5 (Custom Application)</w:t>
      </w:r>
    </w:p>
    <w:bookmarkStart w:id="21" w:name="compliance-requirements"/>
    <w:p>
      <w:pPr>
        <w:pStyle w:val="Heading2"/>
      </w:pPr>
      <w:r>
        <w:t xml:space="preserve">Compliance Requirements</w:t>
      </w:r>
    </w:p>
    <w:p>
      <w:pPr>
        <w:pStyle w:val="Compact"/>
        <w:numPr>
          <w:ilvl w:val="0"/>
          <w:numId w:val="1006"/>
        </w:numPr>
      </w:pPr>
      <w:r>
        <w:t xml:space="preserve">Electronic signatures must comply with 21 CFR Part 11.50</w:t>
      </w:r>
    </w:p>
    <w:p>
      <w:pPr>
        <w:pStyle w:val="Compact"/>
        <w:numPr>
          <w:ilvl w:val="0"/>
          <w:numId w:val="1006"/>
        </w:numPr>
      </w:pPr>
      <w:r>
        <w:t xml:space="preserve">Audit trail must be immutable and include user ID + timestamp</w:t>
      </w:r>
    </w:p>
    <w:p>
      <w:pPr>
        <w:pStyle w:val="Compact"/>
        <w:numPr>
          <w:ilvl w:val="0"/>
          <w:numId w:val="1006"/>
        </w:numPr>
      </w:pPr>
      <w:r>
        <w:t xml:space="preserve">Data backup and recovery: RPO 1 hour, RTO 4 hours</w:t>
      </w:r>
    </w:p>
    <w:p>
      <w:pPr>
        <w:pStyle w:val="Compact"/>
        <w:numPr>
          <w:ilvl w:val="0"/>
          <w:numId w:val="1006"/>
        </w:numPr>
      </w:pPr>
      <w:r>
        <w:t xml:space="preserve">Annual access review required</w:t>
      </w:r>
    </w:p>
    <w:p>
      <w:pPr>
        <w:pStyle w:val="Compact"/>
        <w:numPr>
          <w:ilvl w:val="0"/>
          <w:numId w:val="1006"/>
        </w:numPr>
      </w:pPr>
      <w:r>
        <w:t xml:space="preserve">Change control process via Veeva Vault QMS</w:t>
      </w:r>
    </w:p>
    <w:bookmarkEnd w:id="21"/>
    <w:bookmarkStart w:id="22" w:name="validation-approach"/>
    <w:p>
      <w:pPr>
        <w:pStyle w:val="Heading2"/>
      </w:pPr>
      <w:r>
        <w:t xml:space="preserve">Validation Approach</w:t>
      </w:r>
    </w:p>
    <w:p>
      <w:pPr>
        <w:pStyle w:val="FirstParagraph"/>
      </w:pPr>
      <w:r>
        <w:t xml:space="preserve">Validation follows GAMP 5 risk-based approach. IQ/OQ/PQ protocols will be executed. The ICV document covers Installation and Configuration Verification. Performance Qualification (PQ) is covered in a separate protocol.</w:t>
      </w:r>
    </w:p>
    <w:bookmarkEnd w:id="22"/>
    <w:bookmarkEnd w:id="23"/>
    <w:bookmarkStart w:id="26" w:name="dependencies"/>
    <w:p>
      <w:pPr>
        <w:pStyle w:val="Heading1"/>
      </w:pPr>
      <w:r>
        <w:t xml:space="preserve">9. Dependencies</w:t>
      </w:r>
    </w:p>
    <w:bookmarkStart w:id="24" w:name="application-dependencies"/>
    <w:p>
      <w:pPr>
        <w:pStyle w:val="Heading2"/>
      </w:pPr>
      <w:r>
        <w:t xml:space="preserve">Application Dependencies</w:t>
      </w:r>
    </w:p>
    <w:p>
      <w:pPr>
        <w:pStyle w:val="Compact"/>
        <w:numPr>
          <w:ilvl w:val="0"/>
          <w:numId w:val="1007"/>
        </w:numPr>
      </w:pPr>
      <w:r>
        <w:t xml:space="preserve">SAP S/4HANA 2023 FP1</w:t>
      </w:r>
    </w:p>
    <w:p>
      <w:pPr>
        <w:pStyle w:val="Compact"/>
        <w:numPr>
          <w:ilvl w:val="0"/>
          <w:numId w:val="1007"/>
        </w:numPr>
      </w:pPr>
      <w:r>
        <w:t xml:space="preserve">Veeva Vault QMS 23R2</w:t>
      </w:r>
    </w:p>
    <w:p>
      <w:pPr>
        <w:pStyle w:val="Compact"/>
        <w:numPr>
          <w:ilvl w:val="0"/>
          <w:numId w:val="1007"/>
        </w:numPr>
      </w:pPr>
      <w:r>
        <w:t xml:space="preserve">Azure AD B2C tenant</w:t>
      </w:r>
    </w:p>
    <w:p>
      <w:pPr>
        <w:pStyle w:val="Compact"/>
        <w:numPr>
          <w:ilvl w:val="0"/>
          <w:numId w:val="1007"/>
        </w:numPr>
      </w:pPr>
      <w:r>
        <w:t xml:space="preserve">SendGrid email service</w:t>
      </w:r>
    </w:p>
    <w:bookmarkEnd w:id="24"/>
    <w:bookmarkStart w:id="25" w:name="infrastructure-prerequisites"/>
    <w:p>
      <w:pPr>
        <w:pStyle w:val="Heading2"/>
      </w:pPr>
      <w:r>
        <w:t xml:space="preserve">Infrastructure Prerequisites</w:t>
      </w:r>
    </w:p>
    <w:p>
      <w:pPr>
        <w:pStyle w:val="Compact"/>
        <w:numPr>
          <w:ilvl w:val="0"/>
          <w:numId w:val="1008"/>
        </w:numPr>
      </w:pPr>
      <w:r>
        <w:t xml:space="preserve">Azure subscription with Owner role</w:t>
      </w:r>
    </w:p>
    <w:p>
      <w:pPr>
        <w:pStyle w:val="Compact"/>
        <w:numPr>
          <w:ilvl w:val="0"/>
          <w:numId w:val="1008"/>
        </w:numPr>
      </w:pPr>
      <w:r>
        <w:t xml:space="preserve">Service principal for AKS</w:t>
      </w:r>
    </w:p>
    <w:p>
      <w:pPr>
        <w:pStyle w:val="Compact"/>
        <w:numPr>
          <w:ilvl w:val="0"/>
          <w:numId w:val="1008"/>
        </w:numPr>
      </w:pPr>
      <w:r>
        <w:t xml:space="preserve">SSL certificate for *.acme-ims.com</w:t>
      </w:r>
    </w:p>
    <w:p>
      <w:pPr>
        <w:pStyle w:val="Compact"/>
        <w:numPr>
          <w:ilvl w:val="0"/>
          <w:numId w:val="1008"/>
        </w:numPr>
      </w:pPr>
      <w:r>
        <w:t xml:space="preserve">VPN tunnel to on-premises SAP</w:t>
      </w:r>
    </w:p>
    <w:bookmarkEnd w:id="25"/>
    <w:bookmarkEnd w:id="26"/>
    <w:bookmarkStart w:id="29" w:name="glossary-and-references"/>
    <w:p>
      <w:pPr>
        <w:pStyle w:val="Heading1"/>
      </w:pPr>
      <w:r>
        <w:t xml:space="preserve">10. Glossary and References</w:t>
      </w:r>
    </w:p>
    <w:bookmarkStart w:id="27" w:name="glossary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IMS</w:t>
            </w:r>
          </w:p>
        </w:tc>
        <w:tc>
          <w:tcPr/>
          <w:p>
            <w:pPr>
              <w:pStyle w:val="Compact"/>
            </w:pPr>
            <w:r>
              <w:t xml:space="preserve">Inventory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</w:t>
            </w:r>
          </w:p>
        </w:tc>
        <w:tc>
          <w:tcPr/>
          <w:p>
            <w:pPr>
              <w:pStyle w:val="Compact"/>
            </w:pPr>
            <w:r>
              <w:t xml:space="preserve">Azure Kubernetes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ICV</w:t>
            </w:r>
          </w:p>
        </w:tc>
        <w:tc>
          <w:tcPr/>
          <w:p>
            <w:pPr>
              <w:pStyle w:val="Compact"/>
            </w:pPr>
            <w:r>
              <w:t xml:space="preserve">Installation Configuration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GxP</w:t>
            </w:r>
          </w:p>
        </w:tc>
        <w:tc>
          <w:tcPr/>
          <w:p>
            <w:pPr>
              <w:pStyle w:val="Compact"/>
            </w:pPr>
            <w:r>
              <w:t xml:space="preserve">Good Practice (GMP, GLP, GCP,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GAMP 5</w:t>
            </w:r>
          </w:p>
        </w:tc>
        <w:tc>
          <w:tcPr/>
          <w:p>
            <w:pPr>
              <w:pStyle w:val="Compact"/>
            </w:pPr>
            <w:r>
              <w:t xml:space="preserve">Good Automated Manufacturing Practice, version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  <w:r>
              <w:t xml:space="preserve">Remote Function Call (SAP)</w:t>
            </w:r>
          </w:p>
        </w:tc>
      </w:tr>
    </w:tbl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Application Design Document — ACME IMS v2.5</w:t>
      </w:r>
    </w:p>
    <w:p>
      <w:pPr>
        <w:pStyle w:val="Compact"/>
        <w:numPr>
          <w:ilvl w:val="0"/>
          <w:numId w:val="1009"/>
        </w:numPr>
      </w:pPr>
      <w:r>
        <w:t xml:space="preserve">Workspace Design Document — ACME IMS</w:t>
      </w:r>
    </w:p>
    <w:p>
      <w:pPr>
        <w:pStyle w:val="Compact"/>
        <w:numPr>
          <w:ilvl w:val="0"/>
          <w:numId w:val="1009"/>
        </w:numPr>
      </w:pPr>
      <w:r>
        <w:t xml:space="preserve">GxP Assessment Document — ACME IMS</w:t>
      </w:r>
    </w:p>
    <w:p>
      <w:pPr>
        <w:pStyle w:val="Compact"/>
        <w:numPr>
          <w:ilvl w:val="0"/>
          <w:numId w:val="1009"/>
        </w:numPr>
      </w:pPr>
      <w:r>
        <w:t xml:space="preserve">ICV Steps and Screenshots — ACME IMS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creator>ACME Engineering</dc:creator>
  <cp:keywords/>
  <dcterms:created xsi:type="dcterms:W3CDTF">2026-02-09T15:01:02Z</dcterms:created>
  <dcterms:modified xsi:type="dcterms:W3CDTF">2026-02-09T15:01:02Z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2026-02-09</vt:lpwstr>
  </property>
  <property fmtid="{D5CDD505-2E9C-101B-9397-08002B2CF9AE}" pid="3" name="document_id">
    <vt:lpwstr>TDD-IMS-001</vt:lpwstr>
  </property>
  <property fmtid="{D5CDD505-2E9C-101B-9397-08002B2CF9AE}" pid="4" name="status">
    <vt:lpwstr>Draft</vt:lpwstr>
  </property>
  <property fmtid="{D5CDD505-2E9C-101B-9397-08002B2CF9AE}" pid="5" name="subtitle">
    <vt:lpwstr>ACME Inventory Management System (IMS) v2.5</vt:lpwstr>
  </property>
  <property fmtid="{D5CDD505-2E9C-101B-9397-08002B2CF9AE}" pid="6" name="version">
    <vt:lpwstr>1.0</vt:lpwstr>
  </property>
</Properties>
</file>