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Design Document</w:t>
      </w:r>
    </w:p>
    <w:p>
      <w:pPr>
        <w:pStyle w:val="Heading1"/>
      </w:pPr>
      <w:r>
        <w:t>1. Purpose</w:t>
      </w:r>
    </w:p>
    <w:p>
      <w:r>
        <w:t>This document describes the design of the ACME Inventory Management System (IMS) v2.5. The system provides real-time inventory tracking, automated reorder management, and compliance reporting for GxP-regulated warehouse operations.</w:t>
      </w:r>
    </w:p>
    <w:p>
      <w:pPr>
        <w:pStyle w:val="Heading1"/>
      </w:pPr>
      <w:r>
        <w:t>2. Scope</w:t>
      </w:r>
    </w:p>
    <w:p>
      <w:r>
        <w:t>The application covers inventory intake, storage tracking, dispatch, and audit trail generation. It integrates with the existing ERP system (SAP S/4HANA) and the quality management system (Veeva Vault QMS).</w:t>
      </w:r>
    </w:p>
    <w:p>
      <w:pPr>
        <w:pStyle w:val="Heading1"/>
      </w:pPr>
      <w:r>
        <w:t>3. System Overview</w:t>
      </w:r>
    </w:p>
    <w:p>
      <w:r>
        <w:t>ACME IMS is a three-tier web application consisting of a React frontend, a Python/FastAPI backend, and a PostgreSQL 15 database. Deployment target: Azure Kubernetes Service (AKS) in the US East region.</w:t>
      </w:r>
    </w:p>
    <w:p>
      <w:pPr>
        <w:pStyle w:val="Heading1"/>
      </w:pPr>
      <w:r>
        <w:t>4. Architecture</w:t>
      </w:r>
    </w:p>
    <w:p>
      <w:pPr>
        <w:pStyle w:val="Heading2"/>
      </w:pPr>
      <w:r>
        <w:t>4.1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18.2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/ FastAPI</w:t>
            </w:r>
          </w:p>
        </w:tc>
        <w:tc>
          <w:tcPr>
            <w:tcW w:type="dxa" w:w="2880"/>
          </w:tcPr>
          <w:p>
            <w:r>
              <w:t>3.11 / 0.104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15.4</w:t>
            </w:r>
          </w:p>
        </w:tc>
      </w:tr>
    </w:tbl>
    <w:p>
      <w:pPr>
        <w:pStyle w:val="Heading2"/>
      </w:pPr>
      <w:r>
        <w:t>4.2 Interfaces and Data Flow</w:t>
      </w:r>
    </w:p>
    <w:p>
      <w:r>
        <w:t>The frontend communicates with the backend via REST API over HTTPS (TLS 1.3). The backend connects to PostgreSQL via connection pooling (pgBouncer). SAP integration uses RFC over a secure VPN tunnel.</w:t>
      </w:r>
    </w:p>
    <w:p>
      <w:pPr>
        <w:pStyle w:val="Heading1"/>
      </w:pPr>
      <w:r>
        <w:t>5. Security Considerations</w:t>
      </w:r>
    </w:p>
    <w:p>
      <w:r>
        <w:t>Authentication: Azure AD with SAML 2.0 SSO. Authorization: Role-based access control (RBAC) with 4 roles: Admin, Manager, Operator, Viewer. Data encryption: AES-256 at rest, TLS 1.3 in transit. Audit logging: All CRUD operations logged with user ID, timestamp, and IP address.</w:t>
      </w:r>
    </w:p>
    <w:p>
      <w:pPr>
        <w:pStyle w:val="Heading1"/>
      </w:pPr>
      <w:r>
        <w:t>6. Dependencies</w:t>
      </w:r>
    </w:p>
    <w:p>
      <w:r>
        <w:t>- SAP S/4HANA 2023 FP1</w:t>
      </w:r>
    </w:p>
    <w:p>
      <w:r>
        <w:t>- Veeva Vault QMS 23R2</w:t>
      </w:r>
    </w:p>
    <w:p>
      <w:r>
        <w:t>- Azure AD B2C tenant</w:t>
      </w:r>
    </w:p>
    <w:p>
      <w:r>
        <w:t>- SendGrid email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