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GxP Assessment Document</w:t>
      </w:r>
    </w:p>
    <w:p>
      <w:pPr>
        <w:pStyle w:val="Heading1"/>
      </w:pPr>
      <w:r>
        <w:t>1. Regulatory Scope</w:t>
      </w:r>
    </w:p>
    <w:p>
      <w:r>
        <w:t>The ACME IMS falls under FDA 21 CFR Part 11 (Electronic Records) and EU Annex 11 (Computerised Systems). The system is classified as GxP Category 5 (Custom Application) per GAMP 5 guidelines.</w:t>
      </w:r>
    </w:p>
    <w:p>
      <w:pPr>
        <w:pStyle w:val="Heading1"/>
      </w:pPr>
      <w:r>
        <w:t>2.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Data integrity loss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Audit trail + DB backups</w:t>
            </w:r>
          </w:p>
        </w:tc>
      </w:tr>
      <w:tr>
        <w:tc>
          <w:tcPr>
            <w:tcW w:type="dxa" w:w="2160"/>
          </w:tcPr>
          <w:p>
            <w:r>
              <w:t>Unauthorized access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RBAC + SSO + MFA</w:t>
            </w:r>
          </w:p>
        </w:tc>
      </w:tr>
      <w:tr>
        <w:tc>
          <w:tcPr>
            <w:tcW w:type="dxa" w:w="2160"/>
          </w:tcPr>
          <w:p>
            <w:r>
              <w:t>System downtime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HA cluster + auto-failover</w:t>
            </w:r>
          </w:p>
        </w:tc>
      </w:tr>
    </w:tbl>
    <w:p>
      <w:pPr>
        <w:pStyle w:val="Heading1"/>
      </w:pPr>
      <w:r>
        <w:t>3. Compliance Requirements</w:t>
      </w:r>
    </w:p>
    <w:p>
      <w:r>
        <w:t>- Electronic signatures must comply with 21 CFR Part 11.50</w:t>
      </w:r>
    </w:p>
    <w:p>
      <w:r>
        <w:t>- Audit trail must be immutable and include user ID + timestamp</w:t>
      </w:r>
    </w:p>
    <w:p>
      <w:r>
        <w:t>- Data backup and recovery: RPO 1 hour, RTO 4 hours</w:t>
      </w:r>
    </w:p>
    <w:p>
      <w:r>
        <w:t>- Annual access review required</w:t>
      </w:r>
    </w:p>
    <w:p>
      <w:r>
        <w:t>- Change control process via Veeva Vault QMS</w:t>
      </w:r>
    </w:p>
    <w:p>
      <w:pPr>
        <w:pStyle w:val="Heading1"/>
      </w:pPr>
      <w:r>
        <w:t>4. Validation Approach</w:t>
      </w:r>
    </w:p>
    <w:p>
      <w:r>
        <w:t>Validation follows GAMP 5 risk-based approach. IQ/OQ/PQ protocols will be executed. The ICV document covers Installation and Configuration Verification. Performance Qualification (PQ) is covered in a separate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