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Workspace Design Document</w:t>
      </w:r>
    </w:p>
    <w:p>
      <w:pPr>
        <w:pStyle w:val="Heading1"/>
      </w:pPr>
      <w:r>
        <w:t>1. Environment Overview</w:t>
      </w:r>
    </w:p>
    <w:p>
      <w:r>
        <w:t>The ACME IMS is deployed across three environments: DEV, UAT, and PROD. All environments run on Azure Kubernetes Service (AKS) with identical configuration except for resource scaling.</w:t>
      </w:r>
    </w:p>
    <w:p>
      <w:pPr>
        <w:pStyle w:val="Heading1"/>
      </w:pPr>
      <w:r>
        <w:t>2.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AKS Nodes</w:t>
            </w:r>
          </w:p>
        </w:tc>
        <w:tc>
          <w:tcPr>
            <w:tcW w:type="dxa" w:w="2160"/>
          </w:tcPr>
          <w:p>
            <w:r>
              <w:t>DB Size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 GB</w:t>
            </w:r>
          </w:p>
        </w:tc>
        <w:tc>
          <w:tcPr>
            <w:tcW w:type="dxa" w:w="2160"/>
          </w:tcPr>
          <w:p>
            <w:r>
              <w:t>US East</w:t>
            </w:r>
          </w:p>
        </w:tc>
      </w:tr>
      <w:tr>
        <w:tc>
          <w:tcPr>
            <w:tcW w:type="dxa" w:w="2160"/>
          </w:tcPr>
          <w:p>
            <w:r>
              <w:t>UAT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 GB</w:t>
            </w:r>
          </w:p>
        </w:tc>
        <w:tc>
          <w:tcPr>
            <w:tcW w:type="dxa" w:w="2160"/>
          </w:tcPr>
          <w:p>
            <w:r>
              <w:t>US East</w:t>
            </w:r>
          </w:p>
        </w:tc>
      </w:tr>
      <w:tr>
        <w:tc>
          <w:tcPr>
            <w:tcW w:type="dxa" w:w="2160"/>
          </w:tcPr>
          <w:p>
            <w:r>
              <w:t>PROD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500 GB</w:t>
            </w:r>
          </w:p>
        </w:tc>
        <w:tc>
          <w:tcPr>
            <w:tcW w:type="dxa" w:w="2160"/>
          </w:tcPr>
          <w:p>
            <w:r>
              <w:t>US East</w:t>
            </w:r>
          </w:p>
        </w:tc>
      </w:tr>
    </w:tbl>
    <w:p>
      <w:pPr>
        <w:pStyle w:val="Heading1"/>
      </w:pPr>
      <w:r>
        <w:t>3. Workspace Configuration</w:t>
      </w:r>
    </w:p>
    <w:p>
      <w:r>
        <w:t>Developer workstations require: Python 3.11+, Node.js 20 LTS, Docker Desktop, Azure CLI 2.53+, kubectl 1.28+, and Helm 3.13+.</w:t>
      </w:r>
    </w:p>
    <w:p>
      <w:pPr>
        <w:pStyle w:val="Heading1"/>
      </w:pPr>
      <w:r>
        <w:t>4. Network Configuration</w:t>
      </w:r>
    </w:p>
    <w:p>
      <w:r>
        <w:t>VNet: 10.0.0.0/16. AKS subnet: 10.0.1.0/24. DB subnet: 10.0.2.0/24. NSG rules restrict DB access to AKS subnet only. VPN gateway for SAP connectivity.</w:t>
      </w:r>
    </w:p>
    <w:p>
      <w:pPr>
        <w:pStyle w:val="Heading1"/>
      </w:pPr>
      <w:r>
        <w:t>5. Prerequisites</w:t>
      </w:r>
    </w:p>
    <w:p>
      <w:r>
        <w:t>- Azure subscription with Owner role</w:t>
      </w:r>
    </w:p>
    <w:p>
      <w:r>
        <w:t>- Service principal for AKS</w:t>
      </w:r>
    </w:p>
    <w:p>
      <w:r>
        <w:t>- SSL certificate for *.acme-ims.com</w:t>
      </w:r>
    </w:p>
    <w:p>
      <w:r>
        <w:t>- VPN tunnel to on-premises SAP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