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19ef2f9d733253a8cb308c635f30f3af68b746"/>
    <w:p>
      <w:pPr>
        <w:pStyle w:val="Heading1"/>
      </w:pPr>
      <w:r>
        <w:t xml:space="preserve">La Grand-Plage -- Médiathèque et Archives de Roubaix : grille de lecture des éléments</w:t>
      </w:r>
      <w:r>
        <w:t xml:space="preserve"> </w:t>
      </w:r>
      <w:r>
        <w:rPr>
          <w:rStyle w:val="VerbatimChar"/>
        </w:rPr>
        <w:t xml:space="preserve">&lt;dao&gt;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&lt;daogrp&gt;</w:t>
      </w:r>
      <w:r>
        <w:t xml:space="preserve"> </w:t>
      </w:r>
      <w:r>
        <w:t xml:space="preserve">des instruments de recherche</w:t>
      </w:r>
    </w:p>
    <w:p>
      <w:pPr>
        <w:pStyle w:val="FirstParagraph"/>
      </w:pPr>
      <w:r>
        <w:t xml:space="preserve">date : 25/09/2026</w:t>
      </w:r>
    </w:p>
    <w:p>
      <w:pPr>
        <w:pStyle w:val="BodyText"/>
      </w:pPr>
      <w:r>
        <w:t xml:space="preserve">Ce document, rédigé à destination de la société Boscop, explique comment lire le contenu des éléments</w:t>
      </w:r>
      <w:r>
        <w:t xml:space="preserve"> </w:t>
      </w:r>
      <w:r>
        <w:rPr>
          <w:rStyle w:val="VerbatimChar"/>
        </w:rPr>
        <w:t xml:space="preserve">&lt;dao&gt;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&lt;daogrp&gt;</w:t>
      </w:r>
      <w:r>
        <w:t xml:space="preserve"> </w:t>
      </w:r>
      <w:r>
        <w:t xml:space="preserve">présents dans les composants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des instruments de recherche encodé en EAD par la Grand-PLage à l'aide du logiciel Mnesys.</w:t>
      </w:r>
    </w:p>
    <w:p>
      <w:pPr>
        <w:pStyle w:val="BodyText"/>
      </w:pPr>
      <w:r>
        <w:t xml:space="preserve">À la date de rédaction de ce document, les règles qui suivent ne sont pas encore en production au sein de la Grand-Plage. En cas d'incompatibilité majeure avec le fonctionnement de Ligeo diffusion, elles peuvent encore être amendées.</w:t>
      </w:r>
    </w:p>
    <w:p>
      <w:r>
        <w:pict>
          <v:rect style="width:0;height:1.5pt" o:hralign="center" o:hrstd="t" o:hr="t"/>
        </w:pict>
      </w:r>
    </w:p>
    <w:bookmarkStart w:id="20" w:name="X96c94c12d16ffbe5c3e233f89e0ecc73f54dade"/>
    <w:p>
      <w:pPr>
        <w:pStyle w:val="Heading2"/>
      </w:pPr>
      <w:r>
        <w:t xml:space="preserve">1. Fonctions des éléments</w:t>
      </w:r>
      <w:r>
        <w:t xml:space="preserve"> </w:t>
      </w:r>
      <w:r>
        <w:rPr>
          <w:rStyle w:val="VerbatimChar"/>
        </w:rPr>
        <w:t xml:space="preserve">&lt;dao&gt;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&lt;daogrp&gt;</w:t>
      </w:r>
    </w:p>
    <w:p>
      <w:pPr>
        <w:pStyle w:val="FirstParagraph"/>
      </w:pPr>
      <w:r>
        <w:t xml:space="preserve">Les éléments</w:t>
      </w:r>
      <w:r>
        <w:t xml:space="preserve"> </w:t>
      </w:r>
      <w:r>
        <w:rPr>
          <w:rStyle w:val="VerbatimChar"/>
        </w:rPr>
        <w:t xml:space="preserve">&lt;dao&gt;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&lt;daogrp&gt;</w:t>
      </w:r>
      <w:r>
        <w:t xml:space="preserve"> </w:t>
      </w:r>
      <w:r>
        <w:t xml:space="preserve">remplissent deux fonctions à la fois :</w:t>
      </w:r>
    </w:p>
    <w:p>
      <w:pPr>
        <w:pStyle w:val="Compact"/>
        <w:numPr>
          <w:ilvl w:val="0"/>
          <w:numId w:val="1001"/>
        </w:numPr>
      </w:pPr>
      <w:r>
        <w:t xml:space="preserve">pointer vers les fichiers numériques liés au document :</w:t>
      </w:r>
    </w:p>
    <w:p>
      <w:pPr>
        <w:pStyle w:val="Compact"/>
        <w:numPr>
          <w:ilvl w:val="1"/>
          <w:numId w:val="1002"/>
        </w:numPr>
      </w:pPr>
      <w:r>
        <w:t xml:space="preserve">version de diffusion, destinée à être publiée sur Ligeo,</w:t>
      </w:r>
    </w:p>
    <w:p>
      <w:pPr>
        <w:pStyle w:val="Compact"/>
        <w:numPr>
          <w:ilvl w:val="1"/>
          <w:numId w:val="1002"/>
        </w:numPr>
      </w:pPr>
      <w:r>
        <w:t xml:space="preserve">version de conservation,</w:t>
      </w:r>
    </w:p>
    <w:p>
      <w:pPr>
        <w:pStyle w:val="Compact"/>
        <w:numPr>
          <w:ilvl w:val="1"/>
          <w:numId w:val="1002"/>
        </w:numPr>
      </w:pPr>
      <w:r>
        <w:t xml:space="preserve">éventuellement fichier(s) issu(s) de l'océreisation</w:t>
      </w:r>
    </w:p>
    <w:p>
      <w:pPr>
        <w:pStyle w:val="Compact"/>
        <w:numPr>
          <w:ilvl w:val="0"/>
          <w:numId w:val="1001"/>
        </w:numPr>
      </w:pPr>
      <w:r>
        <w:t xml:space="preserve">porter le ou les identifiants pérennes (lien ark) de la notice.</w:t>
      </w:r>
    </w:p>
    <w:p>
      <w:pPr>
        <w:pStyle w:val="FirstParagraph"/>
      </w:pPr>
      <w:r>
        <w:t xml:space="preserve">Un même</w:t>
      </w:r>
      <w:r>
        <w:t xml:space="preserve"> </w:t>
      </w:r>
      <w:r>
        <w:rPr>
          <w:rStyle w:val="VerbatimChar"/>
        </w:rPr>
        <w:t xml:space="preserve">&lt;daogrp&gt;</w:t>
      </w:r>
      <w:r>
        <w:t xml:space="preserve"> </w:t>
      </w:r>
      <w:r>
        <w:t xml:space="preserve">mélange donc typiquement les deux types de liens, par exemple pour une image avec sa conservation et sa publication :</w:t>
      </w:r>
    </w:p>
    <w:p>
      <w:pPr>
        <w:pStyle w:val="SourceCode"/>
      </w:pPr>
      <w:r>
        <w:rPr>
          <w:rStyle w:val="NormalTok"/>
        </w:rPr>
        <w:t xml:space="preserve">    &lt;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"MED/MED_CHA/RBX_MED_CHA_0091.tif"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"preservation:image"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"MED/MED_CHA/RBX_MED_CHA_0091.jpg"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"access:image"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"https://www.bn-r.fr/ark:/20179/BNRm01781244641TPOobF"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"publication:current"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"https://www.bn-r.fr/ark:/20179/BNR22820"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"publication:previous"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"/>
    <w:bookmarkStart w:id="21" w:name="X709019f70eecaec4af9a7a88dcd76f0ddf7882c"/>
    <w:p>
      <w:pPr>
        <w:pStyle w:val="Heading2"/>
      </w:pPr>
      <w:r>
        <w:t xml:space="preserve">2. L'attribut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: à quoi sert chaque lien</w:t>
      </w:r>
    </w:p>
    <w:p>
      <w:pPr>
        <w:pStyle w:val="FirstParagraph"/>
      </w:pPr>
      <w:r>
        <w:t xml:space="preserve">Chaque lien (</w:t>
      </w:r>
      <w:r>
        <w:rPr>
          <w:rStyle w:val="VerbatimChar"/>
        </w:rPr>
        <w:t xml:space="preserve">&lt;dao&gt;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&lt;daoloc&gt;</w:t>
      </w:r>
      <w:r>
        <w:t xml:space="preserve">) porte un attribut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qui indique son</w:t>
      </w:r>
      <w:r>
        <w:t xml:space="preserve"> </w:t>
      </w:r>
      <w:r>
        <w:t xml:space="preserve">usage, en respectant la syntaxe</w:t>
      </w:r>
      <w:r>
        <w:t xml:space="preserve"> </w:t>
      </w:r>
      <w:r>
        <w:rPr>
          <w:rStyle w:val="VerbatimChar"/>
        </w:rPr>
        <w:t xml:space="preserve">usage:média[:position]</w:t>
      </w:r>
      <w:r>
        <w:t xml:space="preserve"> </w:t>
      </w:r>
      <w:r>
        <w:t xml:space="preserve">:</w:t>
      </w:r>
    </w:p>
    <w:tbl>
      <w:tblPr>
        <w:tblStyle w:val="Table"/>
        <w:tblW w:type="dxa" w:w="9360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0" w:lastColumn="0" w:noHBand="0" w:noVBand="0" w:val="0020"/>
      </w:tblPr>
      <w:tblGrid>
        <w:gridCol w:w="3400"/>
        <w:gridCol w:w="2900"/>
        <w:gridCol w:w="3060"/>
      </w:tblGrid>
      <w:tr>
        <w:trPr>
          <w:tblHeader w:val="on"/>
        </w:trPr>
        <w:tc>
          <w:tcPr>
            <w:tcW w:w="3400" w:type="dxa"/>
          </w:tcPr>
          <w:p>
            <w:pPr>
              <w:pStyle w:val="Compact"/>
            </w:pPr>
            <w:r>
              <w:t xml:space="preserve">role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t xml:space="preserve">Signification</w:t>
            </w:r>
          </w:p>
        </w:tc>
        <w:tc>
          <w:tcPr>
            <w:tcW w:w="3060" w:type="dxa"/>
          </w:tcPr>
          <w:p>
            <w:pPr>
              <w:pStyle w:val="Compact"/>
            </w:pPr>
            <w:r>
              <w:t xml:space="preserve">À faire</w:t>
            </w:r>
          </w:p>
        </w:tc>
      </w:tr>
      <w:tr>
        <w:tc>
          <w:tcPr>
            <w:tcW w:w="34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publication:current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t xml:space="preserve">Lien pérenne de la notice, généré dans Mnesys</w:t>
            </w:r>
          </w:p>
        </w:tc>
        <w:tc>
          <w:tcPr>
            <w:tcW w:w="3060" w:type="dxa"/>
          </w:tcPr>
          <w:p>
            <w:pPr>
              <w:pStyle w:val="Compact"/>
            </w:pPr>
            <w:r>
              <w:t xml:space="preserve">à utiliser pour renvoyer vers la notice du document</w:t>
            </w:r>
          </w:p>
        </w:tc>
      </w:tr>
      <w:tr>
        <w:tc>
          <w:tcPr>
            <w:tcW w:w="34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publication:previous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t xml:space="preserve">"Ancien" lien pérenne de la notice, généré par l'outil bn-r Decalog</w:t>
            </w:r>
          </w:p>
        </w:tc>
        <w:tc>
          <w:tcPr>
            <w:tcW w:w="3060" w:type="dxa"/>
          </w:tcPr>
          <w:p>
            <w:pPr>
              <w:pStyle w:val="Compact"/>
            </w:pPr>
            <w:r>
              <w:t xml:space="preserve">rediriger vers le lien</w:t>
            </w:r>
            <w:r>
              <w:t xml:space="preserve"> </w:t>
            </w:r>
            <w:r>
              <w:rPr>
                <w:rStyle w:val="VerbatimChar"/>
              </w:rPr>
              <w:t xml:space="preserve">publication:current</w:t>
            </w:r>
          </w:p>
        </w:tc>
      </w:tr>
      <w:tr>
        <w:tc>
          <w:tcPr>
            <w:tcW w:w="34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access:image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access:audio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access:video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access:pdf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access:ocr_alto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t xml:space="preserve">Fichier de diffusion</w:t>
            </w:r>
          </w:p>
        </w:tc>
        <w:tc>
          <w:tcPr>
            <w:tcW w:w="3060" w:type="dxa"/>
          </w:tcPr>
          <w:p>
            <w:pPr>
              <w:pStyle w:val="Compact"/>
            </w:pPr>
            <w:r>
              <w:t xml:space="preserve">fichier à publier, sauf s'il porte</w:t>
            </w:r>
            <w:r>
              <w:t xml:space="preserve"> </w:t>
            </w:r>
            <w:r>
              <w:rPr>
                <w:rStyle w:val="VerbatimChar"/>
              </w:rPr>
              <w:t xml:space="preserve">audience="internal"</w:t>
            </w:r>
            <w:r>
              <w:t xml:space="preserve"> </w:t>
            </w:r>
            <w:r>
              <w:t xml:space="preserve">(voir §4)</w:t>
            </w:r>
          </w:p>
        </w:tc>
      </w:tr>
      <w:tr>
        <w:tc>
          <w:tcPr>
            <w:tcW w:w="34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preservation:image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preservation:audio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preservation:video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preservation:pdf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preservation:ocr_alto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t xml:space="preserve">Fichier de conservation</w:t>
            </w:r>
          </w:p>
        </w:tc>
        <w:tc>
          <w:tcPr>
            <w:tcW w:w="3060" w:type="dxa"/>
          </w:tcPr>
          <w:p>
            <w:pPr>
              <w:pStyle w:val="Compact"/>
            </w:pPr>
            <w:r>
              <w:t xml:space="preserve">ne pas prendre en considération, à usage interne de Roubaix</w:t>
            </w:r>
          </w:p>
        </w:tc>
      </w:tr>
      <w:tr>
        <w:tc>
          <w:tcPr>
            <w:tcW w:w="340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…:first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…:last</w:t>
            </w:r>
            <w:r>
              <w:t xml:space="preserve"> </w:t>
            </w:r>
            <w:r>
              <w:t xml:space="preserve">(sur</w:t>
            </w:r>
            <w:r>
              <w:t xml:space="preserve"> </w:t>
            </w:r>
            <w:r>
              <w:rPr>
                <w:rStyle w:val="VerbatimChar"/>
              </w:rPr>
              <w:t xml:space="preserve">access: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preservation:</w:t>
            </w:r>
            <w:r>
              <w:t xml:space="preserve">)</w:t>
            </w:r>
          </w:p>
        </w:tc>
        <w:tc>
          <w:tcPr>
            <w:tcW w:w="2900" w:type="dxa"/>
          </w:tcPr>
          <w:p>
            <w:pPr>
              <w:pStyle w:val="Compact"/>
            </w:pPr>
            <w:r>
              <w:t xml:space="preserve">Bornes d'une plage de plusieurs fichiers</w:t>
            </w:r>
          </w:p>
        </w:tc>
        <w:tc>
          <w:tcPr>
            <w:tcW w:w="3060" w:type="dxa"/>
          </w:tcPr>
          <w:p>
            <w:pPr>
              <w:pStyle w:val="Compact"/>
            </w:pPr>
            <w:r>
              <w:t xml:space="preserve">Voir §3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b8c3b4a4f3617357df1436ce2c38c4ec4c9abaf"/>
    <w:p>
      <w:pPr>
        <w:pStyle w:val="Heading2"/>
      </w:pPr>
      <w:r>
        <w:t xml:space="preserve">3. Plage de fichiers :</w:t>
      </w:r>
      <w:r>
        <w:t xml:space="preserve"> </w:t>
      </w:r>
      <w:r>
        <w:rPr>
          <w:rStyle w:val="VerbatimChar"/>
        </w:rPr>
        <w:t xml:space="preserve">:first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:last</w:t>
      </w:r>
    </w:p>
    <w:p>
      <w:pPr>
        <w:pStyle w:val="FirstParagraph"/>
      </w:pPr>
      <w:r>
        <w:t xml:space="preserve">Quand le document décrit par un composant comprend plusieurs fichiers (les pages d'un document, les deux faces d'un disque...), ces derniers ne sont pas tous listés : seuls le premier et le dernier sont donnés, avec le rôle suffixé</w:t>
      </w:r>
      <w:r>
        <w:t xml:space="preserve"> </w:t>
      </w:r>
      <w:r>
        <w:rPr>
          <w:rStyle w:val="VerbatimChar"/>
        </w:rPr>
        <w:t xml:space="preserve">:first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:last</w:t>
      </w:r>
      <w:r>
        <w:t xml:space="preserve">.</w:t>
      </w:r>
      <w:r>
        <w:t xml:space="preserve"> </w:t>
      </w:r>
      <w:r>
        <w:t xml:space="preserve">Les fichiers intermédiaires sont implicites.</w:t>
      </w:r>
    </w:p>
    <w:p>
      <w:pPr>
        <w:pStyle w:val="BodyText"/>
      </w:pPr>
      <w:r>
        <w:t xml:space="preserve">Exemple : une série de photos d'une distribution de prix, décrite par ses</w:t>
      </w:r>
      <w:r>
        <w:t xml:space="preserve"> </w:t>
      </w:r>
      <w:r>
        <w:t xml:space="preserve">seules bornes :</w:t>
      </w:r>
    </w:p>
    <w:p>
      <w:pPr>
        <w:pStyle w:val="SourceCode"/>
      </w:pPr>
      <w:r>
        <w:rPr>
          <w:rStyle w:val="NormalTok"/>
        </w:rPr>
        <w:t xml:space="preserve">    &lt;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daodesc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&gt;1858 - Distribution solennelle des prix aux élèves des écoles académiques&lt;/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daodesc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"CSV/RBX_CSV_PAL_1858_01.tif"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"preservation:image:first"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"CSV/RBX_CSV_PAL_1858_08.tif"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"preservation:image:last"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"CSV/RBX_CSV_PAL_1858_01.jpg"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"access:image:first"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"CSV/RBX_CSV_PAL_1858_08.jpg"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"access:image:last"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"https://www.bn-r.fr/ark:/20179/BNRm01781244634UCd4Y1"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"publication:current"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"https://www.bn-r.fr/ark:/20179/BNR52641"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"publication:previous"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RBX_CSV_PAL_1858_01.jpg</w:t>
      </w:r>
      <w:r>
        <w:t xml:space="preserve"> </w:t>
      </w:r>
      <w:r>
        <w:t xml:space="preserve">(première) et</w:t>
      </w:r>
      <w:r>
        <w:t xml:space="preserve"> </w:t>
      </w:r>
      <w:r>
        <w:rPr>
          <w:rStyle w:val="VerbatimChar"/>
        </w:rPr>
        <w:t xml:space="preserve">RBX_CSV_PAL_1858_08.jpg</w:t>
      </w:r>
      <w:r>
        <w:t xml:space="preserve"> </w:t>
      </w:r>
      <w:r>
        <w:t xml:space="preserve">(dernière)</w:t>
      </w:r>
      <w:r>
        <w:t xml:space="preserve"> </w:t>
      </w:r>
      <w:r>
        <w:t xml:space="preserve">encadrent en réalité huit fichiers,</w:t>
      </w:r>
      <w:r>
        <w:t xml:space="preserve"> </w:t>
      </w:r>
      <w:r>
        <w:rPr>
          <w:rStyle w:val="VerbatimChar"/>
        </w:rPr>
        <w:t xml:space="preserve">_01.jpg</w:t>
      </w:r>
      <w:r>
        <w:t xml:space="preserve"> </w:t>
      </w:r>
      <w:r>
        <w:t xml:space="preserve">à</w:t>
      </w:r>
      <w:r>
        <w:t xml:space="preserve"> </w:t>
      </w:r>
      <w:r>
        <w:rPr>
          <w:rStyle w:val="VerbatimChar"/>
        </w:rPr>
        <w:t xml:space="preserve">_08.jpg</w:t>
      </w:r>
      <w:r>
        <w:t xml:space="preserve">. Le nom de</w:t>
      </w:r>
      <w:r>
        <w:t xml:space="preserve"> </w:t>
      </w:r>
      <w:r>
        <w:t xml:space="preserve">fichier ne diffère entre les deux bornes que par un segment numérique (ici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08</w:t>
      </w:r>
      <w:r>
        <w:t xml:space="preserve">) ; c'est sur ce segment qu'il faut énumérer, en conservant à</w:t>
      </w:r>
      <w:r>
        <w:t xml:space="preserve"> </w:t>
      </w:r>
      <w:r>
        <w:t xml:space="preserve">l'identique le préfixe, l'extension et le nombre de chiffres (zéros initiaux</w:t>
      </w:r>
      <w:r>
        <w:t xml:space="preserve"> </w:t>
      </w:r>
      <w:r>
        <w:t xml:space="preserve">compris). Une plage</w:t>
      </w:r>
      <w:r>
        <w:t xml:space="preserve"> </w:t>
      </w:r>
      <w:r>
        <w:rPr>
          <w:rStyle w:val="VerbatimChar"/>
        </w:rPr>
        <w:t xml:space="preserve">preservation:</w:t>
      </w:r>
      <w:r>
        <w:t xml:space="preserve"> </w:t>
      </w:r>
      <w:r>
        <w:t xml:space="preserve">et la plage</w:t>
      </w:r>
      <w:r>
        <w:t xml:space="preserve"> </w:t>
      </w:r>
      <w:r>
        <w:rPr>
          <w:rStyle w:val="VerbatimChar"/>
        </w:rPr>
        <w:t xml:space="preserve">access:</w:t>
      </w:r>
      <w:r>
        <w:t xml:space="preserve"> </w:t>
      </w:r>
      <w:r>
        <w:t xml:space="preserve">correspondante,</w:t>
      </w:r>
      <w:r>
        <w:t xml:space="preserve"> </w:t>
      </w:r>
      <w:r>
        <w:t xml:space="preserve">dans le même groupe, décrivent toujours les mêmes fichiers.</w:t>
      </w:r>
    </w:p>
    <w:p>
      <w:r>
        <w:pict>
          <v:rect style="width:0;height:1.5pt" o:hralign="center" o:hrstd="t" o:hr="t"/>
        </w:pict>
      </w:r>
    </w:p>
    <w:bookmarkEnd w:id="22"/>
    <w:bookmarkStart w:id="23" w:name="X0d55d54ea3ab00476d5f157d5a1433df9c2102f"/>
    <w:p>
      <w:pPr>
        <w:pStyle w:val="Heading2"/>
      </w:pPr>
      <w:r>
        <w:t xml:space="preserve">4. Restriction d'accès :</w:t>
      </w:r>
      <w:r>
        <w:t xml:space="preserve"> </w:t>
      </w:r>
      <w:r>
        <w:rPr>
          <w:rStyle w:val="VerbatimChar"/>
        </w:rPr>
        <w:t xml:space="preserve">audience="internal"</w:t>
      </w:r>
    </w:p>
    <w:p>
      <w:pPr>
        <w:pStyle w:val="FirstParagraph"/>
      </w:pPr>
      <w:r>
        <w:t xml:space="preserve">Un lien</w:t>
      </w:r>
      <w:r>
        <w:t xml:space="preserve"> </w:t>
      </w:r>
      <w:r>
        <w:rPr>
          <w:rStyle w:val="VerbatimChar"/>
        </w:rPr>
        <w:t xml:space="preserve">access:*</w:t>
      </w:r>
      <w:r>
        <w:t xml:space="preserve"> </w:t>
      </w:r>
      <w:r>
        <w:t xml:space="preserve">peut porter</w:t>
      </w:r>
      <w:r>
        <w:t xml:space="preserve"> </w:t>
      </w:r>
      <w:r>
        <w:rPr>
          <w:rStyle w:val="VerbatimChar"/>
        </w:rPr>
        <w:t xml:space="preserve">audience="internal"</w:t>
      </w:r>
      <w:r>
        <w:t xml:space="preserve"> </w:t>
      </w:r>
      <w:r>
        <w:t xml:space="preserve">: le fichier existe,</w:t>
      </w:r>
      <w:r>
        <w:t xml:space="preserve"> </w:t>
      </w:r>
      <w:r>
        <w:t xml:space="preserve">mais n'est pas destiné à la diffusion publique (droits non réglés,</w:t>
      </w:r>
      <w:r>
        <w:t xml:space="preserve"> </w:t>
      </w:r>
      <w:r>
        <w:t xml:space="preserve">personnes identifiables...). Les modalités de diffusion seront définies ensemble en cours de projet.</w:t>
      </w:r>
    </w:p>
    <w:p>
      <w:pPr>
        <w:pStyle w:val="SourceCode"/>
      </w:pPr>
      <w:r>
        <w:rPr>
          <w:rStyle w:val="NormalTok"/>
        </w:rPr>
        <w:t xml:space="preserve">    &lt;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daodesc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&gt;Lecture en section jeunesse&lt;/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daodesc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"MED/MED_PHD/RBX_MED_PHD_ETA03_S01_A_D02_001.tif"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"preservation:image:first"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"MED/MED_PHD/RBX_MED_PHD_ETA03_S01_A_D02_002.tif"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"preservation:image:last"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"MED/MED_PHD/RBX_MED_PHD_ETA03_S01_A_D02_001.jpg"</w:t>
      </w:r>
      <w:r>
        <w:rPr>
          <w:rStyle w:val="OtherTok"/>
        </w:rPr>
        <w:t xml:space="preserve"> audience=</w:t>
      </w:r>
      <w:r>
        <w:rPr>
          <w:rStyle w:val="StringTok"/>
        </w:rPr>
        <w:t xml:space="preserve">"internal"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"access:image:first"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"MED/MED_PHD/RBX_MED_PHD_ETA03_S01_A_D02_002.jpg"</w:t>
      </w:r>
      <w:r>
        <w:rPr>
          <w:rStyle w:val="OtherTok"/>
        </w:rPr>
        <w:t xml:space="preserve"> audience=</w:t>
      </w:r>
      <w:r>
        <w:rPr>
          <w:rStyle w:val="StringTok"/>
        </w:rPr>
        <w:t xml:space="preserve">"internal"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"access:image:last"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"https://www.bn-r.fr/ark:/20179/BNRm01781244639E22yyw"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"publication:current"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Quand il est présent,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 </w:t>
      </w:r>
      <w:r>
        <w:t xml:space="preserve">ne prend dans ce corpus que la valeur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 </w:t>
      </w:r>
      <w:r>
        <w:t xml:space="preserve">; son absence signifie un accès public normal.</w:t>
      </w:r>
    </w:p>
    <w:p>
      <w:r>
        <w:pict>
          <v:rect style="width:0;height:1.5pt" o:hralign="center" o:hrstd="t" o:hr="t"/>
        </w:pict>
      </w:r>
    </w:p>
    <w:bookmarkEnd w:id="23"/>
    <w:bookmarkStart w:id="25" w:name="X8b6aed184f3f1185f82f9b14ba3c19e2aff1f5b"/>
    <w:p>
      <w:pPr>
        <w:pStyle w:val="Heading2"/>
      </w:pPr>
      <w:r>
        <w:t xml:space="preserve">5. Focus sur les liens pérennes ark</w:t>
      </w:r>
    </w:p>
    <w:p>
      <w:pPr>
        <w:pStyle w:val="FirstParagraph"/>
      </w:pPr>
      <w:r>
        <w:t xml:space="preserve">Comme mentionné plus haut, on indique dans les éléments</w:t>
      </w:r>
      <w:r>
        <w:t xml:space="preserve"> </w:t>
      </w:r>
      <w:r>
        <w:rPr>
          <w:rStyle w:val="VerbatimChar"/>
        </w:rPr>
        <w:t xml:space="preserve">&lt;dao&gt;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&lt;daogrp&gt;</w:t>
      </w:r>
      <w:r>
        <w:t xml:space="preserve"> </w:t>
      </w:r>
      <w:r>
        <w:t xml:space="preserve">les liens pérennes ark.</w:t>
      </w:r>
    </w:p>
    <w:p>
      <w:pPr>
        <w:pStyle w:val="BodyText"/>
      </w:pPr>
      <w:r>
        <w:t xml:space="preserve">On distingue :</w:t>
      </w:r>
    </w:p>
    <w:p>
      <w:pPr>
        <w:pStyle w:val="Compact"/>
        <w:numPr>
          <w:ilvl w:val="0"/>
          <w:numId w:val="1003"/>
        </w:numPr>
      </w:pPr>
      <w:r>
        <w:t xml:space="preserve">les "anciens" liens : anciens entre guillemets car, de fait, ce sont les liens actuellement générés et par l'outil bn-r Decalog. Ces liens ont été reportés dans les instruments de recherche et devront permettre une redirection vers les nouveaux liens, générés par Mnesys. Ils ont pour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la valeur</w:t>
      </w:r>
      <w:r>
        <w:t xml:space="preserve"> </w:t>
      </w:r>
      <w:r>
        <w:rPr>
          <w:rStyle w:val="VerbatimChar"/>
        </w:rPr>
        <w:t xml:space="preserve">publication:previous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les "nouveaux" liens, générés par Mnesys. Les liens reportés en</w:t>
      </w:r>
      <w:r>
        <w:t xml:space="preserve"> </w:t>
      </w:r>
      <w:r>
        <w:rPr>
          <w:rStyle w:val="VerbatimChar"/>
        </w:rPr>
        <w:t xml:space="preserve">&lt;dao&gt;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&lt;daoloc&gt;</w:t>
      </w:r>
      <w:r>
        <w:t xml:space="preserve"> </w:t>
      </w:r>
      <w:r>
        <w:t xml:space="preserve">sont construits de la manière suivante : "</w:t>
      </w:r>
      <w:hyperlink r:id="rId24">
        <w:r>
          <w:rPr>
            <w:rStyle w:val="Hyperlink"/>
          </w:rPr>
          <w:t xml:space="preserve">https://www.bn-r.fr/ark:/20179/BNR</w:t>
        </w:r>
      </w:hyperlink>
      <w:r>
        <w:t xml:space="preserve">" + valeur de l'attribut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de l'élément</w:t>
      </w:r>
      <w:r>
        <w:t xml:space="preserve"> </w:t>
      </w:r>
      <w:r>
        <w:rPr>
          <w:rStyle w:val="VerbatimChar"/>
        </w:rPr>
        <w:t xml:space="preserve">&lt;c&gt;</w:t>
      </w:r>
      <w:r>
        <w:t xml:space="preserve">, pour lequel on est certain que Mnesys génère une valeur unique. Ils ont pour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la valeur</w:t>
      </w:r>
      <w:r>
        <w:t xml:space="preserve"> </w:t>
      </w:r>
      <w:r>
        <w:rPr>
          <w:rStyle w:val="VerbatimChar"/>
        </w:rPr>
        <w:t xml:space="preserve">publication:current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32" w:name="X9202a02c2e25e8adaac52348e4460234539daf7"/>
    <w:p>
      <w:pPr>
        <w:pStyle w:val="Heading2"/>
      </w:pPr>
      <w:r>
        <w:t xml:space="preserve">6. Les cas courants, en un coup d'œil</w:t>
      </w:r>
    </w:p>
    <w:bookmarkStart w:id="26" w:name="Xa2717693b75c8e807ed0c0121e845673b09feb3"/>
    <w:p>
      <w:pPr>
        <w:pStyle w:val="Heading3"/>
      </w:pPr>
      <w:r>
        <w:t xml:space="preserve">Pas de fichier à afficher, juste une notice en ligne</w:t>
      </w:r>
    </w:p>
    <w:p>
      <w:pPr>
        <w:pStyle w:val="FirstParagraph"/>
      </w:pPr>
      <w:r>
        <w:t xml:space="preserve">Un élément</w:t>
      </w:r>
      <w:r>
        <w:t xml:space="preserve"> </w:t>
      </w:r>
      <w:r>
        <w:rPr>
          <w:rStyle w:val="VerbatimChar"/>
        </w:rPr>
        <w:t xml:space="preserve">&lt;dao&gt;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&lt;daogrp&gt;</w:t>
      </w:r>
      <w:r>
        <w:t xml:space="preserve"> </w:t>
      </w:r>
      <w:r>
        <w:t xml:space="preserve">ne comprend parfois que des liens de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'publication'. Dans la plupart des cas, il s'agit de composants de niveaux supérieurs (série, sous-série, dossier, ...).</w:t>
      </w:r>
    </w:p>
    <w:p>
      <w:pPr>
        <w:pStyle w:val="BodyText"/>
      </w:pPr>
      <w:r>
        <w:t xml:space="preserve">Par exemple :</w:t>
      </w:r>
    </w:p>
    <w:p>
      <w:pPr>
        <w:pStyle w:val="SourceCode"/>
      </w:pPr>
      <w:r>
        <w:rPr>
          <w:rStyle w:val="NormalTok"/>
        </w:rPr>
        <w:t xml:space="preserve">    &lt;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"https://www.bn-r.fr/ark:/20179/BNRm01781244634ZB0IOD"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"publication:current"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"https://www.bn-r.fr/ark:/20179/BNR59358"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"publication:previous"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</w:p>
    <w:bookmarkEnd w:id="26"/>
    <w:bookmarkStart w:id="27" w:name="une-image-une-plage-dimages"/>
    <w:p>
      <w:pPr>
        <w:pStyle w:val="Heading3"/>
      </w:pPr>
      <w:r>
        <w:t xml:space="preserve">Une image, une plage d'images</w:t>
      </w:r>
    </w:p>
    <w:p>
      <w:pPr>
        <w:pStyle w:val="FirstParagraph"/>
      </w:pPr>
      <w:r>
        <w:t xml:space="preserve">Voir §2 et §3 ci-dessus (avec ou sans</w:t>
      </w:r>
      <w:r>
        <w:t xml:space="preserve"> </w:t>
      </w:r>
      <w:r>
        <w:rPr>
          <w:rStyle w:val="VerbatimChar"/>
        </w:rPr>
        <w:t xml:space="preserve">preservation:image</w:t>
      </w:r>
      <w:r>
        <w:t xml:space="preserve">).</w:t>
      </w:r>
    </w:p>
    <w:bookmarkEnd w:id="27"/>
    <w:bookmarkStart w:id="28" w:name="un-journal-océrisé-fichiers-alto"/>
    <w:p>
      <w:pPr>
        <w:pStyle w:val="Heading3"/>
      </w:pPr>
      <w:r>
        <w:t xml:space="preserve">Un journal océrisé (fichiers ALTO)</w:t>
      </w:r>
    </w:p>
    <w:p>
      <w:pPr>
        <w:pStyle w:val="FirstParagraph"/>
      </w:pPr>
      <w:r>
        <w:t xml:space="preserve">Un numéro de journal océrisé (</w:t>
      </w:r>
      <w:r>
        <w:rPr>
          <w:rStyle w:val="VerbatimChar"/>
        </w:rPr>
        <w:t xml:space="preserve">results/ead/corpus_ocr/RBX_PRA_*.xml</w:t>
      </w:r>
      <w:r>
        <w:t xml:space="preserve">) porte, en</w:t>
      </w:r>
      <w:r>
        <w:t xml:space="preserve"> </w:t>
      </w:r>
      <w:r>
        <w:t xml:space="preserve">plus de l'image et de sa conservation, un fichier ALTO d'OCR par page, sous le</w:t>
      </w:r>
      <w:r>
        <w:t xml:space="preserve"> </w:t>
      </w:r>
      <w:r>
        <w:t xml:space="preserve">rôle</w:t>
      </w:r>
      <w:r>
        <w:t xml:space="preserve"> </w:t>
      </w:r>
      <w:r>
        <w:rPr>
          <w:rStyle w:val="VerbatimChar"/>
        </w:rPr>
        <w:t xml:space="preserve">ocr_alto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access:ocr_alto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preservation:ocr_alto</w:t>
      </w:r>
      <w:r>
        <w:t xml:space="preserve">). Numéro de plusieurs pages : la plage OCR suit la même logique que la plage d'images (§3), avec un fichier</w:t>
      </w:r>
      <w:r>
        <w:t xml:space="preserve"> </w:t>
      </w:r>
      <w:r>
        <w:rPr>
          <w:rStyle w:val="VerbatimChar"/>
        </w:rPr>
        <w:t xml:space="preserve">.xml</w:t>
      </w:r>
      <w:r>
        <w:t xml:space="preserve"> </w:t>
      </w:r>
      <w:r>
        <w:t xml:space="preserve">(ALTO) par page :</w:t>
      </w:r>
    </w:p>
    <w:p>
      <w:pPr>
        <w:pStyle w:val="SourceCode"/>
      </w:pPr>
      <w:r>
        <w:rPr>
          <w:rStyle w:val="NormalTok"/>
        </w:rPr>
        <w:t xml:space="preserve">    &lt;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"MED/MED_PRA/PRA_AVE/1888/PRA_AVE_18881202_001.tif"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"preservation:image:first"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"MED/MED_PRA/PRA_AVE/1888/PRA_AVE_18881202_004.tif"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"preservation:image:last"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"MED/MED_PRA/PRA_AVE/1888/PRA_AVE_18881202_001.jpg"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"access:image:first"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"MED/MED_PRA/PRA_AVE/1888/PRA_AVE_18881202_004.jpg"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"access:image:last"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"MED/MED_PRA/PRA_AVE/1888/PRA_AVE_18881202_001.xml"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"preservation:ocr_alto:first"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"MED/MED_PRA/PRA_AVE/1888/PRA_AVE_18881202_004.xml"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"preservation:ocr_alto:last"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"MED/MED_PRA/PRA_AVE/1888/PRA_AVE_18881202_001.xml"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"access:ocr_alto:first"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"MED/MED_PRA/PRA_AVE/1888/PRA_AVE_18881202_004.xml"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"access:ocr_alto:last"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"https://www.bn-r.fr/ark:/20179/BNRm01786604597vmXjzx"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"publication:current"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"https://www.bn-r.fr/ark:/20179/BNR74857"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"publication:previous"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Ici</w:t>
      </w:r>
      <w:r>
        <w:t xml:space="preserve"> </w:t>
      </w:r>
      <w:r>
        <w:rPr>
          <w:rStyle w:val="VerbatimChar"/>
        </w:rPr>
        <w:t xml:space="preserve">access:ocr_alto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preservation:ocr_alto</w:t>
      </w:r>
      <w:r>
        <w:t xml:space="preserve"> </w:t>
      </w:r>
      <w:r>
        <w:t xml:space="preserve">pointent vers le même fichier</w:t>
      </w:r>
      <w:r>
        <w:t xml:space="preserve"> </w:t>
      </w:r>
      <w:r>
        <w:rPr>
          <w:rStyle w:val="VerbatimChar"/>
        </w:rPr>
        <w:t xml:space="preserve">.xml</w:t>
      </w:r>
      <w:r>
        <w:t xml:space="preserve"> </w:t>
      </w:r>
      <w:r>
        <w:t xml:space="preserve">: contrairement à l'image, il n'y a qu'une seule version du fichier ALTO (pas de distinction diffusion/master).</w:t>
      </w:r>
    </w:p>
    <w:p>
      <w:pPr>
        <w:pStyle w:val="BodyText"/>
      </w:pPr>
      <w:r>
        <w:t xml:space="preserve">Numéro de journal d'une seule page, sans plage :</w:t>
      </w:r>
    </w:p>
    <w:p>
      <w:pPr>
        <w:pStyle w:val="SourceCode"/>
      </w:pPr>
      <w:r>
        <w:rPr>
          <w:rStyle w:val="NormalTok"/>
        </w:rPr>
        <w:t xml:space="preserve">    &lt;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"MED/MED_PRA/PRA_ERT/1901/PRA_ERT_19010614_001.tif"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"preservation:image"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"MED/MED_PRA/PRA_ERT/1901/PRA_ERT_19010614_001.jpg"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"access:image"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"MED/MED_PRA/PRA_ERT/1901/PRA_ERT_19010614_001.xml"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"preservation:ocr_alto"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"MED/MED_PRA/PRA_ERT/1901/PRA_ERT_19010614_001.xml"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"access:ocr_alto"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</w:p>
    <w:bookmarkEnd w:id="28"/>
    <w:bookmarkStart w:id="29" w:name="un-enregistrement-sonore"/>
    <w:p>
      <w:pPr>
        <w:pStyle w:val="Heading3"/>
      </w:pPr>
      <w:r>
        <w:t xml:space="preserve">Un enregistrement sonore</w:t>
      </w:r>
    </w:p>
    <w:p>
      <w:pPr>
        <w:pStyle w:val="FirstParagraph"/>
      </w:pPr>
      <w:r>
        <w:t xml:space="preserve">Un document sonore associe souvent plusieurs fichiers audio et une plage d'images (pochette, livret) :</w:t>
      </w:r>
    </w:p>
    <w:p>
      <w:pPr>
        <w:pStyle w:val="SourceCode"/>
      </w:pPr>
      <w:r>
        <w:rPr>
          <w:rStyle w:val="NormalTok"/>
        </w:rPr>
        <w:t xml:space="preserve">    &lt;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daodesc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&gt;Valse favorite/Caprice d'oiseau&lt;/</w:t>
      </w:r>
      <w:r>
        <w:rPr>
          <w:rStyle w:val="KeywordTok"/>
        </w:rPr>
        <w:t xml:space="preserve">p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daodesc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"MED/MED_FLRS/FLR_78_0101/RBX_MED_FLR_78_0101_A_01_96kHz24B.wav"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"preservation:audio"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"MED/MED_FLRS/FLR_78_0101/RBX_MED_FLR_78_0101_A_01_44kHz24B.wav"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"preservation:audio"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"MED/MED_FLRS/FLR_78_0101/RBX_MED_FLR_78_0101_B_02_96kHz24B.wav"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"preservation:audio"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"MED/MED_FLRS/FLR_78_0101/RBX_MED_FLR_78_0101_B_02_44kHz24B.wav"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"preservation:audio"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"MED/MED_FLRS/FLR_78_0101/RBX_MED_FLRS_FLR_78_0101_3.tif"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"preservation:image:first"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"MED/MED_FLRS/FLR_78_0101/RBX_MED_FLRS_FLR_78_0101_4.tif"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"preservation:image:last"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"MED/MED_FLRS/FLR_78_0101/RBX_MED_FLRS_FLR_78_0101_A_01.mp3"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"access:audio"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"MED/MED_FLRS/FLR_78_0101/RBX_MED_FLRS_FLR_78_0101_B_02.mp3"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"access:audio"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"MED/MED_FLRS/FLR_78_0101/RBX_MED_FLRS_FLR_78_0101_3.jpg"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"access:image:first"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"MED/MED_FLRS/FLR_78_0101/RBX_MED_FLRS_FLR_78_0101_4.jpg"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"access:image:last"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"https://www.bn-r.fr/ark:/20179/BNRm017812446381dZtjQ"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"publication:current"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"https://www.bn-r.fr/ark:/20179/BNR23141"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"publication:previous"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</w:p>
    <w:bookmarkEnd w:id="29"/>
    <w:bookmarkStart w:id="30" w:name="un-pdf"/>
    <w:p>
      <w:pPr>
        <w:pStyle w:val="Heading3"/>
      </w:pPr>
      <w:r>
        <w:t xml:space="preserve">Un PDF</w:t>
      </w:r>
    </w:p>
    <w:p>
      <w:pPr>
        <w:pStyle w:val="FirstParagraph"/>
      </w:pPr>
      <w:r>
        <w:t xml:space="preserve">Le même fichier PDF peut servir à la fois de master de conservation et de fichier</w:t>
      </w:r>
      <w:r>
        <w:t xml:space="preserve"> </w:t>
      </w:r>
      <w:r>
        <w:t xml:space="preserve">de diffusion :</w:t>
      </w:r>
    </w:p>
    <w:p>
      <w:pPr>
        <w:pStyle w:val="SourceCode"/>
      </w:pPr>
      <w:r>
        <w:rPr>
          <w:rStyle w:val="NormalTok"/>
        </w:rPr>
        <w:t xml:space="preserve">    &lt;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"OBS/OBS_JOU/RBX_OBS_JOU_QLI_001.pdf"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"preservation:pdf"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"OBS/OBS_JOU/RBX_OBS_JOU_QLI_001.pdf"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"access:pdf"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"https://www.bn-r.fr/ark:/20179/BNRm01781244641l7J5O7"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"publication:current"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"https://www.bn-r.fr/ark:/20179/BNR25856"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"publication:previous"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</w:p>
    <w:bookmarkEnd w:id="30"/>
    <w:bookmarkStart w:id="31" w:name="une-vidéo"/>
    <w:p>
      <w:pPr>
        <w:pStyle w:val="Heading3"/>
      </w:pPr>
      <w:r>
        <w:t xml:space="preserve">Une vidéo</w:t>
      </w:r>
    </w:p>
    <w:p>
      <w:pPr>
        <w:pStyle w:val="FirstParagraph"/>
      </w:pPr>
      <w:r>
        <w:t xml:space="preserve">Un document vidéo avec une image qui peut illustrer la vidéo sans faire partie d'une plage :</w:t>
      </w:r>
    </w:p>
    <w:p>
      <w:pPr>
        <w:pStyle w:val="SourceCode"/>
      </w:pPr>
      <w:r>
        <w:rPr>
          <w:rStyle w:val="NormalTok"/>
        </w:rPr>
        <w:t xml:space="preserve">    &lt;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"MDF/MDF_MTX/RBX_MDF_MTX_2014_D01.mov"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"preservation:video"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"MDF/MDF_MTX/RBX_MDF_MTX_2014_D01.mp4"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"access:video"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"RBX_MDF_MTX_1409_D01.jpg"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"access:image"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"https://www.bn-r.fr/ark:/20179/BNRm01781244634p2FaYj"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"publication:current"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daoloc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"https://www.bn-r.fr/ark:/20179/BNR3"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"publication:previous"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daogrp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keepLines/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www.bn-r.fr/ark:/20179/BN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www.bn-r.fr/ark:/20179/BN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2026-09-25T16:34:06Z</dcterms:created>
  <dcterms:modified xsi:type="dcterms:W3CDTF">2026-09-25T16:34:06Z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