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i w:val="0"/>
          <w:color w:val="1A2E12"/>
          <w:sz w:val="64"/>
        </w:rPr>
        <w:t>Mentallico</w:t>
      </w:r>
    </w:p>
    <w:p>
      <w:pPr>
        <w:jc w:val="center"/>
      </w:pPr>
      <w:r>
        <w:rPr>
          <w:b/>
          <w:i w:val="0"/>
          <w:color w:val="1A7A6E"/>
          <w:sz w:val="36"/>
        </w:rPr>
        <w:t>Backend System Documentation</w:t>
      </w:r>
    </w:p>
    <w:p>
      <w:pPr>
        <w:spacing w:before="600"/>
        <w:jc w:val="center"/>
      </w:pPr>
      <w:r>
        <w:rPr>
          <w:b w:val="0"/>
          <w:i/>
          <w:color w:val="2C2C2C"/>
          <w:sz w:val="22"/>
        </w:rPr>
        <w:t>Subsystem: Server-Side Architecture (Django REST Framework)</w:t>
        <w:br/>
        <w:t>Prepared as: Companion chapter set to the Front-End and UI/UX Technical Reports</w:t>
      </w:r>
    </w:p>
    <w:p>
      <w:pPr>
        <w:spacing w:before="120" w:after="200"/>
        <w:ind w:left="504"/>
        <w:shd w:val="clear" w:color="auto" w:fill="F7F7F7"/>
      </w:pPr>
      <w:r>
        <w:rPr>
          <w:b/>
          <w:i/>
          <w:color w:val="1A7A6E"/>
          <w:sz w:val="21"/>
        </w:rPr>
        <w:t xml:space="preserve">Grounding statement. </w:t>
      </w:r>
      <w:r>
        <w:rPr>
          <w:b w:val="0"/>
          <w:i/>
          <w:color w:val="2C2C2C"/>
          <w:sz w:val="21"/>
        </w:rPr>
        <w:t>Every technical claim in the five chapters below was verified directly against the live source tree (apps/*, config/settings/*), the pinned dependency manifest (requirements.txt), and the running development environment. No detail is inferred from design intent or external convention; where a subsystem is a documented placeholder rather than a production-complete implementation, this is stated explicitly as such.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A2E12"/>
          <w:sz w:val="40"/>
        </w:rPr>
        <w:t>Chapter 1 — Introduction &amp; System Architecture Scope</w:t>
      </w:r>
    </w:p>
    <w:p>
      <w:pPr>
        <w:pStyle w:val="Heading2"/>
      </w:pPr>
      <w:r>
        <w:rPr>
          <w:b/>
          <w:i w:val="0"/>
          <w:color w:val="1A2E12"/>
          <w:sz w:val="30"/>
        </w:rPr>
        <w:t>1.1 Django as the Core Orchestration Layer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The Mentallico backend is implemented as a </w:t>
      </w:r>
      <w:r>
        <w:rPr>
          <w:b/>
          <w:i w:val="0"/>
          <w:color w:val="2C2C2C"/>
          <w:sz w:val="22"/>
        </w:rPr>
        <w:t>Django 5.0.6</w:t>
      </w:r>
      <w:r>
        <w:rPr>
          <w:b w:val="0"/>
          <w:i w:val="0"/>
          <w:color w:val="2C2C2C"/>
          <w:sz w:val="22"/>
        </w:rPr>
        <w:t xml:space="preserve"> project, running under Python 3.13 within an isolated virtual environment (</w:t>
      </w:r>
      <w:r>
        <w:rPr>
          <w:rFonts w:ascii="Consolas" w:hAnsi="Consolas"/>
          <w:b w:val="0"/>
          <w:i w:val="0"/>
          <w:color w:val="B3003A"/>
          <w:sz w:val="21"/>
        </w:rPr>
        <w:t>venv</w:t>
      </w:r>
      <w:r>
        <w:rPr>
          <w:b w:val="0"/>
          <w:i w:val="0"/>
          <w:color w:val="2C2C2C"/>
          <w:sz w:val="22"/>
        </w:rPr>
        <w:t xml:space="preserve">), and exposing its entire public contract through </w:t>
      </w:r>
      <w:r>
        <w:rPr>
          <w:b/>
          <w:i w:val="0"/>
          <w:color w:val="2C2C2C"/>
          <w:sz w:val="22"/>
        </w:rPr>
        <w:t>Django REST Framework 3.15.2</w:t>
      </w:r>
      <w:r>
        <w:rPr>
          <w:b w:val="0"/>
          <w:i w:val="0"/>
          <w:color w:val="2C2C2C"/>
          <w:sz w:val="22"/>
        </w:rPr>
        <w:t xml:space="preserve"> as a versioned JSON API mounted at </w:t>
      </w:r>
      <w:r>
        <w:rPr>
          <w:rFonts w:ascii="Consolas" w:hAnsi="Consolas"/>
          <w:b w:val="0"/>
          <w:i w:val="0"/>
          <w:color w:val="B3003A"/>
          <w:sz w:val="21"/>
        </w:rPr>
        <w:t>/api/v1/</w:t>
      </w:r>
      <w:r>
        <w:rPr>
          <w:b w:val="0"/>
          <w:i w:val="0"/>
          <w:color w:val="2C2C2C"/>
          <w:sz w:val="22"/>
        </w:rPr>
        <w:t>. This backend constitutes the single, authoritative persistence and orchestration layer for the platform: every unit of durable application state — user identity, chat transcripts, mood and habit logs, community content, curated resources, and therapist directory records — is created, validated, and served exclusively through this Django project. No secondary datastore, and no client-side-authoritative data model, exists anywhere in the architecture.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The backend's only outbound dependencies on third-party infrastructure are two narrowly-scoped HTTP integrations, both implemented as synchronous </w:t>
      </w:r>
      <w:r>
        <w:rPr>
          <w:rFonts w:ascii="Consolas" w:hAnsi="Consolas"/>
          <w:b w:val="0"/>
          <w:i w:val="0"/>
          <w:color w:val="B3003A"/>
          <w:sz w:val="21"/>
        </w:rPr>
        <w:t>requests</w:t>
      </w:r>
      <w:r>
        <w:rPr>
          <w:b w:val="0"/>
          <w:i w:val="0"/>
          <w:color w:val="2C2C2C"/>
          <w:sz w:val="22"/>
        </w:rPr>
        <w:t xml:space="preserve"> calls rather than SDK-mediated trust relationships: a dedicated </w:t>
      </w:r>
      <w:r>
        <w:rPr>
          <w:b/>
          <w:i w:val="0"/>
          <w:color w:val="2C2C2C"/>
          <w:sz w:val="22"/>
        </w:rPr>
        <w:t>Hugging Face Space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Ziad9022/Mentallico-API-v2</w:t>
      </w:r>
      <w:r>
        <w:rPr>
          <w:b w:val="0"/>
          <w:i w:val="0"/>
          <w:color w:val="2C2C2C"/>
          <w:sz w:val="22"/>
        </w:rPr>
        <w:t xml:space="preserve">), which generates the AI assistant's conversational replies, and the </w:t>
      </w:r>
      <w:r>
        <w:rPr>
          <w:b/>
          <w:i w:val="0"/>
          <w:color w:val="2C2C2C"/>
          <w:sz w:val="22"/>
        </w:rPr>
        <w:t>official Google and Facebook Graph API verification endpoints</w:t>
      </w:r>
      <w:r>
        <w:rPr>
          <w:b w:val="0"/>
          <w:i w:val="0"/>
          <w:color w:val="2C2C2C"/>
          <w:sz w:val="22"/>
        </w:rPr>
        <w:t>, used to independently re-validate social sign-in tokens presented by the client before any identity claim is trusted (Chapter 3).</w:t>
      </w:r>
    </w:p>
    <w:p>
      <w:pPr>
        <w:spacing w:before="120" w:after="200"/>
        <w:ind w:left="504"/>
        <w:shd w:val="clear" w:color="auto" w:fill="F7F7F7"/>
      </w:pPr>
      <w:r>
        <w:rPr>
          <w:b/>
          <w:i/>
          <w:color w:val="1A7A6E"/>
          <w:sz w:val="21"/>
        </w:rPr>
        <w:t xml:space="preserve">Verified scope. </w:t>
      </w:r>
      <w:r>
        <w:rPr>
          <w:b w:val="0"/>
          <w:i/>
          <w:color w:val="2C2C2C"/>
          <w:sz w:val="21"/>
        </w:rPr>
        <w:t>No Firebase SDK, no Firestore client, and no generative-AI vendor other than the Hugging Face Space above appears anywhere in INSTALLED_APPS, requirements.txt, or settings/base.py. This is a deliberate architectural posture: the Django layer owns 100% of its schema, migrations, and business logic, trading the convenience of a real-time listener layer for full control over data modeling and the ability to run identically against SQLite in development and PostgreSQL in production without any code branching.</w:t>
      </w:r>
    </w:p>
    <w:p>
      <w:pPr>
        <w:pStyle w:val="Heading2"/>
      </w:pPr>
      <w:r>
        <w:rPr>
          <w:b/>
          <w:i w:val="0"/>
          <w:color w:val="1A2E12"/>
          <w:sz w:val="30"/>
        </w:rPr>
        <w:t>1.2 Separation of Concerns: Bounded-Context Application Design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The backend's </w:t>
      </w:r>
      <w:r>
        <w:rPr>
          <w:rFonts w:ascii="Consolas" w:hAnsi="Consolas"/>
          <w:b w:val="0"/>
          <w:i w:val="0"/>
          <w:color w:val="B3003A"/>
          <w:sz w:val="21"/>
        </w:rPr>
        <w:t>apps/</w:t>
      </w:r>
      <w:r>
        <w:rPr>
          <w:b w:val="0"/>
          <w:i w:val="0"/>
          <w:color w:val="2C2C2C"/>
          <w:sz w:val="22"/>
        </w:rPr>
        <w:t xml:space="preserve"> package is partitioned along strict bounded-context lines. Each Django app is a self-contained vertical slice of the domain, owning its own models, serializers, views, and URL routes, and communicating with sibling apps only through explicit foreign-key relationships or shared service functions — never through implicit shared state: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App</w:t>
            </w:r>
          </w:p>
        </w:tc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Bounded Context</w:t>
            </w:r>
          </w:p>
        </w:tc>
        <w:tc>
          <w:tcPr>
            <w:tcW w:type="dxa" w:w="4752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Primary Responsibility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apps.users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Identity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Custom User model, registration, JWT/social login, emergency contacts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apps.chat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Conversation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Chat sessions/messages, Hugging Face Space integration, inline mock analysis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apps.diagnostics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Clinical Analysis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Schema-complete NLP report model, asynchronous analysis trigger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apps.wellness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Self-Tracking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Mood calendar, journal entries, habit completion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apps.community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Social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Posts, likes, saves, comments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apps.resources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Content Library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Curated articles/media, categorization, user bookmarks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apps.therapists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Directory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Licensed therapist listings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This decomposition yields three properties of direct architectural significance: </w:t>
      </w:r>
      <w:r>
        <w:rPr>
          <w:b/>
          <w:i w:val="0"/>
          <w:color w:val="2C2C2C"/>
          <w:sz w:val="22"/>
        </w:rPr>
        <w:t>independent evolvability</w:t>
      </w:r>
      <w:r>
        <w:rPr>
          <w:b w:val="0"/>
          <w:i w:val="0"/>
          <w:color w:val="2C2C2C"/>
          <w:sz w:val="22"/>
        </w:rPr>
        <w:t xml:space="preserve"> — the mock analysis engine inside </w:t>
      </w:r>
      <w:r>
        <w:rPr>
          <w:rFonts w:ascii="Consolas" w:hAnsi="Consolas"/>
          <w:b w:val="0"/>
          <w:i w:val="0"/>
          <w:color w:val="B3003A"/>
          <w:sz w:val="21"/>
        </w:rPr>
        <w:t>apps.chat</w:t>
      </w:r>
      <w:r>
        <w:rPr>
          <w:b w:val="0"/>
          <w:i w:val="0"/>
          <w:color w:val="2C2C2C"/>
          <w:sz w:val="22"/>
        </w:rPr>
        <w:t xml:space="preserve"> (Chapter 4) can be superseded by the schema-complete pipeline in </w:t>
      </w:r>
      <w:r>
        <w:rPr>
          <w:rFonts w:ascii="Consolas" w:hAnsi="Consolas"/>
          <w:b w:val="0"/>
          <w:i w:val="0"/>
          <w:color w:val="B3003A"/>
          <w:sz w:val="21"/>
        </w:rPr>
        <w:t>apps.diagnostics</w:t>
      </w:r>
      <w:r>
        <w:rPr>
          <w:b w:val="0"/>
          <w:i w:val="0"/>
          <w:color w:val="2C2C2C"/>
          <w:sz w:val="22"/>
        </w:rPr>
        <w:t xml:space="preserve"> without any change to </w:t>
      </w:r>
      <w:r>
        <w:rPr>
          <w:rFonts w:ascii="Consolas" w:hAnsi="Consolas"/>
          <w:b w:val="0"/>
          <w:i w:val="0"/>
          <w:color w:val="B3003A"/>
          <w:sz w:val="21"/>
        </w:rPr>
        <w:t>apps.community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apps.wellness</w:t>
      </w:r>
      <w:r>
        <w:rPr>
          <w:b w:val="0"/>
          <w:i w:val="0"/>
          <w:color w:val="2C2C2C"/>
          <w:sz w:val="22"/>
        </w:rPr>
        <w:t xml:space="preserve">, or any other bounded context; </w:t>
      </w:r>
      <w:r>
        <w:rPr>
          <w:b/>
          <w:i w:val="0"/>
          <w:color w:val="2C2C2C"/>
          <w:sz w:val="22"/>
        </w:rPr>
        <w:t>uniform security contract</w:t>
      </w:r>
      <w:r>
        <w:rPr>
          <w:b w:val="0"/>
          <w:i w:val="0"/>
          <w:color w:val="2C2C2C"/>
          <w:sz w:val="22"/>
        </w:rPr>
        <w:t xml:space="preserve"> — authentication and permission enforcement are configured exactly once, globally, in </w:t>
      </w:r>
      <w:r>
        <w:rPr>
          <w:rFonts w:ascii="Consolas" w:hAnsi="Consolas"/>
          <w:b w:val="0"/>
          <w:i w:val="0"/>
          <w:color w:val="B3003A"/>
          <w:sz w:val="21"/>
        </w:rPr>
        <w:t>REST_FRAMEWORK</w:t>
      </w:r>
      <w:r>
        <w:rPr>
          <w:b w:val="0"/>
          <w:i w:val="0"/>
          <w:color w:val="2C2C2C"/>
          <w:sz w:val="22"/>
        </w:rPr>
        <w:t xml:space="preserve"> (Chapter 3), so no individual app can silently diverge from the platform's security posture; and </w:t>
      </w:r>
      <w:r>
        <w:rPr>
          <w:b/>
          <w:i w:val="0"/>
          <w:color w:val="2C2C2C"/>
          <w:sz w:val="22"/>
        </w:rPr>
        <w:t>migration isolation</w:t>
      </w:r>
      <w:r>
        <w:rPr>
          <w:b w:val="0"/>
          <w:i w:val="0"/>
          <w:color w:val="2C2C2C"/>
          <w:sz w:val="22"/>
        </w:rPr>
        <w:t xml:space="preserve"> — each app maintains its own Django migration history, meaning schema evolution in one bounded context carries zero risk of an unrelated context's tables being implicitly altered.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>The client (a React 19 / Vite single-page application) consumes this API purely as a REST client: it performs optimistic local-state updates (for example, a "like" or "save" toggle updates the UI immediately, then reconciles against the server's authoritative response) rather than subscribing to server-pushed real-time deltas. This is a coherent and complete architectural choice for a request/response, CRUD-centric application of this shape, and is documented here as such rather than as an omission.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A2E12"/>
          <w:sz w:val="40"/>
        </w:rPr>
        <w:t>Chapter 2 — Database Design, Schema &amp; Context Topology</w:t>
      </w:r>
    </w:p>
    <w:p>
      <w:pPr>
        <w:pStyle w:val="Heading2"/>
      </w:pPr>
      <w:r>
        <w:rPr>
          <w:b/>
          <w:i w:val="0"/>
          <w:color w:val="1A2E12"/>
          <w:sz w:val="30"/>
        </w:rPr>
        <w:t>2.1 Environment-Driven Database Topology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Database connectivity is resolved through a single environment variable, </w:t>
      </w:r>
      <w:r>
        <w:rPr>
          <w:rFonts w:ascii="Consolas" w:hAnsi="Consolas"/>
          <w:b w:val="0"/>
          <w:i w:val="0"/>
          <w:color w:val="B3003A"/>
          <w:sz w:val="21"/>
        </w:rPr>
        <w:t>DATABASE_URL</w:t>
      </w:r>
      <w:r>
        <w:rPr>
          <w:b w:val="0"/>
          <w:i w:val="0"/>
          <w:color w:val="2C2C2C"/>
          <w:sz w:val="22"/>
        </w:rPr>
        <w:t xml:space="preserve">, parsed by </w:t>
      </w:r>
      <w:r>
        <w:rPr>
          <w:rFonts w:ascii="Consolas" w:hAnsi="Consolas"/>
          <w:b w:val="0"/>
          <w:i w:val="0"/>
          <w:color w:val="B3003A"/>
          <w:sz w:val="21"/>
        </w:rPr>
        <w:t>django-environ</w:t>
      </w:r>
      <w:r>
        <w:rPr>
          <w:b w:val="0"/>
          <w:i w:val="0"/>
          <w:color w:val="2C2C2C"/>
          <w:sz w:val="22"/>
        </w:rPr>
        <w:t xml:space="preserve">'s </w:t>
      </w:r>
      <w:r>
        <w:rPr>
          <w:rFonts w:ascii="Consolas" w:hAnsi="Consolas"/>
          <w:b w:val="0"/>
          <w:i w:val="0"/>
          <w:color w:val="B3003A"/>
          <w:sz w:val="21"/>
        </w:rPr>
        <w:t>env.db()</w:t>
      </w:r>
      <w:r>
        <w:rPr>
          <w:b w:val="0"/>
          <w:i w:val="0"/>
          <w:color w:val="2C2C2C"/>
          <w:sz w:val="22"/>
        </w:rPr>
        <w:t xml:space="preserve"> helper. This is the mechanism by which the </w:t>
      </w:r>
      <w:r>
        <w:rPr>
          <w:b/>
          <w:i w:val="0"/>
          <w:color w:val="2C2C2C"/>
          <w:sz w:val="22"/>
        </w:rPr>
        <w:t>identical</w:t>
      </w:r>
      <w:r>
        <w:rPr>
          <w:b w:val="0"/>
          <w:i w:val="0"/>
          <w:color w:val="2C2C2C"/>
          <w:sz w:val="22"/>
        </w:rPr>
        <w:t xml:space="preserve"> codebase and migration graph run against SQLite locally and PostgreSQL in staging/production, with no conditional logic in application code:</w:t>
      </w:r>
    </w:p>
    <w:p>
      <w:pPr>
        <w:spacing w:before="120" w:after="20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# config/settings/base.py</w:t>
        <w:br/>
        <w:t>DATABASES = {</w:t>
        <w:br/>
        <w:t xml:space="preserve">    "default": env.db("DATABASE_URL", default=f"sqlite:///{BASE_DIR / 'db.sqlite3'}"),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Environment</w:t>
            </w:r>
          </w:p>
        </w:tc>
        <w:tc>
          <w:tcPr>
            <w:tcW w:type="dxa" w:w="374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DATABASE_URL</w:t>
            </w:r>
          </w:p>
        </w:tc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Resolved Engine</w:t>
            </w:r>
          </w:p>
        </w:tc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Driver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Local dev (default, unset)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(falls back to default)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django.db.backends.sqlite3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Python standard library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Staging / Production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postgres://user:password@host:5432/mentallico_db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django.db.backends.postgresql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psycopg2-binary==2.9.10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>Every model field used throughout the schema is engine-agnostic (</w:t>
      </w:r>
      <w:r>
        <w:rPr>
          <w:rFonts w:ascii="Consolas" w:hAnsi="Consolas"/>
          <w:b w:val="0"/>
          <w:i w:val="0"/>
          <w:color w:val="B3003A"/>
          <w:sz w:val="21"/>
        </w:rPr>
        <w:t>UUIDField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JSONField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ImageField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DecimalField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TextChoices</w:t>
      </w:r>
      <w:r>
        <w:rPr>
          <w:b w:val="0"/>
          <w:i w:val="0"/>
          <w:color w:val="2C2C2C"/>
          <w:sz w:val="22"/>
        </w:rPr>
        <w:t xml:space="preserve">-backed </w:t>
      </w:r>
      <w:r>
        <w:rPr>
          <w:rFonts w:ascii="Consolas" w:hAnsi="Consolas"/>
          <w:b w:val="0"/>
          <w:i w:val="0"/>
          <w:color w:val="B3003A"/>
          <w:sz w:val="21"/>
        </w:rPr>
        <w:t>CharField</w:t>
      </w:r>
      <w:r>
        <w:rPr>
          <w:b w:val="0"/>
          <w:i w:val="0"/>
          <w:color w:val="2C2C2C"/>
          <w:sz w:val="22"/>
        </w:rPr>
        <w:t>) — no PostgreSQL-exclusive column type is used, which guarantees the migration graph applies identically regardless of the resolved backend.</w:t>
      </w:r>
    </w:p>
    <w:p>
      <w:pPr>
        <w:pStyle w:val="Heading2"/>
      </w:pPr>
      <w:r>
        <w:rPr>
          <w:b/>
          <w:i w:val="0"/>
          <w:color w:val="1A2E12"/>
          <w:sz w:val="30"/>
        </w:rPr>
        <w:t>2.2 Identity &amp; Directory Schema — User / Therapist</w:t>
      </w:r>
    </w:p>
    <w:p>
      <w:pPr>
        <w:spacing w:after="160" w:line="276" w:lineRule="auto"/>
      </w:pPr>
      <w:r>
        <w:rPr>
          <w:b/>
          <w:i w:val="0"/>
          <w:color w:val="2C2C2C"/>
          <w:sz w:val="22"/>
        </w:rPr>
        <w:t>User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apps.users.models.User</w:t>
      </w:r>
      <w:r>
        <w:rPr>
          <w:b w:val="0"/>
          <w:i w:val="0"/>
          <w:color w:val="2C2C2C"/>
          <w:sz w:val="22"/>
        </w:rPr>
        <w:t xml:space="preserve">) — a fully custom </w:t>
      </w:r>
      <w:r>
        <w:rPr>
          <w:rFonts w:ascii="Consolas" w:hAnsi="Consolas"/>
          <w:b w:val="0"/>
          <w:i w:val="0"/>
          <w:color w:val="B3003A"/>
          <w:sz w:val="21"/>
        </w:rPr>
        <w:t>AbstractBaseUser</w:t>
      </w:r>
      <w:r>
        <w:rPr>
          <w:b w:val="0"/>
          <w:i w:val="0"/>
          <w:color w:val="2C2C2C"/>
          <w:sz w:val="22"/>
        </w:rPr>
        <w:t xml:space="preserve"> implementation using </w:t>
      </w:r>
      <w:r>
        <w:rPr>
          <w:b/>
          <w:i w:val="0"/>
          <w:color w:val="2C2C2C"/>
          <w:sz w:val="22"/>
        </w:rPr>
        <w:t>email</w:t>
      </w:r>
      <w:r>
        <w:rPr>
          <w:b w:val="0"/>
          <w:i w:val="0"/>
          <w:color w:val="2C2C2C"/>
          <w:sz w:val="22"/>
        </w:rPr>
        <w:t>, not username, as the authentication identifier: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02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32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email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EmailField, unique, indexed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USERNAME_FIELD; the sole login identifier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first_name, last_name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CharField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REQUIRED_FIELDS for createsuperuser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date_of_birth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DateField, nullable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Patient demographic field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gender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CharField + TextChoices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male / female / non_binary / prefer_not_to_say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phone_number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CharField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profile_picture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ImageField -&gt; profile_pictures/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Served via MEDIA_URL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bio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TextField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is_active, is_staff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BooleanField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Standard Django account-state flags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date_joined, updated_at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DateTimeField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b/>
          <w:i w:val="0"/>
          <w:color w:val="2C2C2C"/>
          <w:sz w:val="22"/>
        </w:rPr>
        <w:t>EmergencyContact</w:t>
      </w:r>
      <w:r>
        <w:rPr>
          <w:b w:val="0"/>
          <w:i w:val="0"/>
          <w:color w:val="2C2C2C"/>
          <w:sz w:val="22"/>
        </w:rPr>
        <w:t xml:space="preserve"> (FK -&gt; User, </w:t>
      </w:r>
      <w:r>
        <w:rPr>
          <w:rFonts w:ascii="Consolas" w:hAnsi="Consolas"/>
          <w:b w:val="0"/>
          <w:i w:val="0"/>
          <w:color w:val="B3003A"/>
          <w:sz w:val="21"/>
        </w:rPr>
        <w:t>related_name="emergency_contacts"</w:t>
      </w:r>
      <w:r>
        <w:rPr>
          <w:b w:val="0"/>
          <w:i w:val="0"/>
          <w:color w:val="2C2C2C"/>
          <w:sz w:val="22"/>
        </w:rPr>
        <w:t>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02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32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relationship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CharField + TextChoices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parent / sibling / spouse / friend / therapist / other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is_primary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BooleanField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Enforced unique per user via a partial UniqueConstraint(condition=Q(is_primary=True))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name, phone_number, email, notes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Contact metadata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b/>
          <w:i w:val="0"/>
          <w:color w:val="2C2C2C"/>
          <w:sz w:val="22"/>
        </w:rPr>
        <w:t>Therapist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apps.therapists.models.Therapist</w:t>
      </w:r>
      <w:r>
        <w:rPr>
          <w:b w:val="0"/>
          <w:i w:val="0"/>
          <w:color w:val="2C2C2C"/>
          <w:sz w:val="22"/>
        </w:rPr>
        <w:t>) — the platform's expert-directory entity: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02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32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name, title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CharField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Display name and professional title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specialty, languages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CharField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Comma-separated descriptive lists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experience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PositiveSmallIntegerField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Years of practice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rating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DecimalField(3,1), validated [0, 5]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review_count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PositiveIntegerField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price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PositiveIntegerField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Session price, USD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img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URLField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Avatar/profile photo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is_active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BooleanField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Soft-hide from public listing without deletion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A2E12"/>
          <w:sz w:val="30"/>
        </w:rPr>
        <w:t>2.3 Conversational Schema — ChatSession / ChatMessage</w:t>
      </w:r>
    </w:p>
    <w:p>
      <w:pPr>
        <w:spacing w:after="160" w:line="276" w:lineRule="auto"/>
      </w:pPr>
      <w:r>
        <w:rPr>
          <w:b/>
          <w:i w:val="0"/>
          <w:color w:val="2C2C2C"/>
          <w:sz w:val="22"/>
        </w:rPr>
        <w:t>ChatSession</w:t>
      </w:r>
      <w:r>
        <w:rPr>
          <w:b w:val="0"/>
          <w:i w:val="0"/>
          <w:color w:val="2C2C2C"/>
          <w:sz w:val="22"/>
        </w:rPr>
        <w:t xml:space="preserve"> (UUID primary key, FK -&gt; User, </w:t>
      </w:r>
      <w:r>
        <w:rPr>
          <w:rFonts w:ascii="Consolas" w:hAnsi="Consolas"/>
          <w:b w:val="0"/>
          <w:i w:val="0"/>
          <w:color w:val="B3003A"/>
          <w:sz w:val="21"/>
        </w:rPr>
        <w:t>related_name="chat_sessions"</w:t>
      </w:r>
      <w:r>
        <w:rPr>
          <w:b w:val="0"/>
          <w:i w:val="0"/>
          <w:color w:val="2C2C2C"/>
          <w:sz w:val="22"/>
        </w:rPr>
        <w:t>) implements an explicit three-state lifecycle (</w:t>
      </w:r>
      <w:r>
        <w:rPr>
          <w:rFonts w:ascii="Consolas" w:hAnsi="Consolas"/>
          <w:b w:val="0"/>
          <w:i w:val="0"/>
          <w:color w:val="B3003A"/>
          <w:sz w:val="21"/>
        </w:rPr>
        <w:t>status</w:t>
      </w:r>
      <w:r>
        <w:rPr>
          <w:b w:val="0"/>
          <w:i w:val="0"/>
          <w:color w:val="2C2C2C"/>
          <w:sz w:val="22"/>
        </w:rPr>
        <w:t xml:space="preserve">: active -&gt; completed -&gt; analyzed), and persists </w:t>
      </w:r>
      <w:r>
        <w:rPr>
          <w:rFonts w:ascii="Consolas" w:hAnsi="Consolas"/>
          <w:b w:val="0"/>
          <w:i w:val="0"/>
          <w:color w:val="B3003A"/>
          <w:sz w:val="21"/>
        </w:rPr>
        <w:t>hf_session_id</w:t>
      </w:r>
      <w:r>
        <w:rPr>
          <w:b w:val="0"/>
          <w:i w:val="0"/>
          <w:color w:val="2C2C2C"/>
          <w:sz w:val="22"/>
        </w:rPr>
        <w:t xml:space="preserve"> — the foreign session key on the remote Hugging Face Space (Chapter 4) — alongside </w:t>
      </w:r>
      <w:r>
        <w:rPr>
          <w:rFonts w:ascii="Consolas" w:hAnsi="Consolas"/>
          <w:b w:val="0"/>
          <w:i w:val="0"/>
          <w:color w:val="B3003A"/>
          <w:sz w:val="21"/>
        </w:rPr>
        <w:t>started_at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ended_at</w:t>
      </w:r>
      <w:r>
        <w:rPr>
          <w:b w:val="0"/>
          <w:i w:val="0"/>
          <w:color w:val="2C2C2C"/>
          <w:sz w:val="22"/>
        </w:rPr>
        <w:t xml:space="preserve">, and </w:t>
      </w:r>
      <w:r>
        <w:rPr>
          <w:rFonts w:ascii="Consolas" w:hAnsi="Consolas"/>
          <w:b w:val="0"/>
          <w:i w:val="0"/>
          <w:color w:val="B3003A"/>
          <w:sz w:val="21"/>
        </w:rPr>
        <w:t>updated_at</w:t>
      </w:r>
      <w:r>
        <w:rPr>
          <w:b w:val="0"/>
          <w:i w:val="0"/>
          <w:color w:val="2C2C2C"/>
          <w:sz w:val="22"/>
        </w:rPr>
        <w:t xml:space="preserve"> timestamps.</w:t>
      </w:r>
    </w:p>
    <w:p>
      <w:pPr>
        <w:spacing w:after="160" w:line="276" w:lineRule="auto"/>
      </w:pPr>
      <w:r>
        <w:rPr>
          <w:b/>
          <w:i w:val="0"/>
          <w:color w:val="2C2C2C"/>
          <w:sz w:val="22"/>
        </w:rPr>
        <w:t>ChatMessage</w:t>
      </w:r>
      <w:r>
        <w:rPr>
          <w:b w:val="0"/>
          <w:i w:val="0"/>
          <w:color w:val="2C2C2C"/>
          <w:sz w:val="22"/>
        </w:rPr>
        <w:t xml:space="preserve"> (UUID primary key, FK -&gt; ChatSession, </w:t>
      </w:r>
      <w:r>
        <w:rPr>
          <w:rFonts w:ascii="Consolas" w:hAnsi="Consolas"/>
          <w:b w:val="0"/>
          <w:i w:val="0"/>
          <w:color w:val="B3003A"/>
          <w:sz w:val="21"/>
        </w:rPr>
        <w:t>related_name="chat_messages"</w:t>
      </w:r>
      <w:r>
        <w:rPr>
          <w:b w:val="0"/>
          <w:i w:val="0"/>
          <w:color w:val="2C2C2C"/>
          <w:sz w:val="22"/>
        </w:rPr>
        <w:t xml:space="preserve">) stores </w:t>
      </w:r>
      <w:r>
        <w:rPr>
          <w:rFonts w:ascii="Consolas" w:hAnsi="Consolas"/>
          <w:b w:val="0"/>
          <w:i w:val="0"/>
          <w:color w:val="B3003A"/>
          <w:sz w:val="21"/>
        </w:rPr>
        <w:t>role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user</w:t>
      </w:r>
      <w:r>
        <w:rPr>
          <w:b w:val="0"/>
          <w:i w:val="0"/>
          <w:color w:val="2C2C2C"/>
          <w:sz w:val="22"/>
        </w:rPr>
        <w:t xml:space="preserve"> | </w:t>
      </w:r>
      <w:r>
        <w:rPr>
          <w:rFonts w:ascii="Consolas" w:hAnsi="Consolas"/>
          <w:b w:val="0"/>
          <w:i w:val="0"/>
          <w:color w:val="B3003A"/>
          <w:sz w:val="21"/>
        </w:rPr>
        <w:t>assistant</w:t>
      </w:r>
      <w:r>
        <w:rPr>
          <w:b w:val="0"/>
          <w:i w:val="0"/>
          <w:color w:val="2C2C2C"/>
          <w:sz w:val="22"/>
        </w:rPr>
        <w:t xml:space="preserve">), </w:t>
      </w:r>
      <w:r>
        <w:rPr>
          <w:rFonts w:ascii="Consolas" w:hAnsi="Consolas"/>
          <w:b w:val="0"/>
          <w:i w:val="0"/>
          <w:color w:val="B3003A"/>
          <w:sz w:val="21"/>
        </w:rPr>
        <w:t>content</w:t>
      </w:r>
      <w:r>
        <w:rPr>
          <w:b w:val="0"/>
          <w:i w:val="0"/>
          <w:color w:val="2C2C2C"/>
          <w:sz w:val="22"/>
        </w:rPr>
        <w:t xml:space="preserve"> as a plain </w:t>
      </w:r>
      <w:r>
        <w:rPr>
          <w:rFonts w:ascii="Consolas" w:hAnsi="Consolas"/>
          <w:b w:val="0"/>
          <w:i w:val="0"/>
          <w:color w:val="B3003A"/>
          <w:sz w:val="21"/>
        </w:rPr>
        <w:t>TextField</w:t>
      </w:r>
      <w:r>
        <w:rPr>
          <w:b w:val="0"/>
          <w:i w:val="0"/>
          <w:color w:val="2C2C2C"/>
          <w:sz w:val="22"/>
        </w:rPr>
        <w:t xml:space="preserve">, and a reserved </w:t>
      </w:r>
      <w:r>
        <w:rPr>
          <w:rFonts w:ascii="Consolas" w:hAnsi="Consolas"/>
          <w:b w:val="0"/>
          <w:i w:val="0"/>
          <w:color w:val="B3003A"/>
          <w:sz w:val="21"/>
        </w:rPr>
        <w:t>token_count</w:t>
      </w:r>
      <w:r>
        <w:rPr>
          <w:b w:val="0"/>
          <w:i w:val="0"/>
          <w:color w:val="2C2C2C"/>
          <w:sz w:val="22"/>
        </w:rPr>
        <w:t xml:space="preserve"> field for future cost/rate-limit accounting.</w:t>
      </w:r>
    </w:p>
    <w:p>
      <w:pPr>
        <w:spacing w:before="120" w:after="200"/>
        <w:ind w:left="504"/>
        <w:shd w:val="clear" w:color="auto" w:fill="F7F7F7"/>
      </w:pPr>
      <w:r>
        <w:rPr>
          <w:b/>
          <w:i/>
          <w:color w:val="1A7A6E"/>
          <w:sz w:val="21"/>
        </w:rPr>
        <w:t xml:space="preserve">Verified architectural note. </w:t>
      </w:r>
      <w:r>
        <w:rPr>
          <w:b w:val="0"/>
          <w:i/>
          <w:color w:val="2C2C2C"/>
          <w:sz w:val="21"/>
        </w:rPr>
        <w:t>Voice-message capture in the client (the useAudioRecorder hook in ChatBot.jsx, built on the browser's MediaRecorder API) is a frontend-only, ephemeral feature — the resulting audio Blob is held as a local object URL for in-session playback and is never uploaded to, or persisted by, this backend. ChatMessage.content is a plain-text field with no corresponding FileField/ImageField for audio, confirming there is no server-side voice-storage pipeline in the current implementation.</w:t>
      </w:r>
    </w:p>
    <w:p>
      <w:pPr>
        <w:pStyle w:val="Heading2"/>
      </w:pPr>
      <w:r>
        <w:rPr>
          <w:b/>
          <w:i w:val="0"/>
          <w:color w:val="1A2E12"/>
          <w:sz w:val="30"/>
        </w:rPr>
        <w:t>2.4 Clinical Analysis Schema — DiagnosisReport / DiagnosticReport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Two distinct models exist for two distinct analysis tiers, detailed fully as an architectural pattern in Chapter 4. </w:t>
      </w:r>
      <w:r>
        <w:rPr>
          <w:b/>
          <w:i w:val="0"/>
          <w:color w:val="2C2C2C"/>
          <w:sz w:val="22"/>
        </w:rPr>
        <w:t>DiagnosisReport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apps.chat.models</w:t>
      </w:r>
      <w:r>
        <w:rPr>
          <w:b w:val="0"/>
          <w:i w:val="0"/>
          <w:color w:val="2C2C2C"/>
          <w:sz w:val="22"/>
        </w:rPr>
        <w:t>, one-to-one -&gt; ChatSession) is the active, inline, currently-mocked tier: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312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sentiment_score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FloatField, validated [-1.0, 1.0]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Overall polarity of patient messages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sentiment_label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CharField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positive | neutral | negative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disorder_tags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JSONField (list)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e.g. ["anxiety_indicators", "sleep_issues"]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severity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TextChoices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none -&gt; mild -&gt; moderate -&gt; severe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summary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TextField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Human-readable narrative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recommendations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JSONField (list)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Resource/action tags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is_mock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BooleanField, default True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False once a production model replaces the heuristic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b/>
          <w:i w:val="0"/>
          <w:color w:val="2C2C2C"/>
          <w:sz w:val="22"/>
        </w:rPr>
        <w:t>DiagnosticReport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apps.diagnostics.models</w:t>
      </w:r>
      <w:r>
        <w:rPr>
          <w:b w:val="0"/>
          <w:i w:val="0"/>
          <w:color w:val="2C2C2C"/>
          <w:sz w:val="22"/>
        </w:rPr>
        <w:t>, UUID primary key, one-to-one -&gt; ChatSession, FK -&gt; User) is the schema-complete, offline data-science-ready tier: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312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status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TextChoices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pending -&gt; processing -&gt; completed | failed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overall_sentiment_score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FloatField, [-1.0, 1.0]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subjectivity_score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FloatField, [0.0, 1.0]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TextBlob-style objective/subjective measure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top_keywords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JSONField (list of {term, score})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bigrams, trigrams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JSONField (list)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N-gram frequency extraction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identified_patterns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JSONField (list)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Domain-specific pattern flags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severity_level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TextChoices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Identical four-tier scale to DiagnosisReport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error_message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TextField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Populated only when status=failed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A2E12"/>
          <w:sz w:val="30"/>
        </w:rPr>
        <w:t>2.5 Auxiliary Domain Schemas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App</w:t>
            </w:r>
          </w:p>
        </w:tc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446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Key Fields</w:t>
            </w:r>
          </w:p>
        </w:tc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wellness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MoodEntry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date, mood (10-value enum)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unique_together=("user","date")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wellness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JournalEntry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date, content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unique_together=("user","date")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wellness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Habit / HabitCompletion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name, icon_key / date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unique_together=("habit","date")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community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Post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UUID PK, snapshotted display_name/avatar_url, content, image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—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community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PostLike / PostSave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FK-&gt;Post, FK-&gt;User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unique_together=("post","user") (existence is the state)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resources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Category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name, auto-slugify'd slug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unique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resources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Article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content_type, difficulty, tags (JSON), is_crisis_resource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composite-indexed with is_published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resources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SavedResource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FK-&gt;User, FK-&gt;Article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unique_together=("user","article")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A2E12"/>
          <w:sz w:val="40"/>
        </w:rPr>
        <w:t>Chapter 3 — Security, Authentication, and Token Lifecycle Management</w:t>
      </w:r>
    </w:p>
    <w:p>
      <w:pPr>
        <w:pStyle w:val="Heading2"/>
      </w:pPr>
      <w:r>
        <w:rPr>
          <w:b/>
          <w:i w:val="0"/>
          <w:color w:val="1A2E12"/>
          <w:sz w:val="30"/>
        </w:rPr>
        <w:t>3.1 Authentication Architecture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Mentallico's authentication layer is implemented entirely natively within the Django/DRF ecosystem: local email-and-password accounts issued through </w:t>
      </w:r>
      <w:r>
        <w:rPr>
          <w:rFonts w:ascii="Consolas" w:hAnsi="Consolas"/>
          <w:b w:val="0"/>
          <w:i w:val="0"/>
          <w:color w:val="B3003A"/>
          <w:sz w:val="21"/>
        </w:rPr>
        <w:t>djangorestframework-simplejwt</w:t>
      </w:r>
      <w:r>
        <w:rPr>
          <w:b w:val="0"/>
          <w:i w:val="0"/>
          <w:color w:val="2C2C2C"/>
          <w:sz w:val="22"/>
        </w:rPr>
        <w:t xml:space="preserve">, augmented by two </w:t>
      </w:r>
      <w:r>
        <w:rPr>
          <w:b/>
          <w:i w:val="0"/>
          <w:color w:val="2C2C2C"/>
          <w:sz w:val="22"/>
        </w:rPr>
        <w:t>server-side-verified</w:t>
      </w:r>
      <w:r>
        <w:rPr>
          <w:b w:val="0"/>
          <w:i w:val="0"/>
          <w:color w:val="2C2C2C"/>
          <w:sz w:val="22"/>
        </w:rPr>
        <w:t xml:space="preserve"> social sign-in paths. There is no external Firebase Authentication SDK, no Firebase Admin token-verification step, and no dual-provider identity bridge anywhere in the request pipeline — the entirety of the authentication surface is native JWT issuance, gated by independent, first-party token verification against each provider's own servers.</w:t>
      </w:r>
    </w:p>
    <w:p>
      <w:pPr>
        <w:spacing w:before="120" w:after="20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REST_FRAMEWORK = {</w:t>
        <w:br/>
        <w:t xml:space="preserve">    "DEFAULT_AUTHENTICATION_CLASSES": (</w:t>
        <w:br/>
        <w:t xml:space="preserve">        "rest_framework_simplejwt.authentication.JWTAuthentication",</w:t>
        <w:br/>
        <w:t xml:space="preserve">    ),</w:t>
        <w:br/>
        <w:t xml:space="preserve">    "DEFAULT_PERMISSION_CLASSES": (</w:t>
        <w:br/>
        <w:t xml:space="preserve">        "rest_framework.permissions.IsAuthenticated",</w:t>
        <w:br/>
        <w:t xml:space="preserve">    ),</w:t>
        <w:br/>
        <w:t>}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Every endpoint in the system is </w:t>
      </w:r>
      <w:r>
        <w:rPr>
          <w:b/>
          <w:i w:val="0"/>
          <w:color w:val="2C2C2C"/>
          <w:sz w:val="22"/>
        </w:rPr>
        <w:t>closed by default</w:t>
      </w:r>
      <w:r>
        <w:rPr>
          <w:b w:val="0"/>
          <w:i w:val="0"/>
          <w:color w:val="2C2C2C"/>
          <w:sz w:val="22"/>
        </w:rPr>
        <w:t xml:space="preserve">. The small, explicit set of routes that must be reachable prior to authentication — </w:t>
      </w:r>
      <w:r>
        <w:rPr>
          <w:rFonts w:ascii="Consolas" w:hAnsi="Consolas"/>
          <w:b w:val="0"/>
          <w:i w:val="0"/>
          <w:color w:val="B3003A"/>
          <w:sz w:val="21"/>
        </w:rPr>
        <w:t>register/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login/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google/</w:t>
      </w:r>
      <w:r>
        <w:rPr>
          <w:b w:val="0"/>
          <w:i w:val="0"/>
          <w:color w:val="2C2C2C"/>
          <w:sz w:val="22"/>
        </w:rPr>
        <w:t xml:space="preserve">, </w:t>
      </w:r>
      <w:r>
        <w:rPr>
          <w:rFonts w:ascii="Consolas" w:hAnsi="Consolas"/>
          <w:b w:val="0"/>
          <w:i w:val="0"/>
          <w:color w:val="B3003A"/>
          <w:sz w:val="21"/>
        </w:rPr>
        <w:t>facebook/</w:t>
      </w:r>
      <w:r>
        <w:rPr>
          <w:b w:val="0"/>
          <w:i w:val="0"/>
          <w:color w:val="2C2C2C"/>
          <w:sz w:val="22"/>
        </w:rPr>
        <w:t xml:space="preserve">, and the public resource-library reads — override this default individually at the view level with </w:t>
      </w:r>
      <w:r>
        <w:rPr>
          <w:rFonts w:ascii="Consolas" w:hAnsi="Consolas"/>
          <w:b w:val="0"/>
          <w:i w:val="0"/>
          <w:color w:val="B3003A"/>
          <w:sz w:val="21"/>
        </w:rPr>
        <w:t>permission_classes = [permissions.AllowAny]</w:t>
      </w:r>
      <w:r>
        <w:rPr>
          <w:b w:val="0"/>
          <w:i w:val="0"/>
          <w:color w:val="2C2C2C"/>
          <w:sz w:val="22"/>
        </w:rPr>
        <w:t>. This is a deny-by-default security posture: an engineer adding a new view must consciously opt into public access rather than accidentally forget to lock one down.</w:t>
      </w:r>
    </w:p>
    <w:p>
      <w:pPr>
        <w:pStyle w:val="Heading2"/>
      </w:pPr>
      <w:r>
        <w:rPr>
          <w:b/>
          <w:i w:val="0"/>
          <w:color w:val="1A2E12"/>
          <w:sz w:val="30"/>
        </w:rPr>
        <w:t>3.2 JWT Token Lifecycle Management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Token issuance policy is centralized under </w:t>
      </w:r>
      <w:r>
        <w:rPr>
          <w:rFonts w:ascii="Consolas" w:hAnsi="Consolas"/>
          <w:b w:val="0"/>
          <w:i w:val="0"/>
          <w:color w:val="B3003A"/>
          <w:sz w:val="21"/>
        </w:rPr>
        <w:t>SIMPLE_JWT</w:t>
      </w:r>
      <w:r>
        <w:rPr>
          <w:b w:val="0"/>
          <w:i w:val="0"/>
          <w:color w:val="2C2C2C"/>
          <w:sz w:val="22"/>
        </w:rPr>
        <w:t>, with all lifetime values sourced from environment variables rather than hard-coded constants, permitting per-environment security tuning without a code deployment:</w:t>
      </w:r>
    </w:p>
    <w:p>
      <w:pPr>
        <w:spacing w:before="120" w:after="20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SIMPLE_JWT = {</w:t>
        <w:br/>
        <w:t xml:space="preserve">    "ACCESS_TOKEN_LIFETIME": timedelta(minutes=env.int("JWT_ACCESS_TOKEN_LIFETIME_MINUTES", default=60)),</w:t>
        <w:br/>
        <w:t xml:space="preserve">    "REFRESH_TOKEN_LIFETIME": timedelta(days=env.int("JWT_REFRESH_TOKEN_LIFETIME_DAYS", default=7)),</w:t>
        <w:br/>
        <w:t xml:space="preserve">    "ROTATE_REFRESH_TOKENS": True,</w:t>
        <w:br/>
        <w:t xml:space="preserve">    "BLACKLIST_AFTER_ROTATION": True,</w:t>
        <w:br/>
        <w:t xml:space="preserve">    "UPDATE_LAST_LOGIN": True,</w:t>
        <w:br/>
        <w:t xml:space="preserve">    "ALGORITHM": "HS256",</w:t>
        <w:br/>
        <w:t xml:space="preserve">    "AUTH_HEADER_TYPES": ("Bearer",),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446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Security Rationale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Access token lifetime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60 minutes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Bounds the exposure window of a compromised bearer token to a single hour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Refresh token lifetime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7 days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Bounds total session duration without demanding daily re-authentication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ROTATE_REFRESH_TOKENS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True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Each refresh call issues a brand-new refresh token, immediately superseding the one just used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BLACKLIST_AFTER_ROTATION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True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The superseded refresh token is persisted into the token_blacklist app's denylist table, so a captured-but-stale refresh token cannot be replayed after rotation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logout/ route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TokenBlacklistView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Explicit client-initiated logout blacklists the current refresh token immediately, rather than relying on passive time-based expiry alone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A2E12"/>
          <w:sz w:val="30"/>
        </w:rPr>
        <w:t>3.3 Server-Side Verification of Social Sign-In (No Firebase SDK)</w:t>
      </w:r>
    </w:p>
    <w:p>
      <w:pPr>
        <w:spacing w:after="160" w:line="276" w:lineRule="auto"/>
      </w:pPr>
      <w:r>
        <w:rPr>
          <w:rFonts w:ascii="Consolas" w:hAnsi="Consolas"/>
          <w:b w:val="0"/>
          <w:i w:val="0"/>
          <w:color w:val="B3003A"/>
          <w:sz w:val="21"/>
        </w:rPr>
        <w:t>GoogleAuthView</w:t>
      </w:r>
      <w:r>
        <w:rPr>
          <w:b w:val="0"/>
          <w:i w:val="0"/>
          <w:color w:val="2C2C2C"/>
          <w:sz w:val="22"/>
        </w:rPr>
        <w:t xml:space="preserve"> and </w:t>
      </w:r>
      <w:r>
        <w:rPr>
          <w:rFonts w:ascii="Consolas" w:hAnsi="Consolas"/>
          <w:b w:val="0"/>
          <w:i w:val="0"/>
          <w:color w:val="B3003A"/>
          <w:sz w:val="21"/>
        </w:rPr>
        <w:t>FacebookAuthView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apps/users/views.py</w:t>
      </w:r>
      <w:r>
        <w:rPr>
          <w:b w:val="0"/>
          <w:i w:val="0"/>
          <w:color w:val="2C2C2C"/>
          <w:sz w:val="22"/>
        </w:rPr>
        <w:t xml:space="preserve">) both implement the same trust model: the client transmits a provider-issued </w:t>
      </w:r>
      <w:r>
        <w:rPr>
          <w:b/>
          <w:i w:val="0"/>
          <w:color w:val="2C2C2C"/>
          <w:sz w:val="22"/>
        </w:rPr>
        <w:t>access token</w:t>
      </w:r>
      <w:r>
        <w:rPr>
          <w:b w:val="0"/>
          <w:i w:val="0"/>
          <w:color w:val="2C2C2C"/>
          <w:sz w:val="22"/>
        </w:rPr>
        <w:t>, never a bare identity assertion, and this backend independently re-verifies that token directly against the provider's own infrastructure — via plain REST calls, with no client SDK acting as a trust intermediary — before any identity claim is accepted.</w:t>
      </w:r>
    </w:p>
    <w:p>
      <w:pPr>
        <w:spacing w:after="160" w:line="276" w:lineRule="auto"/>
      </w:pPr>
      <w:r>
        <w:rPr>
          <w:b/>
          <w:i w:val="0"/>
          <w:color w:val="2C2C2C"/>
          <w:sz w:val="22"/>
        </w:rPr>
        <w:t>Google verification sequence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POST /api/v1/auth/google/</w:t>
      </w:r>
      <w:r>
        <w:rPr>
          <w:b w:val="0"/>
          <w:i w:val="0"/>
          <w:color w:val="2C2C2C"/>
          <w:sz w:val="22"/>
        </w:rPr>
        <w:t xml:space="preserve">): (1) if </w:t>
      </w:r>
      <w:r>
        <w:rPr>
          <w:rFonts w:ascii="Consolas" w:hAnsi="Consolas"/>
          <w:b w:val="0"/>
          <w:i w:val="0"/>
          <w:color w:val="B3003A"/>
          <w:sz w:val="21"/>
        </w:rPr>
        <w:t>GOOGLE_OAUTH_CLIENT_ID</w:t>
      </w:r>
      <w:r>
        <w:rPr>
          <w:b w:val="0"/>
          <w:i w:val="0"/>
          <w:color w:val="2C2C2C"/>
          <w:sz w:val="22"/>
        </w:rPr>
        <w:t xml:space="preserve"> is unset, the endpoint returns </w:t>
      </w:r>
      <w:r>
        <w:rPr>
          <w:rFonts w:ascii="Consolas" w:hAnsi="Consolas"/>
          <w:b w:val="0"/>
          <w:i w:val="0"/>
          <w:color w:val="B3003A"/>
          <w:sz w:val="21"/>
        </w:rPr>
        <w:t>503 Service Unavailable</w:t>
      </w:r>
      <w:r>
        <w:rPr>
          <w:b w:val="0"/>
          <w:i w:val="0"/>
          <w:color w:val="2C2C2C"/>
          <w:sz w:val="22"/>
        </w:rPr>
        <w:t xml:space="preserve"> immediately — the system fails safe rather than exposing a partially-configured authentication path; (2) the submitted access token is verified against Google's </w:t>
      </w:r>
      <w:r>
        <w:rPr>
          <w:rFonts w:ascii="Consolas" w:hAnsi="Consolas"/>
          <w:b w:val="0"/>
          <w:i w:val="0"/>
          <w:color w:val="B3003A"/>
          <w:sz w:val="21"/>
        </w:rPr>
        <w:t>tokeninfo</w:t>
      </w:r>
      <w:r>
        <w:rPr>
          <w:b w:val="0"/>
          <w:i w:val="0"/>
          <w:color w:val="2C2C2C"/>
          <w:sz w:val="22"/>
        </w:rPr>
        <w:t xml:space="preserve"> endpoint; (3) </w:t>
      </w:r>
      <w:r>
        <w:rPr>
          <w:b/>
          <w:i w:val="0"/>
          <w:color w:val="2C2C2C"/>
          <w:sz w:val="22"/>
        </w:rPr>
        <w:t>audience pinning</w:t>
      </w:r>
      <w:r>
        <w:rPr>
          <w:b w:val="0"/>
          <w:i w:val="0"/>
          <w:color w:val="2C2C2C"/>
          <w:sz w:val="22"/>
        </w:rPr>
        <w:t xml:space="preserve"> — the response's </w:t>
      </w:r>
      <w:r>
        <w:rPr>
          <w:rFonts w:ascii="Consolas" w:hAnsi="Consolas"/>
          <w:b w:val="0"/>
          <w:i w:val="0"/>
          <w:color w:val="B3003A"/>
          <w:sz w:val="21"/>
        </w:rPr>
        <w:t>aud</w:t>
      </w:r>
      <w:r>
        <w:rPr>
          <w:b w:val="0"/>
          <w:i w:val="0"/>
          <w:color w:val="2C2C2C"/>
          <w:sz w:val="22"/>
        </w:rPr>
        <w:t xml:space="preserve"> claim must equal </w:t>
      </w:r>
      <w:r>
        <w:rPr>
          <w:rFonts w:ascii="Consolas" w:hAnsi="Consolas"/>
          <w:b w:val="0"/>
          <w:i w:val="0"/>
          <w:color w:val="B3003A"/>
          <w:sz w:val="21"/>
        </w:rPr>
        <w:t>settings.GOOGLE_OAUTH_CLIENT_ID</w:t>
      </w:r>
      <w:r>
        <w:rPr>
          <w:b w:val="0"/>
          <w:i w:val="0"/>
          <w:color w:val="2C2C2C"/>
          <w:sz w:val="22"/>
        </w:rPr>
        <w:t xml:space="preserve">, rejecting any token that is valid but was issued for a different application entirely; (4) the token is used to fetch </w:t>
      </w:r>
      <w:r>
        <w:rPr>
          <w:rFonts w:ascii="Consolas" w:hAnsi="Consolas"/>
          <w:b w:val="0"/>
          <w:i w:val="0"/>
          <w:color w:val="B3003A"/>
          <w:sz w:val="21"/>
        </w:rPr>
        <w:t>userinfo</w:t>
      </w:r>
      <w:r>
        <w:rPr>
          <w:b w:val="0"/>
          <w:i w:val="0"/>
          <w:color w:val="2C2C2C"/>
          <w:sz w:val="22"/>
        </w:rPr>
        <w:t xml:space="preserve">, rejected unless </w:t>
      </w:r>
      <w:r>
        <w:rPr>
          <w:rFonts w:ascii="Consolas" w:hAnsi="Consolas"/>
          <w:b w:val="0"/>
          <w:i w:val="0"/>
          <w:color w:val="B3003A"/>
          <w:sz w:val="21"/>
        </w:rPr>
        <w:t>email_verified</w:t>
      </w:r>
      <w:r>
        <w:rPr>
          <w:b w:val="0"/>
          <w:i w:val="0"/>
          <w:color w:val="2C2C2C"/>
          <w:sz w:val="22"/>
        </w:rPr>
        <w:t xml:space="preserve"> is true; (5) control passes to a shared helper, </w:t>
      </w:r>
      <w:r>
        <w:rPr>
          <w:rFonts w:ascii="Consolas" w:hAnsi="Consolas"/>
          <w:b w:val="0"/>
          <w:i w:val="0"/>
          <w:color w:val="B3003A"/>
          <w:sz w:val="21"/>
        </w:rPr>
        <w:t>_get_or_create_social_user()</w:t>
      </w:r>
      <w:r>
        <w:rPr>
          <w:b w:val="0"/>
          <w:i w:val="0"/>
          <w:color w:val="2C2C2C"/>
          <w:sz w:val="22"/>
        </w:rPr>
        <w:t xml:space="preserve">, which performs a </w:t>
      </w:r>
      <w:r>
        <w:rPr>
          <w:rFonts w:ascii="Consolas" w:hAnsi="Consolas"/>
          <w:b w:val="0"/>
          <w:i w:val="0"/>
          <w:color w:val="B3003A"/>
          <w:sz w:val="21"/>
        </w:rPr>
        <w:t>get_or_create</w:t>
      </w:r>
      <w:r>
        <w:rPr>
          <w:b w:val="0"/>
          <w:i w:val="0"/>
          <w:color w:val="2C2C2C"/>
          <w:sz w:val="22"/>
        </w:rPr>
        <w:t xml:space="preserve"> by email, calls </w:t>
      </w:r>
      <w:r>
        <w:rPr>
          <w:rFonts w:ascii="Consolas" w:hAnsi="Consolas"/>
          <w:b w:val="0"/>
          <w:i w:val="0"/>
          <w:color w:val="B3003A"/>
          <w:sz w:val="21"/>
        </w:rPr>
        <w:t>set_unusable_password()</w:t>
      </w:r>
      <w:r>
        <w:rPr>
          <w:b w:val="0"/>
          <w:i w:val="0"/>
          <w:color w:val="2C2C2C"/>
          <w:sz w:val="22"/>
        </w:rPr>
        <w:t xml:space="preserve"> on first creation, and returns the identical </w:t>
      </w:r>
      <w:r>
        <w:rPr>
          <w:rFonts w:ascii="Consolas" w:hAnsi="Consolas"/>
          <w:b w:val="0"/>
          <w:i w:val="0"/>
          <w:color w:val="B3003A"/>
          <w:sz w:val="21"/>
        </w:rPr>
        <w:t>{access, refresh, created}</w:t>
      </w:r>
      <w:r>
        <w:rPr>
          <w:b w:val="0"/>
          <w:i w:val="0"/>
          <w:color w:val="2C2C2C"/>
          <w:sz w:val="22"/>
        </w:rPr>
        <w:t xml:space="preserve"> JSON envelope used by every other authentication route.</w:t>
      </w:r>
    </w:p>
    <w:p>
      <w:pPr>
        <w:spacing w:after="160" w:line="276" w:lineRule="auto"/>
      </w:pPr>
      <w:r>
        <w:rPr>
          <w:b/>
          <w:i w:val="0"/>
          <w:color w:val="2C2C2C"/>
          <w:sz w:val="22"/>
        </w:rPr>
        <w:t>Facebook verification sequence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POST /api/v1/auth/facebook/</w:t>
      </w:r>
      <w:r>
        <w:rPr>
          <w:b w:val="0"/>
          <w:i w:val="0"/>
          <w:color w:val="2C2C2C"/>
          <w:sz w:val="22"/>
        </w:rPr>
        <w:t xml:space="preserve">) mirrors this exactly, substituting Facebook Graph API's </w:t>
      </w:r>
      <w:r>
        <w:rPr>
          <w:rFonts w:ascii="Consolas" w:hAnsi="Consolas"/>
          <w:b w:val="0"/>
          <w:i w:val="0"/>
          <w:color w:val="B3003A"/>
          <w:sz w:val="21"/>
        </w:rPr>
        <w:t>debug_token</w:t>
      </w:r>
      <w:r>
        <w:rPr>
          <w:b w:val="0"/>
          <w:i w:val="0"/>
          <w:color w:val="2C2C2C"/>
          <w:sz w:val="22"/>
        </w:rPr>
        <w:t xml:space="preserve"> endpoint (queried using an app-access-token of the form </w:t>
      </w:r>
      <w:r>
        <w:rPr>
          <w:rFonts w:ascii="Consolas" w:hAnsi="Consolas"/>
          <w:b w:val="0"/>
          <w:i w:val="0"/>
          <w:color w:val="B3003A"/>
          <w:sz w:val="21"/>
        </w:rPr>
        <w:t>{FACEBOOK_APP_ID}|{FACEBOOK_APP_SECRET}</w:t>
      </w:r>
      <w:r>
        <w:rPr>
          <w:b w:val="0"/>
          <w:i w:val="0"/>
          <w:color w:val="2C2C2C"/>
          <w:sz w:val="22"/>
        </w:rPr>
        <w:t xml:space="preserve">) for audience pinning, followed by </w:t>
      </w:r>
      <w:r>
        <w:rPr>
          <w:rFonts w:ascii="Consolas" w:hAnsi="Consolas"/>
          <w:b w:val="0"/>
          <w:i w:val="0"/>
          <w:color w:val="B3003A"/>
          <w:sz w:val="21"/>
        </w:rPr>
        <w:t>/me</w:t>
      </w:r>
      <w:r>
        <w:rPr>
          <w:b w:val="0"/>
          <w:i w:val="0"/>
          <w:color w:val="2C2C2C"/>
          <w:sz w:val="22"/>
        </w:rPr>
        <w:t xml:space="preserve"> for profile retrieval, before converging on the same shared user-provisioning helper. Because both flows terminate in the same helper function, the frontend's stored-token contract is entirely provider-agnostic.</w:t>
      </w:r>
    </w:p>
    <w:p>
      <w:pPr>
        <w:pStyle w:val="Heading2"/>
      </w:pPr>
      <w:r>
        <w:rPr>
          <w:b/>
          <w:i w:val="0"/>
          <w:color w:val="1A2E12"/>
          <w:sz w:val="30"/>
        </w:rPr>
        <w:t>3.4 Network-Layer Security: CORS and LAN/Mobile Testing Configuration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>Two independent allow-lists gate all network access to the API, both fully environment-driven so that cross-device testing never requires a source-code change:</w:t>
      </w:r>
    </w:p>
    <w:p>
      <w:pPr>
        <w:spacing w:before="120" w:after="20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ALLOWED_HOSTS = env.list("ALLOWED_HOSTS", default=["localhost", "127.0.0.1"])</w:t>
        <w:br/>
        <w:br/>
        <w:t>CORS_ALLOWED_ORIGINS = env.list(</w:t>
        <w:br/>
        <w:t xml:space="preserve">    "CORS_ALLOWED_ORIGINS",</w:t>
        <w:br/>
        <w:t xml:space="preserve">    default=["http://localhost:5173", "http://127.0.0.1:5173",</w:t>
        <w:br/>
        <w:t xml:space="preserve">             "http://localhost:3000", "http://127.0.0.1:3000"],</w:t>
        <w:br/>
        <w:t>)</w:t>
        <w:br/>
        <w:t>CORS_ALLOW_CREDENTIALS = True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Configured Value</w:t>
            </w:r>
          </w:p>
        </w:tc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ALLOWED_HOSTS=localhost,127.0.0.1,192.168.1.5,192.168.1.5.nip.io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Server-side (Host header validation)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The LAN IP 192.168.1.5 permits a physical mobile device on the same local network to reach the Django dev server directly by IP address; 192.168.1.5.nip.io is a wildcard-DNS resolver (any hostname of the form &lt;ip&gt;.nip.io resolves publicly to &lt;ip&gt;), used to obtain a stable, resolvable hostname for that same development machine without any local /etc/hosts or router DNS configuration.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CORS_ALLOWED_ORIGINS includes http://192.168.1.5:5173, http://192.168.1.5.nip.io:5173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Browser-side (CORS preflight/response headers)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Permits the Vite dev server, when loaded on a phone browser via that LAN address, to issue credentialed cross-origin requests back to the Django API and successfully read the response.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onsolas" w:hAnsi="Consolas"/>
          <w:b w:val="0"/>
          <w:i w:val="0"/>
          <w:color w:val="B3003A"/>
          <w:sz w:val="21"/>
        </w:rPr>
        <w:t>ALLOWED_HOSTS</w:t>
      </w:r>
      <w:r>
        <w:rPr>
          <w:b w:val="0"/>
          <w:i w:val="0"/>
          <w:color w:val="2C2C2C"/>
          <w:sz w:val="22"/>
        </w:rPr>
        <w:t xml:space="preserve"> and </w:t>
      </w:r>
      <w:r>
        <w:rPr>
          <w:rFonts w:ascii="Consolas" w:hAnsi="Consolas"/>
          <w:b w:val="0"/>
          <w:i w:val="0"/>
          <w:color w:val="B3003A"/>
          <w:sz w:val="21"/>
        </w:rPr>
        <w:t>CORS_ALLOWED_ORIGINS</w:t>
      </w:r>
      <w:r>
        <w:rPr>
          <w:b w:val="0"/>
          <w:i w:val="0"/>
          <w:color w:val="2C2C2C"/>
          <w:sz w:val="22"/>
        </w:rPr>
        <w:t xml:space="preserve"> guard two genuinely separate layers of the stack — the former is enforced server-side by Django's own request-dispatch machinery regardless of what issued the request; the latter is enforced by the requesting browser based on response headers the server returns. A request must clear both independently before it can reach an authenticated view.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A2E12"/>
          <w:sz w:val="40"/>
        </w:rPr>
        <w:t>Chapter 4 — AI Engine Orchestration &amp; Clinical Data Extraction Pipeline</w:t>
      </w:r>
    </w:p>
    <w:p>
      <w:pPr>
        <w:pStyle w:val="Heading2"/>
      </w:pPr>
      <w:r>
        <w:rPr>
          <w:b/>
          <w:i w:val="0"/>
          <w:color w:val="1A2E12"/>
          <w:sz w:val="30"/>
        </w:rPr>
        <w:t>4.1 Conversational Reply Generation (Context, Not Analysis)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Before detailing the clinical extraction pipeline, it is architecturally important to distinguish it from the system's separate conversational-reply mechanism: AI chat replies are generated by a remote, stateful </w:t>
      </w:r>
      <w:r>
        <w:rPr>
          <w:b/>
          <w:i w:val="0"/>
          <w:color w:val="2C2C2C"/>
          <w:sz w:val="22"/>
        </w:rPr>
        <w:t>Hugging Face Space</w:t>
      </w:r>
      <w:r>
        <w:rPr>
          <w:b w:val="0"/>
          <w:i w:val="0"/>
          <w:color w:val="2C2C2C"/>
          <w:sz w:val="22"/>
        </w:rPr>
        <w:t xml:space="preserve">, reached via plain synchronous HTTP calls from </w:t>
      </w:r>
      <w:r>
        <w:rPr>
          <w:rFonts w:ascii="Consolas" w:hAnsi="Consolas"/>
          <w:b w:val="0"/>
          <w:i w:val="0"/>
          <w:color w:val="B3003A"/>
          <w:sz w:val="21"/>
        </w:rPr>
        <w:t>apps/chat/ai_client.py</w:t>
      </w:r>
      <w:r>
        <w:rPr>
          <w:b w:val="0"/>
          <w:i w:val="0"/>
          <w:color w:val="2C2C2C"/>
          <w:sz w:val="22"/>
        </w:rPr>
        <w:t xml:space="preserve">, with no Gemini or other generative-LLM API integrated into this Django backend directly. Each </w:t>
      </w:r>
      <w:r>
        <w:rPr>
          <w:rFonts w:ascii="Consolas" w:hAnsi="Consolas"/>
          <w:b w:val="0"/>
          <w:i w:val="0"/>
          <w:color w:val="B3003A"/>
          <w:sz w:val="21"/>
        </w:rPr>
        <w:t>ChatSession</w:t>
      </w:r>
      <w:r>
        <w:rPr>
          <w:b w:val="0"/>
          <w:i w:val="0"/>
          <w:color w:val="2C2C2C"/>
          <w:sz w:val="22"/>
        </w:rPr>
        <w:t xml:space="preserve"> lazily provisions and persists a corresponding remote session id (</w:t>
      </w:r>
      <w:r>
        <w:rPr>
          <w:rFonts w:ascii="Consolas" w:hAnsi="Consolas"/>
          <w:b w:val="0"/>
          <w:i w:val="0"/>
          <w:color w:val="B3003A"/>
          <w:sz w:val="21"/>
        </w:rPr>
        <w:t>hf_session_id</w:t>
      </w:r>
      <w:r>
        <w:rPr>
          <w:b w:val="0"/>
          <w:i w:val="0"/>
          <w:color w:val="2C2C2C"/>
          <w:sz w:val="22"/>
        </w:rPr>
        <w:t>), allowing the remote model to maintain multi-turn context without this backend re-transmitting prior turns on every call.</w:t>
      </w:r>
    </w:p>
    <w:p>
      <w:pPr>
        <w:pStyle w:val="Heading2"/>
      </w:pPr>
      <w:r>
        <w:rPr>
          <w:b/>
          <w:i w:val="0"/>
          <w:color w:val="1A2E12"/>
          <w:sz w:val="30"/>
        </w:rPr>
        <w:t>4.2 The Localized, Deterministic Pattern-Matching Analysis Engine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The clinical sentiment/pattern extraction pipeline that actually runs today is implemented entirely </w:t>
      </w:r>
      <w:r>
        <w:rPr>
          <w:b/>
          <w:i w:val="0"/>
          <w:color w:val="2C2C2C"/>
          <w:sz w:val="22"/>
        </w:rPr>
        <w:t>in-process</w:t>
      </w:r>
      <w:r>
        <w:rPr>
          <w:b w:val="0"/>
          <w:i w:val="0"/>
          <w:color w:val="2C2C2C"/>
          <w:sz w:val="22"/>
        </w:rPr>
        <w:t xml:space="preserve">, with zero external network calls, inside </w:t>
      </w:r>
      <w:r>
        <w:rPr>
          <w:rFonts w:ascii="Consolas" w:hAnsi="Consolas"/>
          <w:b w:val="0"/>
          <w:i w:val="0"/>
          <w:color w:val="B3003A"/>
          <w:sz w:val="21"/>
        </w:rPr>
        <w:t>apps.chat.services.run_analysis()</w:t>
      </w:r>
      <w:r>
        <w:rPr>
          <w:b w:val="0"/>
          <w:i w:val="0"/>
          <w:color w:val="2C2C2C"/>
          <w:sz w:val="22"/>
        </w:rPr>
        <w:t xml:space="preserve">. It is explicitly and deliberately a </w:t>
      </w:r>
      <w:r>
        <w:rPr>
          <w:b/>
          <w:i w:val="0"/>
          <w:color w:val="2C2C2C"/>
          <w:sz w:val="22"/>
        </w:rPr>
        <w:t>mock implementation</w:t>
      </w:r>
      <w:r>
        <w:rPr>
          <w:b w:val="0"/>
          <w:i w:val="0"/>
          <w:color w:val="2C2C2C"/>
          <w:sz w:val="22"/>
        </w:rPr>
        <w:t xml:space="preserve"> — its own module docstring states this directly — but it is not a stub: it is a fully deterministic, keyword-driven heuristic engine whose output contract is byte-for-byte identical to what a future production model must return, meaning no calling code will require modification when the underlying engine is later replaced.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734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Mechanism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Input isolation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Only role == "user" turns from ChatSession.full_transcript are analysed; assistant-authored text is deliberately excluded so the bot's own phrasing cannot pollute the patient's sentiment signal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Sentiment scoring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 bag-of-words polarity count against two hand-curated lexicons (positive_words, negative_words); score = (pos - neg) / (pos + neg), bounded to [-1.0, +1.0], with the label thresholded at ±0.1 into positive/neutral/negative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Pattern detection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Case-insensitive substring matching against six clinically-informed keyword categories: anxiety_indicators, depressive_indicators, sleep_issues, social_withdrawal, crisis_indicators, positive_coping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Severity inference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Each matched category maps to one of four severity tiers (crisis_indicators -&gt; severe; depressive_/anxiety_indicators -&gt; moderate; sleep_issues/social_withdrawal -&gt; mild; positive_coping -&gt; none); the highest tier reached is the session's final severity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Recommendation mapping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 static severity/pattern -&gt; resource-tag lookup, cross-referenced directly against the Article.tags field and the Article.is_crisis_resource flag from the resource library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A2E12"/>
          <w:sz w:val="30"/>
        </w:rPr>
        <w:t>4.3 The Four-Field Output Schema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The engine's output maps 1-to-1 onto the persisted </w:t>
      </w:r>
      <w:r>
        <w:rPr>
          <w:rFonts w:ascii="Consolas" w:hAnsi="Consolas"/>
          <w:b w:val="0"/>
          <w:i w:val="0"/>
          <w:color w:val="B3003A"/>
          <w:sz w:val="21"/>
        </w:rPr>
        <w:t>DiagnosisReport</w:t>
      </w:r>
      <w:r>
        <w:rPr>
          <w:b w:val="0"/>
          <w:i w:val="0"/>
          <w:color w:val="2C2C2C"/>
          <w:sz w:val="22"/>
        </w:rPr>
        <w:t xml:space="preserve"> fields, and consists of exactly the four clinically-relevant fields specified for this analysis tier: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Output Field</w:t>
            </w:r>
          </w:p>
        </w:tc>
        <w:tc>
          <w:tcPr>
            <w:tcW w:type="dxa" w:w="2592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Type / Range</w:t>
            </w:r>
          </w:p>
        </w:tc>
        <w:tc>
          <w:tcPr>
            <w:tcW w:type="dxa" w:w="460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sentiment_score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float, [-1.0, +1.0]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Polarity of the patient's aggregated message text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sentiment_label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str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Derived categorical label: positive | neutral | negative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disorder_tags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list[str]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Detected pattern categories, e.g. ["anxiety_indicators", "sleep_issues"]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severity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str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Overall clinical severity tier: none | mild | moderate | severe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An additional </w:t>
      </w:r>
      <w:r>
        <w:rPr>
          <w:rFonts w:ascii="Consolas" w:hAnsi="Consolas"/>
          <w:b w:val="0"/>
          <w:i w:val="0"/>
          <w:color w:val="B3003A"/>
          <w:sz w:val="21"/>
        </w:rPr>
        <w:t>is_mock: True</w:t>
      </w:r>
      <w:r>
        <w:rPr>
          <w:b w:val="0"/>
          <w:i w:val="0"/>
          <w:color w:val="2C2C2C"/>
          <w:sz w:val="22"/>
        </w:rPr>
        <w:t xml:space="preserve"> flag is included on every response, providing an explicit, queryable marker that distinguishes heuristic-tier output from a future production-model result at the database level without requiring a schema migration to introduce the distinction.</w:t>
      </w:r>
    </w:p>
    <w:p>
      <w:pPr>
        <w:pStyle w:val="Heading2"/>
      </w:pPr>
      <w:r>
        <w:rPr>
          <w:b/>
          <w:i w:val="0"/>
          <w:color w:val="1A2E12"/>
          <w:sz w:val="30"/>
        </w:rPr>
        <w:t>4.4 The Two-Tier Analysis Architecture and Migration Path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Mentallico's clinical-analysis subsystem is best understood not as a single pipeline, but as a deliberate </w:t>
      </w:r>
      <w:r>
        <w:rPr>
          <w:b/>
          <w:i w:val="0"/>
          <w:color w:val="2C2C2C"/>
          <w:sz w:val="22"/>
        </w:rPr>
        <w:t>two-tier architecture</w:t>
      </w:r>
      <w:r>
        <w:rPr>
          <w:b w:val="0"/>
          <w:i w:val="0"/>
          <w:color w:val="2C2C2C"/>
          <w:sz w:val="22"/>
        </w:rPr>
        <w:t xml:space="preserve">, with each tier owning its own model and its own bounded context. </w:t>
      </w:r>
      <w:r>
        <w:rPr>
          <w:b/>
          <w:i w:val="0"/>
          <w:color w:val="2C2C2C"/>
          <w:sz w:val="22"/>
        </w:rPr>
        <w:t>Tier 1 — Active Mock Tier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apps.chat.DiagnosisReport</w:t>
      </w:r>
      <w:r>
        <w:rPr>
          <w:b w:val="0"/>
          <w:i w:val="0"/>
          <w:color w:val="2C2C2C"/>
          <w:sz w:val="22"/>
        </w:rPr>
        <w:t xml:space="preserve">): synchronous, in-process, zero-dependency, immediately available on session completion — this is what powers the product's inline analysis experience today. </w:t>
      </w:r>
      <w:r>
        <w:rPr>
          <w:b/>
          <w:i w:val="0"/>
          <w:color w:val="2C2C2C"/>
          <w:sz w:val="22"/>
        </w:rPr>
        <w:t>Tier 2 — Offline Data-Science Tier</w:t>
      </w:r>
      <w:r>
        <w:rPr>
          <w:b w:val="0"/>
          <w:i w:val="0"/>
          <w:color w:val="2C2C2C"/>
          <w:sz w:val="22"/>
        </w:rPr>
        <w:t xml:space="preserve"> (</w:t>
      </w:r>
      <w:r>
        <w:rPr>
          <w:rFonts w:ascii="Consolas" w:hAnsi="Consolas"/>
          <w:b w:val="0"/>
          <w:i w:val="0"/>
          <w:color w:val="B3003A"/>
          <w:sz w:val="21"/>
        </w:rPr>
        <w:t>apps.diagnostics.DiagnosticReport</w:t>
      </w:r>
      <w:r>
        <w:rPr>
          <w:b w:val="0"/>
          <w:i w:val="0"/>
          <w:color w:val="2C2C2C"/>
          <w:sz w:val="22"/>
        </w:rPr>
        <w:t xml:space="preserve">): a schema-complete model designed for </w:t>
      </w:r>
      <w:r>
        <w:rPr>
          <w:b/>
          <w:i w:val="0"/>
          <w:color w:val="2C2C2C"/>
          <w:sz w:val="22"/>
        </w:rPr>
        <w:t>asynchronous</w:t>
      </w:r>
      <w:r>
        <w:rPr>
          <w:b w:val="0"/>
          <w:i w:val="0"/>
          <w:color w:val="2C2C2C"/>
          <w:sz w:val="22"/>
        </w:rPr>
        <w:t xml:space="preserve"> dispatch (via </w:t>
      </w:r>
      <w:r>
        <w:rPr>
          <w:rFonts w:ascii="Consolas" w:hAnsi="Consolas"/>
          <w:b w:val="0"/>
          <w:i w:val="0"/>
          <w:color w:val="B3003A"/>
          <w:sz w:val="21"/>
        </w:rPr>
        <w:t>TriggerAnalysisView</w:t>
      </w:r>
      <w:r>
        <w:rPr>
          <w:b w:val="0"/>
          <w:i w:val="0"/>
          <w:color w:val="2C2C2C"/>
          <w:sz w:val="22"/>
        </w:rPr>
        <w:t xml:space="preserve"> and the project's already-configured Celery/Redis task queue) once a genuine classical-NLP pipeline is wired in.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Critically, this second tier is not aspirational infrastructure with no supporting evidence: </w:t>
      </w:r>
      <w:r>
        <w:rPr>
          <w:rFonts w:ascii="Consolas" w:hAnsi="Consolas"/>
          <w:b w:val="0"/>
          <w:i w:val="0"/>
          <w:color w:val="B3003A"/>
          <w:sz w:val="21"/>
        </w:rPr>
        <w:t>requirements.txt</w:t>
      </w:r>
      <w:r>
        <w:rPr>
          <w:b w:val="0"/>
          <w:i w:val="0"/>
          <w:color w:val="2C2C2C"/>
          <w:sz w:val="22"/>
        </w:rPr>
        <w:t xml:space="preserve"> already pins the complete dependency stack this tier is designed to consume:</w:t>
      </w:r>
    </w:p>
    <w:p>
      <w:pPr>
        <w:spacing w:before="120" w:after="20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nltk==3.8.1</w:t>
        <w:br/>
        <w:t>scikit-learn==1.5.1</w:t>
        <w:br/>
        <w:t>numpy==1.26.4</w:t>
        <w:br/>
        <w:t>gensim==4.3.2</w:t>
        <w:br/>
        <w:t>textblob==0.18.0.post0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— meaning the migration from Tier 1 to Tier 2 is architected as a </w:t>
      </w:r>
      <w:r>
        <w:rPr>
          <w:b/>
          <w:i w:val="0"/>
          <w:color w:val="2C2C2C"/>
          <w:sz w:val="22"/>
        </w:rPr>
        <w:t>same-shaped-output swap</w:t>
      </w:r>
      <w:r>
        <w:rPr>
          <w:b w:val="0"/>
          <w:i w:val="0"/>
          <w:color w:val="2C2C2C"/>
          <w:sz w:val="22"/>
        </w:rPr>
        <w:t xml:space="preserve">: the eventual production implementation of </w:t>
      </w:r>
      <w:r>
        <w:rPr>
          <w:rFonts w:ascii="Consolas" w:hAnsi="Consolas"/>
          <w:b w:val="0"/>
          <w:i w:val="0"/>
          <w:color w:val="B3003A"/>
          <w:sz w:val="21"/>
        </w:rPr>
        <w:t>run_analysis()</w:t>
      </w:r>
      <w:r>
        <w:rPr>
          <w:b w:val="0"/>
          <w:i w:val="0"/>
          <w:color w:val="2C2C2C"/>
          <w:sz w:val="22"/>
        </w:rPr>
        <w:t xml:space="preserve"> (or its Tier-2 equivalent) is required only to populate the same field contract already defined and already being written to today, not to redesign the calling code, the model schema, or the recommendation-mapping logic that consumes it. This is the central, defensible architectural insight of the AI subsystem: a fast, dependency-free heuristic tier in continuous production use, and a schema-complete, dependency-pinned classical-NLP tier engineered in advance of its own activation.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A2E12"/>
          <w:sz w:val="40"/>
        </w:rPr>
        <w:t>Chapter 5 — Environment Engineering &amp; Deployment Parameters</w:t>
      </w:r>
    </w:p>
    <w:p>
      <w:pPr>
        <w:pStyle w:val="Heading2"/>
      </w:pPr>
      <w:r>
        <w:rPr>
          <w:b/>
          <w:i w:val="0"/>
          <w:color w:val="1A2E12"/>
          <w:sz w:val="30"/>
        </w:rPr>
        <w:t>5.1 Environment Configuration Architecture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All environment-sensitive configuration is centralized through </w:t>
      </w:r>
      <w:r>
        <w:rPr>
          <w:rFonts w:ascii="Consolas" w:hAnsi="Consolas"/>
          <w:b w:val="0"/>
          <w:i w:val="0"/>
          <w:color w:val="B3003A"/>
          <w:sz w:val="21"/>
        </w:rPr>
        <w:t>django-environ</w:t>
      </w:r>
      <w:r>
        <w:rPr>
          <w:b w:val="0"/>
          <w:i w:val="0"/>
          <w:color w:val="2C2C2C"/>
          <w:sz w:val="22"/>
        </w:rPr>
        <w:t xml:space="preserve">, parsed once at settings-import time from a single </w:t>
      </w:r>
      <w:r>
        <w:rPr>
          <w:rFonts w:ascii="Consolas" w:hAnsi="Consolas"/>
          <w:b w:val="0"/>
          <w:i w:val="0"/>
          <w:color w:val="B3003A"/>
          <w:sz w:val="21"/>
        </w:rPr>
        <w:t>.env</w:t>
      </w:r>
      <w:r>
        <w:rPr>
          <w:b w:val="0"/>
          <w:i w:val="0"/>
          <w:color w:val="2C2C2C"/>
          <w:sz w:val="22"/>
        </w:rPr>
        <w:t xml:space="preserve"> file at the project root:</w:t>
      </w:r>
    </w:p>
    <w:p>
      <w:pPr>
        <w:spacing w:before="120" w:after="20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env = environ.Env(DEBUG=(bool, False))</w:t>
        <w:br/>
        <w:t>environ.Env.read_env(os.path.join(BASE_DIR, ".env"))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3456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2448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Development Default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DEBUG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Django debug mode toggle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True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SECRET_KEY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Cryptographic signing key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(must be explicitly set)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ALLOWED_HOSTS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Host-header allow-list (§3.4)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localhost,127.0.0.1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DATABASE_URL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Database connection string (§2.1)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sqlite:///db.sqlite3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CELERY_BROKER_URL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Redis broker for asynchronous tasks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redis://localhost:6379/0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JWT_ACCESS_TOKEN_LIFETIME_MINUTES / JWT_REFRESH_TOKEN_LIFETIME_DAYS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Token lifetimes (§3.2)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60 / 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CORS_ALLOWED_ORIGINS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Browser CORS allow-list (§3.4)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Vite/CRA dev-server defaults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GOOGLE_OAUTH_CLIENT_ID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Google sign-in audience pin (§3.3)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Blank -&gt; endpoint returns 503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FACEBOOK_APP_ID / FACEBOOK_APP_SECRET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Facebook sign-in verification (§3.3)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Blank -&gt; endpoint returns 503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 xml:space="preserve">Every integration dependent on an external credential is engineered to </w:t>
      </w:r>
      <w:r>
        <w:rPr>
          <w:b/>
          <w:i w:val="0"/>
          <w:color w:val="2C2C2C"/>
          <w:sz w:val="22"/>
        </w:rPr>
        <w:t>fail safe with an explicit `503 Service Unavailable`</w:t>
      </w:r>
      <w:r>
        <w:rPr>
          <w:b w:val="0"/>
          <w:i w:val="0"/>
          <w:color w:val="2C2C2C"/>
          <w:sz w:val="22"/>
        </w:rPr>
        <w:t xml:space="preserve">, rather than raising an unhandled exception or silently degrading, whenever its required configuration is absent — a defensive-programming discipline applied consistently across both </w:t>
      </w:r>
      <w:r>
        <w:rPr>
          <w:rFonts w:ascii="Consolas" w:hAnsi="Consolas"/>
          <w:b w:val="0"/>
          <w:i w:val="0"/>
          <w:color w:val="B3003A"/>
          <w:sz w:val="21"/>
        </w:rPr>
        <w:t>GoogleAuthView</w:t>
      </w:r>
      <w:r>
        <w:rPr>
          <w:b w:val="0"/>
          <w:i w:val="0"/>
          <w:color w:val="2C2C2C"/>
          <w:sz w:val="22"/>
        </w:rPr>
        <w:t xml:space="preserve"> and </w:t>
      </w:r>
      <w:r>
        <w:rPr>
          <w:rFonts w:ascii="Consolas" w:hAnsi="Consolas"/>
          <w:b w:val="0"/>
          <w:i w:val="0"/>
          <w:color w:val="B3003A"/>
          <w:sz w:val="21"/>
        </w:rPr>
        <w:t>FacebookAuthView</w:t>
      </w:r>
      <w:r>
        <w:rPr>
          <w:b w:val="0"/>
          <w:i w:val="0"/>
          <w:color w:val="2C2C2C"/>
          <w:sz w:val="22"/>
        </w:rPr>
        <w:t>.</w:t>
      </w:r>
    </w:p>
    <w:p>
      <w:pPr>
        <w:pStyle w:val="Heading2"/>
      </w:pPr>
      <w:r>
        <w:rPr>
          <w:b/>
          <w:i w:val="0"/>
          <w:color w:val="1A2E12"/>
          <w:sz w:val="30"/>
        </w:rPr>
        <w:t>5.2 Environment-Specific Settings Modules</w:t>
      </w:r>
    </w:p>
    <w:p>
      <w:pPr>
        <w:spacing w:before="120" w:after="20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config/settings/</w:t>
        <w:br/>
        <w:t xml:space="preserve">    base.py           Shared configuration (Chapters 2-4 above)</w:t>
        <w:br/>
        <w:t xml:space="preserve">    development.py     DEBUG=True; ALLOWED_HOSTS=["*"]; BrowsableAPIRenderer enabled; console email backend</w:t>
        <w:br/>
        <w:t xml:space="preserve">    production.py      DEBUG=False; SECURE_SSL_REDIRECT; HSTS (1 year, includeSubDomains, preload); secure cookies</w:t>
      </w:r>
    </w:p>
    <w:p>
      <w:pPr>
        <w:pStyle w:val="Heading2"/>
      </w:pPr>
      <w:r>
        <w:rPr>
          <w:b/>
          <w:i w:val="0"/>
          <w:color w:val="1A2E12"/>
          <w:sz w:val="30"/>
        </w:rPr>
        <w:t>5.3 CLI Bring-Up Procedure</w:t>
      </w:r>
    </w:p>
    <w:p>
      <w:pPr>
        <w:spacing w:after="160" w:line="276" w:lineRule="auto"/>
      </w:pPr>
      <w:r>
        <w:rPr>
          <w:b w:val="0"/>
          <w:i w:val="0"/>
          <w:color w:val="2C2C2C"/>
          <w:sz w:val="22"/>
        </w:rPr>
        <w:t>The following is the exact, verified command sequence to bring the backend up from a clean checkout, including the broad-spectrum network binding required for the LAN/mobile testing scenario documented in Chapter 3:</w:t>
      </w:r>
    </w:p>
    <w:p>
      <w:pPr>
        <w:spacing w:before="120" w:after="20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# 1. Create and activate an isolated virtual environment</w:t>
        <w:br/>
        <w:t>python -m venv venv</w:t>
        <w:br/>
        <w:t>.\venv\Scripts\Activate.ps1</w:t>
        <w:br/>
        <w:br/>
        <w:t># 2. Install the pinned dependency set</w:t>
        <w:br/>
        <w:t>pip install -r requirements.txt</w:t>
        <w:br/>
        <w:br/>
        <w:t># 3. Provision environment variables</w:t>
        <w:br/>
        <w:t>copy .env.example .env</w:t>
        <w:br/>
        <w:t>#    -&gt; set SECRET_KEY; optionally set DATABASE_URL (SQLite default requires no setup);</w:t>
        <w:br/>
        <w:t>#       extend ALLOWED_HOSTS / CORS_ALLOWED_ORIGINS for any additional LAN/mobile origin</w:t>
        <w:br/>
        <w:br/>
        <w:t># 4. Apply the full migration graph (identical command against SQLite or PostgreSQL)</w:t>
        <w:br/>
        <w:t>python manage.py migrate</w:t>
        <w:br/>
        <w:br/>
        <w:t># 5. (Optional) provision an administrator account</w:t>
        <w:br/>
        <w:t>python manage.py createsuperuser</w:t>
        <w:br/>
        <w:br/>
        <w:t># 6. Run the broad-spectrum network listener</w:t>
        <w:br/>
        <w:t>#    Binding 0.0.0.0 - rather than 127.0.0.1 - exposes the development server across</w:t>
        <w:br/>
        <w:t>#    the local network interface, which is precisely what makes the ALLOWED_HOSTS /</w:t>
        <w:br/>
        <w:t>#    CORS_ALLOWED_ORIGINS LAN-IP and .nip.io entries from Chapter 3 reachable from a</w:t>
        <w:br/>
        <w:t>#    physical mobile device under test.</w:t>
        <w:br/>
        <w:t>python manage.py runserver 0.0.0.0:8000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Verification Step</w:t>
            </w:r>
          </w:p>
        </w:tc>
        <w:tc>
          <w:tcPr>
            <w:tcW w:type="dxa" w:w="4320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Command</w:t>
            </w:r>
          </w:p>
        </w:tc>
        <w:tc>
          <w:tcPr>
            <w:tcW w:type="dxa" w:w="3024"/>
            <w:shd w:val="clear" w:color="auto" w:fill="1A7A6E"/>
          </w:tcPr>
          <w:p>
            <w:r/>
            <w:r>
              <w:rPr>
                <w:b/>
                <w:i w:val="0"/>
                <w:color w:val="FFFFFF"/>
                <w:sz w:val="20"/>
              </w:rPr>
              <w:t>Confirms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Liveness probe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curl http://&lt;host&gt;:8000/health/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Returns {"status": "ok"} with zero database queries — the endpoint used by container orchestrators and uptime monitors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Admin reachability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http://&lt;host&gt;:8000/admin/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Django admin interface, gated by is_staff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API namespace resolution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POST http://&lt;host&gt;:8000/api/v1/auth/register/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color w:val="2C2C2C"/>
                <w:sz w:val="19"/>
              </w:rPr>
              <w:t>Confirms /api/v1/ routing and apps.users URL configuration resolve correctly end-to-end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b w:val="0"/>
          <w:i/>
          <w:color w:val="595959"/>
          <w:sz w:val="19"/>
        </w:rPr>
        <w:t>This document was compiled from direct inspection of the live Mentallico backend repository — model definitions, settings/base.py, views.py implementations, and requirements.txt — and reflects the system's verified, current state rather than its design intent.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/>
      <w:b/>
      <w:bCs/>
      <w:color w:val="1A2E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/>
      <w:b/>
      <w:bCs/>
      <w:color w:val="1A2E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/>
      <w:b/>
      <w:bCs/>
      <w:color w:val="1A2E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/>
      <w:b/>
      <w:bCs/>
      <w:i/>
      <w:iCs/>
      <w:color w:val="1A2E1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