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i w:val="0"/>
          <w:color w:val="1A2E12"/>
          <w:sz w:val="64"/>
        </w:rPr>
        <w:t>Mentallico</w:t>
      </w:r>
    </w:p>
    <w:p>
      <w:pPr>
        <w:jc w:val="center"/>
      </w:pPr>
      <w:r>
        <w:rPr>
          <w:b/>
          <w:i w:val="0"/>
          <w:color w:val="1A7A6E"/>
          <w:sz w:val="36"/>
        </w:rPr>
        <w:t>Front-End System Documentation</w:t>
      </w:r>
    </w:p>
    <w:p>
      <w:pPr>
        <w:spacing w:before="600"/>
        <w:jc w:val="center"/>
      </w:pPr>
      <w:r>
        <w:rPr>
          <w:b w:val="0"/>
          <w:i/>
          <w:color w:val="2C2C2C"/>
          <w:sz w:val="22"/>
        </w:rPr>
        <w:t>Subsystem: React 19 / Vite Single-Page Application Client</w:t>
        <w:br/>
        <w:t>Prepared as: Companion chapter set to the Backend and UI/UX Technical Reports</w:t>
      </w:r>
    </w:p>
    <w:p>
      <w:pPr>
        <w:spacing w:before="120" w:after="200"/>
        <w:ind w:left="504"/>
        <w:shd w:val="clear" w:color="auto" w:fill="F7F7F7"/>
      </w:pPr>
      <w:r>
        <w:rPr>
          <w:b/>
          <w:i/>
          <w:color w:val="1A7A6E"/>
          <w:sz w:val="21"/>
        </w:rPr>
        <w:t xml:space="preserve">Grounding statement. </w:t>
      </w:r>
      <w:r>
        <w:rPr>
          <w:b w:val="0"/>
          <w:i/>
          <w:color w:val="2C2C2C"/>
          <w:sz w:val="21"/>
        </w:rPr>
        <w:t>Every architectural claim in this document was verified directly against the live source tree (Mentallico/vite-project/src/**, vite.config.js) rather than inferred from design intent. Where a described change is planned but not yet executed in the repository, this is stated explicitly as a roadmap item.</w:t>
      </w:r>
    </w:p>
    <w:p>
      <w:r>
        <w:br w:type="page"/>
      </w:r>
    </w:p>
    <w:p>
      <w:pPr>
        <w:pStyle w:val="Heading1"/>
      </w:pPr>
      <w:r>
        <w:rPr>
          <w:b/>
          <w:i w:val="0"/>
          <w:color w:val="1A2E12"/>
          <w:sz w:val="40"/>
        </w:rPr>
        <w:t>Chapter 1 — Application Navigation Topology &amp; UX Strategy</w:t>
      </w:r>
    </w:p>
    <w:p>
      <w:pPr>
        <w:pStyle w:val="Heading2"/>
      </w:pPr>
      <w:r>
        <w:rPr>
          <w:b/>
          <w:i w:val="0"/>
          <w:color w:val="1A2E12"/>
          <w:sz w:val="30"/>
        </w:rPr>
        <w:t>1.1 Single-Page Application Architecture</w:t>
      </w:r>
    </w:p>
    <w:p>
      <w:pPr>
        <w:spacing w:after="160" w:line="276" w:lineRule="auto"/>
      </w:pPr>
      <w:r>
        <w:rPr>
          <w:b w:val="0"/>
          <w:i w:val="0"/>
          <w:color w:val="2C2C2C"/>
          <w:sz w:val="22"/>
        </w:rPr>
        <w:t xml:space="preserve">The Mentallico client is architected as a Single-Page Application (SPA) built on the </w:t>
      </w:r>
      <w:r>
        <w:rPr>
          <w:b/>
          <w:i w:val="0"/>
          <w:color w:val="2C2C2C"/>
          <w:sz w:val="22"/>
        </w:rPr>
        <w:t>React 19</w:t>
      </w:r>
      <w:r>
        <w:rPr>
          <w:b w:val="0"/>
          <w:i w:val="0"/>
          <w:color w:val="2C2C2C"/>
          <w:sz w:val="22"/>
        </w:rPr>
        <w:t xml:space="preserve"> component model and served through the </w:t>
      </w:r>
      <w:r>
        <w:rPr>
          <w:b/>
          <w:i w:val="0"/>
          <w:color w:val="2C2C2C"/>
          <w:sz w:val="22"/>
        </w:rPr>
        <w:t>Vite</w:t>
      </w:r>
      <w:r>
        <w:rPr>
          <w:b w:val="0"/>
          <w:i w:val="0"/>
          <w:color w:val="2C2C2C"/>
          <w:sz w:val="22"/>
        </w:rPr>
        <w:t xml:space="preserve"> build system, which provides near-instantaneous Hot Module Replacement during development and a fully static, pre-bundled asset output for production. Client-side routing is delegated to </w:t>
      </w:r>
      <w:r>
        <w:rPr>
          <w:rFonts w:ascii="Consolas" w:hAnsi="Consolas"/>
          <w:b w:val="0"/>
          <w:i w:val="0"/>
          <w:color w:val="B3003A"/>
          <w:sz w:val="21"/>
        </w:rPr>
        <w:t>react-router-dom</w:t>
      </w:r>
      <w:r>
        <w:rPr>
          <w:b w:val="0"/>
          <w:i w:val="0"/>
          <w:color w:val="2C2C2C"/>
          <w:sz w:val="22"/>
        </w:rPr>
        <w:t>, which resolves every navigable surface of the product — the marketing pages, the authenticated dashboard, the community feed, and the expert directory — inside a single document load, with route transitions handled entirely in the browser rather than through full-page server round-trips.</w:t>
      </w:r>
    </w:p>
    <w:p>
      <w:pPr>
        <w:spacing w:after="160" w:line="276" w:lineRule="auto"/>
      </w:pPr>
      <w:r>
        <w:rPr>
          <w:b w:val="0"/>
          <w:i w:val="0"/>
          <w:color w:val="2C2C2C"/>
          <w:sz w:val="22"/>
        </w:rPr>
        <w:t xml:space="preserve">Communication with the Django REST backend is centralized through a single asynchronous HTTP client tier, </w:t>
      </w:r>
      <w:r>
        <w:rPr>
          <w:rFonts w:ascii="Consolas" w:hAnsi="Consolas"/>
          <w:b w:val="0"/>
          <w:i w:val="0"/>
          <w:color w:val="B3003A"/>
          <w:sz w:val="21"/>
        </w:rPr>
        <w:t>services/api.js</w:t>
      </w:r>
      <w:r>
        <w:rPr>
          <w:b w:val="0"/>
          <w:i w:val="0"/>
          <w:color w:val="2C2C2C"/>
          <w:sz w:val="22"/>
        </w:rPr>
        <w:t xml:space="preserve">, which wraps the native </w:t>
      </w:r>
      <w:r>
        <w:rPr>
          <w:rFonts w:ascii="Consolas" w:hAnsi="Consolas"/>
          <w:b w:val="0"/>
          <w:i w:val="0"/>
          <w:color w:val="B3003A"/>
          <w:sz w:val="21"/>
        </w:rPr>
        <w:t>fetch</w:t>
      </w:r>
      <w:r>
        <w:rPr>
          <w:b w:val="0"/>
          <w:i w:val="0"/>
          <w:color w:val="2C2C2C"/>
          <w:sz w:val="22"/>
        </w:rPr>
        <w:t xml:space="preserve"> API with a consistent contract: automatic </w:t>
      </w:r>
      <w:r>
        <w:rPr>
          <w:rFonts w:ascii="Consolas" w:hAnsi="Consolas"/>
          <w:b w:val="0"/>
          <w:i w:val="0"/>
          <w:color w:val="B3003A"/>
          <w:sz w:val="21"/>
        </w:rPr>
        <w:t>Authorization: Bearer</w:t>
      </w:r>
      <w:r>
        <w:rPr>
          <w:b w:val="0"/>
          <w:i w:val="0"/>
          <w:color w:val="2C2C2C"/>
          <w:sz w:val="22"/>
        </w:rPr>
        <w:t xml:space="preserve"> header injection from the locally-stored JWT, uniform JSON error-envelope parsing, and dedicated </w:t>
      </w:r>
      <w:r>
        <w:rPr>
          <w:rFonts w:ascii="Consolas" w:hAnsi="Consolas"/>
          <w:b w:val="0"/>
          <w:i w:val="0"/>
          <w:color w:val="B3003A"/>
          <w:sz w:val="21"/>
        </w:rPr>
        <w:t>postFormData</w:t>
      </w:r>
      <w:r>
        <w:rPr>
          <w:b w:val="0"/>
          <w:i w:val="0"/>
          <w:color w:val="2C2C2C"/>
          <w:sz w:val="22"/>
        </w:rPr>
        <w:t>/</w:t>
      </w:r>
      <w:r>
        <w:rPr>
          <w:rFonts w:ascii="Consolas" w:hAnsi="Consolas"/>
          <w:b w:val="0"/>
          <w:i w:val="0"/>
          <w:color w:val="B3003A"/>
          <w:sz w:val="21"/>
        </w:rPr>
        <w:t>patchFormData</w:t>
      </w:r>
      <w:r>
        <w:rPr>
          <w:b w:val="0"/>
          <w:i w:val="0"/>
          <w:color w:val="2C2C2C"/>
          <w:sz w:val="22"/>
        </w:rPr>
        <w:t xml:space="preserve"> helpers for multipart uploads (profile pictures, community post images). No component issues a raw </w:t>
      </w:r>
      <w:r>
        <w:rPr>
          <w:rFonts w:ascii="Consolas" w:hAnsi="Consolas"/>
          <w:b w:val="0"/>
          <w:i w:val="0"/>
          <w:color w:val="B3003A"/>
          <w:sz w:val="21"/>
        </w:rPr>
        <w:t>fetch</w:t>
      </w:r>
      <w:r>
        <w:rPr>
          <w:b w:val="0"/>
          <w:i w:val="0"/>
          <w:color w:val="2C2C2C"/>
          <w:sz w:val="22"/>
        </w:rPr>
        <w:t xml:space="preserve"> call directly — every network interaction in the application passes through this single, auditable seam.</w:t>
      </w:r>
    </w:p>
    <w:p>
      <w:pPr>
        <w:spacing w:after="160" w:line="276" w:lineRule="auto"/>
      </w:pPr>
      <w:r>
        <w:rPr>
          <w:b w:val="0"/>
          <w:i w:val="0"/>
          <w:color w:val="2C2C2C"/>
          <w:sz w:val="22"/>
        </w:rPr>
        <w:t xml:space="preserve">Rather than propagating server round-trip latency into every user interaction, the client employs </w:t>
      </w:r>
      <w:r>
        <w:rPr>
          <w:b/>
          <w:i w:val="0"/>
          <w:color w:val="2C2C2C"/>
          <w:sz w:val="22"/>
        </w:rPr>
        <w:t>optimistic local state updates</w:t>
      </w:r>
      <w:r>
        <w:rPr>
          <w:b w:val="0"/>
          <w:i w:val="0"/>
          <w:color w:val="2C2C2C"/>
          <w:sz w:val="22"/>
        </w:rPr>
        <w:t xml:space="preserve"> at every point where the UI can predict the server's eventual response with high confidence. The community feed's like and save toggles are the canonical example: the local </w:t>
      </w:r>
      <w:r>
        <w:rPr>
          <w:rFonts w:ascii="Consolas" w:hAnsi="Consolas"/>
          <w:b w:val="0"/>
          <w:i w:val="0"/>
          <w:color w:val="B3003A"/>
          <w:sz w:val="21"/>
        </w:rPr>
        <w:t>posts</w:t>
      </w:r>
      <w:r>
        <w:rPr>
          <w:b w:val="0"/>
          <w:i w:val="0"/>
          <w:color w:val="2C2C2C"/>
          <w:sz w:val="22"/>
        </w:rPr>
        <w:t xml:space="preserve"> state array is updated immediately on click — flipping </w:t>
      </w:r>
      <w:r>
        <w:rPr>
          <w:rFonts w:ascii="Consolas" w:hAnsi="Consolas"/>
          <w:b w:val="0"/>
          <w:i w:val="0"/>
          <w:color w:val="B3003A"/>
          <w:sz w:val="21"/>
        </w:rPr>
        <w:t>is_liked</w:t>
      </w:r>
      <w:r>
        <w:rPr>
          <w:b w:val="0"/>
          <w:i w:val="0"/>
          <w:color w:val="2C2C2C"/>
          <w:sz w:val="22"/>
        </w:rPr>
        <w:t xml:space="preserve"> and adjusting </w:t>
      </w:r>
      <w:r>
        <w:rPr>
          <w:rFonts w:ascii="Consolas" w:hAnsi="Consolas"/>
          <w:b w:val="0"/>
          <w:i w:val="0"/>
          <w:color w:val="B3003A"/>
          <w:sz w:val="21"/>
        </w:rPr>
        <w:t>like_count</w:t>
      </w:r>
      <w:r>
        <w:rPr>
          <w:b w:val="0"/>
          <w:i w:val="0"/>
          <w:color w:val="2C2C2C"/>
          <w:sz w:val="22"/>
        </w:rPr>
        <w:t xml:space="preserve"> — before the network request resolves, and is only rolled back to its prior value in the </w:t>
      </w:r>
      <w:r>
        <w:rPr>
          <w:rFonts w:ascii="Consolas" w:hAnsi="Consolas"/>
          <w:b w:val="0"/>
          <w:i w:val="0"/>
          <w:color w:val="B3003A"/>
          <w:sz w:val="21"/>
        </w:rPr>
        <w:t>catch</w:t>
      </w:r>
      <w:r>
        <w:rPr>
          <w:b w:val="0"/>
          <w:i w:val="0"/>
          <w:color w:val="2C2C2C"/>
          <w:sz w:val="22"/>
        </w:rPr>
        <w:t xml:space="preserve"> branch if the server call actually fails. This yields a perceived-latency profile close to zero for the highest-frequency interactions in the product, while preserving eventual consistency with the authoritative server state.</w:t>
      </w:r>
    </w:p>
    <w:p>
      <w:pPr>
        <w:pStyle w:val="Heading2"/>
      </w:pPr>
      <w:r>
        <w:rPr>
          <w:b/>
          <w:i w:val="0"/>
          <w:color w:val="1A2E12"/>
          <w:sz w:val="30"/>
        </w:rPr>
        <w:t>1.2 Global Navigation Structure</w:t>
      </w:r>
    </w:p>
    <w:p>
      <w:pPr>
        <w:spacing w:after="160" w:line="276" w:lineRule="auto"/>
      </w:pPr>
      <w:r>
        <w:rPr>
          <w:b w:val="0"/>
          <w:i w:val="0"/>
          <w:color w:val="2C2C2C"/>
          <w:sz w:val="22"/>
        </w:rPr>
        <w:t xml:space="preserve">The primary navigation surface, rendered by </w:t>
      </w:r>
      <w:r>
        <w:rPr>
          <w:rFonts w:ascii="Consolas" w:hAnsi="Consolas"/>
          <w:b w:val="0"/>
          <w:i w:val="0"/>
          <w:color w:val="B3003A"/>
          <w:sz w:val="21"/>
        </w:rPr>
        <w:t>Navbar.jsx</w:t>
      </w:r>
      <w:r>
        <w:rPr>
          <w:b w:val="0"/>
          <w:i w:val="0"/>
          <w:color w:val="2C2C2C"/>
          <w:sz w:val="22"/>
        </w:rPr>
        <w:t xml:space="preserve"> on every marketing and authenticated route, exposes exactly four high-frequency destinations: </w:t>
      </w:r>
      <w:r>
        <w:rPr>
          <w:b/>
          <w:i w:val="0"/>
          <w:color w:val="2C2C2C"/>
          <w:sz w:val="22"/>
        </w:rPr>
        <w:t>Home</w:t>
      </w:r>
      <w:r>
        <w:rPr>
          <w:b w:val="0"/>
          <w:i w:val="0"/>
          <w:color w:val="2C2C2C"/>
          <w:sz w:val="22"/>
        </w:rPr>
        <w:t xml:space="preserve"> (</w:t>
      </w:r>
      <w:r>
        <w:rPr>
          <w:rFonts w:ascii="Consolas" w:hAnsi="Consolas"/>
          <w:b w:val="0"/>
          <w:i w:val="0"/>
          <w:color w:val="B3003A"/>
          <w:sz w:val="21"/>
        </w:rPr>
        <w:t>/</w:t>
      </w:r>
      <w:r>
        <w:rPr>
          <w:b w:val="0"/>
          <w:i w:val="0"/>
          <w:color w:val="2C2C2C"/>
          <w:sz w:val="22"/>
        </w:rPr>
        <w:t xml:space="preserve">), </w:t>
      </w:r>
      <w:r>
        <w:rPr>
          <w:b/>
          <w:i w:val="0"/>
          <w:color w:val="2C2C2C"/>
          <w:sz w:val="22"/>
        </w:rPr>
        <w:t>About Us</w:t>
      </w:r>
      <w:r>
        <w:rPr>
          <w:b w:val="0"/>
          <w:i w:val="0"/>
          <w:color w:val="2C2C2C"/>
          <w:sz w:val="22"/>
        </w:rPr>
        <w:t xml:space="preserve"> (</w:t>
      </w:r>
      <w:r>
        <w:rPr>
          <w:rFonts w:ascii="Consolas" w:hAnsi="Consolas"/>
          <w:b w:val="0"/>
          <w:i w:val="0"/>
          <w:color w:val="B3003A"/>
          <w:sz w:val="21"/>
        </w:rPr>
        <w:t>/about</w:t>
      </w:r>
      <w:r>
        <w:rPr>
          <w:b w:val="0"/>
          <w:i w:val="0"/>
          <w:color w:val="2C2C2C"/>
          <w:sz w:val="22"/>
        </w:rPr>
        <w:t xml:space="preserve">), </w:t>
      </w:r>
      <w:r>
        <w:rPr>
          <w:b/>
          <w:i w:val="0"/>
          <w:color w:val="2C2C2C"/>
          <w:sz w:val="22"/>
        </w:rPr>
        <w:t>Community</w:t>
      </w:r>
      <w:r>
        <w:rPr>
          <w:b w:val="0"/>
          <w:i w:val="0"/>
          <w:color w:val="2C2C2C"/>
          <w:sz w:val="22"/>
        </w:rPr>
        <w:t xml:space="preserve"> (</w:t>
      </w:r>
      <w:r>
        <w:rPr>
          <w:rFonts w:ascii="Consolas" w:hAnsi="Consolas"/>
          <w:b w:val="0"/>
          <w:i w:val="0"/>
          <w:color w:val="B3003A"/>
          <w:sz w:val="21"/>
        </w:rPr>
        <w:t>/Community</w:t>
      </w:r>
      <w:r>
        <w:rPr>
          <w:b w:val="0"/>
          <w:i w:val="0"/>
          <w:color w:val="2C2C2C"/>
          <w:sz w:val="22"/>
        </w:rPr>
        <w:t>), and the expert-directory route.</w:t>
      </w:r>
    </w:p>
    <w:p>
      <w:pPr>
        <w:spacing w:before="120" w:after="200"/>
        <w:ind w:left="504"/>
        <w:shd w:val="clear" w:color="auto" w:fill="F7F7F7"/>
      </w:pPr>
      <w:r>
        <w:rPr>
          <w:b/>
          <w:i/>
          <w:color w:val="1A7A6E"/>
          <w:sz w:val="21"/>
        </w:rPr>
        <w:t xml:space="preserve">Verified naming state. </w:t>
      </w:r>
      <w:r>
        <w:rPr>
          <w:b w:val="0"/>
          <w:i/>
          <w:color w:val="2C2C2C"/>
          <w:sz w:val="21"/>
        </w:rPr>
        <w:t>The expert-directory feature is mid-migration in the repository. The homepage teaser component is already correctly named `ExpertsSection.jsx`, reflecting the platform's intended terminology. The full directory listing and individual profile pages, however, have not yet completed the same rename — they remain implemented as `Therapist.jsx` (route `/Therapists`) and `TherapistProfile.jsx` (route `/therapist/:id`) at the time of writing. This documentation describes both components under their actual, current file and route names, and flags the Therapist -&gt; Expert normalization across the directory as a planned, not-yet-executed refactor rather than a completed one.</w:t>
      </w:r>
    </w:p>
    <w:p>
      <w:pPr>
        <w:pStyle w:val="Heading2"/>
      </w:pPr>
      <w:r>
        <w:rPr>
          <w:b/>
          <w:i w:val="0"/>
          <w:color w:val="1A2E12"/>
          <w:sz w:val="30"/>
        </w:rPr>
        <w:t>1.3 Cognitive Load Reduction: The Avatar Dropdown Pattern</w:t>
      </w:r>
    </w:p>
    <w:p>
      <w:pPr>
        <w:spacing w:after="160" w:line="276" w:lineRule="auto"/>
      </w:pPr>
      <w:r>
        <w:rPr>
          <w:b w:val="0"/>
          <w:i w:val="0"/>
          <w:color w:val="2C2C2C"/>
          <w:sz w:val="22"/>
        </w:rPr>
        <w:t xml:space="preserve">A deliberate information-architecture decision keeps the User Profile destination out of the primary navigation row entirely. Rather than adding a fifth top-level link — which would dilute the visual weight of the four primary marketing/product destinations and increase the decision cost of every page load for a returning user — the authenticated user's identity and account actions are encapsulated inside a disclosure component: the </w:t>
      </w:r>
      <w:r>
        <w:rPr>
          <w:rFonts w:ascii="Consolas" w:hAnsi="Consolas"/>
          <w:b w:val="0"/>
          <w:i w:val="0"/>
          <w:color w:val="B3003A"/>
          <w:sz w:val="21"/>
        </w:rPr>
        <w:t>.user-menu-wrapper</w:t>
      </w:r>
      <w:r>
        <w:rPr>
          <w:b w:val="0"/>
          <w:i w:val="0"/>
          <w:color w:val="2C2C2C"/>
          <w:sz w:val="22"/>
        </w:rPr>
        <w:t xml:space="preserve"> / </w:t>
      </w:r>
      <w:r>
        <w:rPr>
          <w:rFonts w:ascii="Consolas" w:hAnsi="Consolas"/>
          <w:b w:val="0"/>
          <w:i w:val="0"/>
          <w:color w:val="B3003A"/>
          <w:sz w:val="21"/>
        </w:rPr>
        <w:t>.user-greeting-btn</w:t>
      </w:r>
      <w:r>
        <w:rPr>
          <w:b w:val="0"/>
          <w:i w:val="0"/>
          <w:color w:val="2C2C2C"/>
          <w:sz w:val="22"/>
        </w:rPr>
        <w:t xml:space="preserve"> compound in </w:t>
      </w:r>
      <w:r>
        <w:rPr>
          <w:rFonts w:ascii="Consolas" w:hAnsi="Consolas"/>
          <w:b w:val="0"/>
          <w:i w:val="0"/>
          <w:color w:val="B3003A"/>
          <w:sz w:val="21"/>
        </w:rPr>
        <w:t>Navbar.jsx</w:t>
      </w:r>
      <w:r>
        <w:rPr>
          <w:b w:val="0"/>
          <w:i w:val="0"/>
          <w:color w:val="2C2C2C"/>
          <w:sz w:val="22"/>
        </w:rPr>
        <w:t xml:space="preserve">, which expands into a </w:t>
      </w:r>
      <w:r>
        <w:rPr>
          <w:rFonts w:ascii="Consolas" w:hAnsi="Consolas"/>
          <w:b w:val="0"/>
          <w:i w:val="0"/>
          <w:color w:val="B3003A"/>
          <w:sz w:val="21"/>
        </w:rPr>
        <w:t>.user-dropdown</w:t>
      </w:r>
      <w:r>
        <w:rPr>
          <w:b w:val="0"/>
          <w:i w:val="0"/>
          <w:color w:val="2C2C2C"/>
          <w:sz w:val="22"/>
        </w:rPr>
        <w:t xml:space="preserve"> panel containing the account identity header, a link to </w:t>
      </w:r>
      <w:r>
        <w:rPr>
          <w:rFonts w:ascii="Consolas" w:hAnsi="Consolas"/>
          <w:b w:val="0"/>
          <w:i w:val="0"/>
          <w:color w:val="B3003A"/>
          <w:sz w:val="21"/>
        </w:rPr>
        <w:t>/UserProfile</w:t>
      </w:r>
      <w:r>
        <w:rPr>
          <w:b w:val="0"/>
          <w:i w:val="0"/>
          <w:color w:val="2C2C2C"/>
          <w:sz w:val="22"/>
        </w:rPr>
        <w:t>, and the sign-out action.</w:t>
      </w:r>
    </w:p>
    <w:p>
      <w:pPr>
        <w:spacing w:after="160" w:line="276" w:lineRule="auto"/>
      </w:pPr>
      <w:r>
        <w:rPr>
          <w:b w:val="0"/>
          <w:i w:val="0"/>
          <w:color w:val="2C2C2C"/>
          <w:sz w:val="22"/>
        </w:rPr>
        <w:t xml:space="preserve">This is a direct application of </w:t>
      </w:r>
      <w:r>
        <w:rPr>
          <w:b/>
          <w:i w:val="0"/>
          <w:color w:val="2C2C2C"/>
          <w:sz w:val="22"/>
        </w:rPr>
        <w:t>progressive disclosure</w:t>
      </w:r>
      <w:r>
        <w:rPr>
          <w:b w:val="0"/>
          <w:i w:val="0"/>
          <w:color w:val="2C2C2C"/>
          <w:sz w:val="22"/>
        </w:rPr>
        <w:t xml:space="preserve"> at the navigation-chrome level: the primary row communicates only "where can I go," while account-scoped actions ("who am I, how do I manage myself") are deliberately one interaction deeper, since they are consulted far less frequently than the primary content destinations, and burying a secondary concern one level deep is a well-established technique for keeping the highest-frequency navigation pathway visually and cognitively uncluttered.</w:t>
      </w:r>
    </w:p>
    <w:p>
      <w:pPr>
        <w:pStyle w:val="Heading2"/>
      </w:pPr>
      <w:r>
        <w:rPr>
          <w:b/>
          <w:i w:val="0"/>
          <w:color w:val="1A2E12"/>
          <w:sz w:val="30"/>
        </w:rPr>
        <w:t>1.4 Progressive Disclosure: Dashboard vs. Community Surfaces</w:t>
      </w:r>
    </w:p>
    <w:p>
      <w:pPr>
        <w:spacing w:after="160" w:line="276" w:lineRule="auto"/>
      </w:pPr>
      <w:r>
        <w:rPr>
          <w:b w:val="0"/>
          <w:i w:val="0"/>
          <w:color w:val="2C2C2C"/>
          <w:sz w:val="22"/>
        </w:rPr>
        <w:t>The same disclosure philosophy governs the relationship between the authenticated dashboard (</w:t>
      </w:r>
      <w:r>
        <w:rPr>
          <w:rFonts w:ascii="Consolas" w:hAnsi="Consolas"/>
          <w:b w:val="0"/>
          <w:i w:val="0"/>
          <w:color w:val="B3003A"/>
          <w:sz w:val="21"/>
        </w:rPr>
        <w:t>UserProfile.jsx</w:t>
      </w:r>
      <w:r>
        <w:rPr>
          <w:b w:val="0"/>
          <w:i w:val="0"/>
          <w:color w:val="2C2C2C"/>
          <w:sz w:val="22"/>
        </w:rPr>
        <w:t>) and the community feed (</w:t>
      </w:r>
      <w:r>
        <w:rPr>
          <w:rFonts w:ascii="Consolas" w:hAnsi="Consolas"/>
          <w:b w:val="0"/>
          <w:i w:val="0"/>
          <w:color w:val="B3003A"/>
          <w:sz w:val="21"/>
        </w:rPr>
        <w:t>Community.jsx</w:t>
      </w:r>
      <w:r>
        <w:rPr>
          <w:b w:val="0"/>
          <w:i w:val="0"/>
          <w:color w:val="2C2C2C"/>
          <w:sz w:val="22"/>
        </w:rPr>
        <w:t>). The dashboard surfaces the user's own, immediately actionable widgets — the day-pill journal entry strip, the monthly mood-tracker calendar, and the habit-progress rings — directly on first render, with zero additional navigation required, because these are single-user, self-referential tools the product expects to be consulted on effectively every visit.</w:t>
      </w:r>
    </w:p>
    <w:p>
      <w:pPr>
        <w:spacing w:after="160" w:line="276" w:lineRule="auto"/>
      </w:pPr>
      <w:r>
        <w:rPr>
          <w:b w:val="0"/>
          <w:i w:val="0"/>
          <w:color w:val="2C2C2C"/>
          <w:sz w:val="22"/>
        </w:rPr>
        <w:t>The community feed, by contrast, is a distinct, secondary route (</w:t>
      </w:r>
      <w:r>
        <w:rPr>
          <w:rFonts w:ascii="Consolas" w:hAnsi="Consolas"/>
          <w:b w:val="0"/>
          <w:i w:val="0"/>
          <w:color w:val="B3003A"/>
          <w:sz w:val="21"/>
        </w:rPr>
        <w:t>/Community</w:t>
      </w:r>
      <w:r>
        <w:rPr>
          <w:b w:val="0"/>
          <w:i w:val="0"/>
          <w:color w:val="2C2C2C"/>
          <w:sz w:val="22"/>
        </w:rPr>
        <w:t>) rather than an inline widget on the dashboard. This is an intentional architectural boundary: peer-authored content carries a fundamentally different cognitive mode (browsing, social reciprocity) from the user's own private self-tracking tools, and collapsing the two into a single scrollable surface would force every dashboard visit to also load and render other users' content, regardless of whether the visitor has any intention of engaging with the social layer that session.</w:t>
      </w:r>
    </w:p>
    <w:p>
      <w:r>
        <w:br w:type="page"/>
      </w:r>
    </w:p>
    <w:p>
      <w:pPr>
        <w:pStyle w:val="Heading1"/>
      </w:pPr>
      <w:r>
        <w:rPr>
          <w:b/>
          <w:i w:val="0"/>
          <w:color w:val="1A2E12"/>
          <w:sz w:val="40"/>
        </w:rPr>
        <w:t>Chapter 2 — Figma-to-Code Layout Translation &amp; Structural Layering</w:t>
      </w:r>
    </w:p>
    <w:p>
      <w:pPr>
        <w:pStyle w:val="Heading2"/>
      </w:pPr>
      <w:r>
        <w:rPr>
          <w:b/>
          <w:i w:val="0"/>
          <w:color w:val="1A2E12"/>
          <w:sz w:val="30"/>
        </w:rPr>
        <w:t>2.1 Desktop Baseline and Container Convention</w:t>
      </w:r>
    </w:p>
    <w:p>
      <w:pPr>
        <w:spacing w:after="160" w:line="276" w:lineRule="auto"/>
      </w:pPr>
      <w:r>
        <w:rPr>
          <w:b w:val="0"/>
          <w:i w:val="0"/>
          <w:color w:val="2C2C2C"/>
          <w:sz w:val="22"/>
        </w:rPr>
        <w:t xml:space="preserve">The application's page-level layouts are translated from Figma canvases onto a consistent desktop container convention: the majority of top-level page wrappers across the codebase — the User Profile dashboard, the About page, and the homepage's own sectional containers — are capped at a </w:t>
      </w:r>
      <w:r>
        <w:rPr>
          <w:rFonts w:ascii="Consolas" w:hAnsi="Consolas"/>
          <w:b w:val="0"/>
          <w:i w:val="0"/>
          <w:color w:val="B3003A"/>
          <w:sz w:val="21"/>
        </w:rPr>
        <w:t>max-width: 1440px</w:t>
      </w:r>
      <w:r>
        <w:rPr>
          <w:b w:val="0"/>
          <w:i w:val="0"/>
          <w:color w:val="2C2C2C"/>
          <w:sz w:val="22"/>
        </w:rPr>
        <w:t xml:space="preserve"> centered container (</w:t>
      </w:r>
      <w:r>
        <w:rPr>
          <w:rFonts w:ascii="Consolas" w:hAnsi="Consolas"/>
          <w:b w:val="0"/>
          <w:i w:val="0"/>
          <w:color w:val="B3003A"/>
          <w:sz w:val="21"/>
        </w:rPr>
        <w:t>margin: 0 auto</w:t>
      </w:r>
      <w:r>
        <w:rPr>
          <w:b w:val="0"/>
          <w:i w:val="0"/>
          <w:color w:val="2C2C2C"/>
          <w:sz w:val="22"/>
        </w:rPr>
        <w:t>), with full-bleed decorative or color-block sections deliberately breaking out of that container via negative-margin techniques (</w:t>
      </w:r>
      <w:r>
        <w:rPr>
          <w:rFonts w:ascii="Consolas" w:hAnsi="Consolas"/>
          <w:b w:val="0"/>
          <w:i w:val="0"/>
          <w:color w:val="B3003A"/>
          <w:sz w:val="21"/>
        </w:rPr>
        <w:t>width: 100vw; margin-left: -50vw; margin-right: -50vw</w:t>
      </w:r>
      <w:r>
        <w:rPr>
          <w:b w:val="0"/>
          <w:i w:val="0"/>
          <w:color w:val="2C2C2C"/>
          <w:sz w:val="22"/>
        </w:rPr>
        <w:t xml:space="preserve"> relative to a </w:t>
      </w:r>
      <w:r>
        <w:rPr>
          <w:rFonts w:ascii="Consolas" w:hAnsi="Consolas"/>
          <w:b w:val="0"/>
          <w:i w:val="0"/>
          <w:color w:val="B3003A"/>
          <w:sz w:val="21"/>
        </w:rPr>
        <w:t>left: 50%</w:t>
      </w:r>
      <w:r>
        <w:rPr>
          <w:b w:val="0"/>
          <w:i w:val="0"/>
          <w:color w:val="2C2C2C"/>
          <w:sz w:val="22"/>
        </w:rPr>
        <w:t xml:space="preserve"> anchor) wherever the design calls for edge-to-edge color rather than content confined to the reading column.</w:t>
      </w:r>
    </w:p>
    <w:p>
      <w:pPr>
        <w:pStyle w:val="Heading2"/>
      </w:pPr>
      <w:r>
        <w:rPr>
          <w:b/>
          <w:i w:val="0"/>
          <w:color w:val="1A2E12"/>
          <w:sz w:val="30"/>
        </w:rPr>
        <w:t>2.2 Case Study: The 'Our Values' Full-Bleed Breakout Band</w:t>
      </w:r>
    </w:p>
    <w:p>
      <w:pPr>
        <w:spacing w:after="160" w:line="276" w:lineRule="auto"/>
      </w:pPr>
      <w:r>
        <w:rPr>
          <w:b w:val="0"/>
          <w:i w:val="0"/>
          <w:color w:val="2C2C2C"/>
          <w:sz w:val="22"/>
        </w:rPr>
        <w:t xml:space="preserve">The </w:t>
      </w:r>
      <w:r>
        <w:rPr>
          <w:rFonts w:ascii="Consolas" w:hAnsi="Consolas"/>
          <w:b w:val="0"/>
          <w:i w:val="0"/>
          <w:color w:val="B3003A"/>
          <w:sz w:val="21"/>
        </w:rPr>
        <w:t>/about</w:t>
      </w:r>
      <w:r>
        <w:rPr>
          <w:b w:val="0"/>
          <w:i w:val="0"/>
          <w:color w:val="2C2C2C"/>
          <w:sz w:val="22"/>
        </w:rPr>
        <w:t xml:space="preserve"> route's </w:t>
      </w:r>
      <w:r>
        <w:rPr>
          <w:b/>
          <w:i w:val="0"/>
          <w:color w:val="2C2C2C"/>
          <w:sz w:val="22"/>
        </w:rPr>
        <w:t>Our Values</w:t>
      </w:r>
      <w:r>
        <w:rPr>
          <w:b w:val="0"/>
          <w:i w:val="0"/>
          <w:color w:val="2C2C2C"/>
          <w:sz w:val="22"/>
        </w:rPr>
        <w:t xml:space="preserve"> section (</w:t>
      </w:r>
      <w:r>
        <w:rPr>
          <w:rFonts w:ascii="Consolas" w:hAnsi="Consolas"/>
          <w:b w:val="0"/>
          <w:i w:val="0"/>
          <w:color w:val="B3003A"/>
          <w:sz w:val="21"/>
        </w:rPr>
        <w:t>AboutPage/OurValues.jsx</w:t>
      </w:r>
      <w:r>
        <w:rPr>
          <w:b w:val="0"/>
          <w:i w:val="0"/>
          <w:color w:val="2C2C2C"/>
          <w:sz w:val="22"/>
        </w:rPr>
        <w:t xml:space="preserve"> / </w:t>
      </w:r>
      <w:r>
        <w:rPr>
          <w:rFonts w:ascii="Consolas" w:hAnsi="Consolas"/>
          <w:b w:val="0"/>
          <w:i w:val="0"/>
          <w:color w:val="B3003A"/>
          <w:sz w:val="21"/>
        </w:rPr>
        <w:t>OurValues.css</w:t>
      </w:r>
      <w:r>
        <w:rPr>
          <w:b w:val="0"/>
          <w:i w:val="0"/>
          <w:color w:val="2C2C2C"/>
          <w:sz w:val="22"/>
        </w:rPr>
        <w:t>) is the clearest instance of this breakout pattern in the codebase, and was directly verified at runtime via headless-browser measurement rather than assumed from the stylesheet alone.</w:t>
      </w:r>
    </w:p>
    <w:p>
      <w:pPr>
        <w:spacing w:after="160" w:line="276" w:lineRule="auto"/>
      </w:pPr>
      <w:r>
        <w:rPr>
          <w:b w:val="0"/>
          <w:i w:val="0"/>
          <w:color w:val="2C2C2C"/>
          <w:sz w:val="22"/>
        </w:rPr>
        <w:t xml:space="preserve">The section's </w:t>
      </w:r>
      <w:r>
        <w:rPr>
          <w:rFonts w:ascii="Consolas" w:hAnsi="Consolas"/>
          <w:b w:val="0"/>
          <w:i w:val="0"/>
          <w:color w:val="B3003A"/>
          <w:sz w:val="21"/>
        </w:rPr>
        <w:t>.our-values</w:t>
      </w:r>
      <w:r>
        <w:rPr>
          <w:b w:val="0"/>
          <w:i w:val="0"/>
          <w:color w:val="2C2C2C"/>
          <w:sz w:val="22"/>
        </w:rPr>
        <w:t xml:space="preserve"> container is styled with </w:t>
      </w:r>
      <w:r>
        <w:rPr>
          <w:rFonts w:ascii="Consolas" w:hAnsi="Consolas"/>
          <w:b w:val="0"/>
          <w:i w:val="0"/>
          <w:color w:val="B3003A"/>
          <w:sz w:val="21"/>
        </w:rPr>
        <w:t>width: 100%; background-color: var(--primary-bg)</w:t>
      </w:r>
      <w:r>
        <w:rPr>
          <w:b w:val="0"/>
          <w:i w:val="0"/>
          <w:color w:val="2C2C2C"/>
          <w:sz w:val="22"/>
        </w:rPr>
        <w:t xml:space="preserve">, where </w:t>
      </w:r>
      <w:r>
        <w:rPr>
          <w:rFonts w:ascii="Consolas" w:hAnsi="Consolas"/>
          <w:b w:val="0"/>
          <w:i w:val="0"/>
          <w:color w:val="B3003A"/>
          <w:sz w:val="21"/>
        </w:rPr>
        <w:t>--primary-bg: #7f89e9</w:t>
      </w:r>
      <w:r>
        <w:rPr>
          <w:b w:val="0"/>
          <w:i w:val="0"/>
          <w:color w:val="2C2C2C"/>
          <w:sz w:val="22"/>
        </w:rPr>
        <w:t xml:space="preserve">. Rendered inside a 1440px-wide desktop viewport, runtime measurement confirmed a computed background color of exactly </w:t>
      </w:r>
      <w:r>
        <w:rPr>
          <w:rFonts w:ascii="Consolas" w:hAnsi="Consolas"/>
          <w:b w:val="0"/>
          <w:i w:val="0"/>
          <w:color w:val="B3003A"/>
          <w:sz w:val="21"/>
        </w:rPr>
        <w:t>rgb(127, 137, 233)</w:t>
      </w:r>
      <w:r>
        <w:rPr>
          <w:b w:val="0"/>
          <w:i w:val="0"/>
          <w:color w:val="2C2C2C"/>
          <w:sz w:val="22"/>
        </w:rPr>
        <w:t xml:space="preserve"> spanning a rendered width of </w:t>
      </w:r>
      <w:r>
        <w:rPr>
          <w:b/>
          <w:i w:val="0"/>
          <w:color w:val="2C2C2C"/>
          <w:sz w:val="22"/>
        </w:rPr>
        <w:t>1425px</w:t>
      </w:r>
      <w:r>
        <w:rPr>
          <w:b w:val="0"/>
          <w:i w:val="0"/>
          <w:color w:val="2C2C2C"/>
          <w:sz w:val="22"/>
        </w:rPr>
        <w:t xml:space="preserve"> — a full-bleed band occupying the entire viewport width, modulo the container's own horizontal padding, rather than a card confined to the page's normal reading column.</w:t>
      </w:r>
    </w:p>
    <w:p>
      <w:pPr>
        <w:spacing w:after="160" w:line="276" w:lineRule="auto"/>
      </w:pPr>
      <w:r>
        <w:rPr>
          <w:b w:val="0"/>
          <w:i w:val="0"/>
          <w:color w:val="2C2C2C"/>
          <w:sz w:val="22"/>
        </w:rPr>
        <w:t xml:space="preserve">Nested inside this full-bleed band, the three </w:t>
      </w:r>
      <w:r>
        <w:rPr>
          <w:rFonts w:ascii="Consolas" w:hAnsi="Consolas"/>
          <w:b w:val="0"/>
          <w:i w:val="0"/>
          <w:color w:val="B3003A"/>
          <w:sz w:val="21"/>
        </w:rPr>
        <w:t>.value-card</w:t>
      </w:r>
      <w:r>
        <w:rPr>
          <w:b w:val="0"/>
          <w:i w:val="0"/>
          <w:color w:val="2C2C2C"/>
          <w:sz w:val="22"/>
        </w:rPr>
        <w:t xml:space="preserve"> elements are each styled with </w:t>
      </w:r>
      <w:r>
        <w:rPr>
          <w:rFonts w:ascii="Consolas" w:hAnsi="Consolas"/>
          <w:b w:val="0"/>
          <w:i w:val="0"/>
          <w:color w:val="B3003A"/>
          <w:sz w:val="21"/>
        </w:rPr>
        <w:t>background-color: var(--card-bg)</w:t>
      </w:r>
      <w:r>
        <w:rPr>
          <w:b w:val="0"/>
          <w:i w:val="0"/>
          <w:color w:val="2C2C2C"/>
          <w:sz w:val="22"/>
        </w:rPr>
        <w:t xml:space="preserve">, where </w:t>
      </w:r>
      <w:r>
        <w:rPr>
          <w:rFonts w:ascii="Consolas" w:hAnsi="Consolas"/>
          <w:b w:val="0"/>
          <w:i w:val="0"/>
          <w:color w:val="B3003A"/>
          <w:sz w:val="21"/>
        </w:rPr>
        <w:t>--card-bg: #f2f3fb</w:t>
      </w:r>
      <w:r>
        <w:rPr>
          <w:b w:val="0"/>
          <w:i w:val="0"/>
          <w:color w:val="2C2C2C"/>
          <w:sz w:val="22"/>
        </w:rPr>
        <w:t xml:space="preserve"> — a light gray-blue tone selected specifically to sit at high contrast against the saturated periwinkle-purple background band behind it. This two-layer composition (saturated full-bleed band as the section's structural background, light neutral cards as the foreground content surface) is the section's core legibility strategy: body text inside each card (</w:t>
      </w:r>
      <w:r>
        <w:rPr>
          <w:rFonts w:ascii="Consolas" w:hAnsi="Consolas"/>
          <w:b w:val="0"/>
          <w:i w:val="0"/>
          <w:color w:val="B3003A"/>
          <w:sz w:val="21"/>
        </w:rPr>
        <w:t>color: #6b7280</w:t>
      </w:r>
      <w:r>
        <w:rPr>
          <w:b w:val="0"/>
          <w:i w:val="0"/>
          <w:color w:val="2C2C2C"/>
          <w:sz w:val="22"/>
        </w:rPr>
        <w:t>) remains comfortably readable against the light card surface, while the surrounding band communicates section identity and visual rhythm at the page-scroll level without requiring any text to be rendered directly against the saturated purple.</w:t>
      </w:r>
    </w:p>
    <w:p>
      <w:pPr>
        <w:pStyle w:val="Heading2"/>
      </w:pPr>
      <w:r>
        <w:rPr>
          <w:b/>
          <w:i w:val="0"/>
          <w:color w:val="1A2E12"/>
          <w:sz w:val="30"/>
        </w:rPr>
        <w:t>2.3 Figma Layout Model → CSS Primitive Translation</w:t>
      </w:r>
    </w:p>
    <w:p>
      <w:pPr>
        <w:spacing w:after="160" w:line="276" w:lineRule="auto"/>
      </w:pPr>
      <w:r>
        <w:rPr>
          <w:b w:val="0"/>
          <w:i w:val="0"/>
          <w:color w:val="2C2C2C"/>
          <w:sz w:val="22"/>
        </w:rPr>
        <w:t>The following table documents the general translation methodology applied when converting a Figma frame's layout model into its corresponding CSS layout primitive during implementation: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A7A6E"/>
          </w:tcPr>
          <w:p>
            <w:r/>
            <w:r>
              <w:rPr>
                <w:b/>
                <w:i w:val="0"/>
                <w:color w:val="FFFFFF"/>
                <w:sz w:val="20"/>
              </w:rPr>
              <w:t>Figma Layout Concept</w:t>
            </w:r>
          </w:p>
        </w:tc>
        <w:tc>
          <w:tcPr>
            <w:tcW w:type="dxa" w:w="3744"/>
            <w:shd w:val="clear" w:color="auto" w:fill="1A7A6E"/>
          </w:tcPr>
          <w:p>
            <w:r/>
            <w:r>
              <w:rPr>
                <w:b/>
                <w:i w:val="0"/>
                <w:color w:val="FFFFFF"/>
                <w:sz w:val="20"/>
              </w:rPr>
              <w:t>CSS Layout Primitive</w:t>
            </w:r>
          </w:p>
        </w:tc>
        <w:tc>
          <w:tcPr>
            <w:tcW w:type="dxa" w:w="2880"/>
            <w:shd w:val="clear" w:color="auto" w:fill="1A7A6E"/>
          </w:tcPr>
          <w:p>
            <w:r/>
            <w:r>
              <w:rPr>
                <w:b/>
                <w:i w:val="0"/>
                <w:color w:val="FFFFFF"/>
                <w:sz w:val="20"/>
              </w:rPr>
              <w:t>Representative Usage</w:t>
            </w:r>
          </w:p>
        </w:tc>
      </w:tr>
      <w:tr>
        <w:tc>
          <w:tcPr>
            <w:tcW w:type="dxa" w:w="2880"/>
          </w:tcPr>
          <w:p>
            <w:r/>
            <w:r>
              <w:rPr>
                <w:b w:val="0"/>
                <w:i w:val="0"/>
                <w:color w:val="2C2C2C"/>
                <w:sz w:val="19"/>
              </w:rPr>
              <w:t>Auto Layout (horizontal, wrap)</w:t>
            </w:r>
          </w:p>
        </w:tc>
        <w:tc>
          <w:tcPr>
            <w:tcW w:type="dxa" w:w="3744"/>
          </w:tcPr>
          <w:p>
            <w:r/>
            <w:r>
              <w:rPr>
                <w:b w:val="0"/>
                <w:i w:val="0"/>
                <w:color w:val="2C2C2C"/>
                <w:sz w:val="19"/>
              </w:rPr>
              <w:t>`display: flex; flex-wrap: wrap; gap: &lt;n&gt;px`</w:t>
            </w:r>
          </w:p>
        </w:tc>
        <w:tc>
          <w:tcPr>
            <w:tcW w:type="dxa" w:w="2880"/>
          </w:tcPr>
          <w:p>
            <w:r/>
            <w:r>
              <w:rPr>
                <w:b w:val="0"/>
                <w:i w:val="0"/>
                <w:color w:val="2C2C2C"/>
                <w:sz w:val="19"/>
              </w:rPr>
              <w:t>Expert/therapist card grids, habit-tile rows</w:t>
            </w:r>
          </w:p>
        </w:tc>
      </w:tr>
      <w:tr>
        <w:tc>
          <w:tcPr>
            <w:tcW w:type="dxa" w:w="2880"/>
          </w:tcPr>
          <w:p>
            <w:r/>
            <w:r>
              <w:rPr>
                <w:b w:val="0"/>
                <w:i w:val="0"/>
                <w:color w:val="2C2C2C"/>
                <w:sz w:val="19"/>
              </w:rPr>
              <w:t>Auto Layout (vertical stack)</w:t>
            </w:r>
          </w:p>
        </w:tc>
        <w:tc>
          <w:tcPr>
            <w:tcW w:type="dxa" w:w="3744"/>
          </w:tcPr>
          <w:p>
            <w:r/>
            <w:r>
              <w:rPr>
                <w:b w:val="0"/>
                <w:i w:val="0"/>
                <w:color w:val="2C2C2C"/>
                <w:sz w:val="19"/>
              </w:rPr>
              <w:t>`display: flex; flex-direction: column; gap: &lt;n&gt;px`</w:t>
            </w:r>
          </w:p>
        </w:tc>
        <w:tc>
          <w:tcPr>
            <w:tcW w:type="dxa" w:w="2880"/>
          </w:tcPr>
          <w:p>
            <w:r/>
            <w:r>
              <w:rPr>
                <w:b w:val="0"/>
                <w:i w:val="0"/>
                <w:color w:val="2C2C2C"/>
                <w:sz w:val="19"/>
              </w:rPr>
              <w:t>Form field stacks, journal entry editor</w:t>
            </w:r>
          </w:p>
        </w:tc>
      </w:tr>
      <w:tr>
        <w:tc>
          <w:tcPr>
            <w:tcW w:type="dxa" w:w="2880"/>
          </w:tcPr>
          <w:p>
            <w:r/>
            <w:r>
              <w:rPr>
                <w:b w:val="0"/>
                <w:i w:val="0"/>
                <w:color w:val="2C2C2C"/>
                <w:sz w:val="19"/>
              </w:rPr>
              <w:t>Grid frame (fixed columns)</w:t>
            </w:r>
          </w:p>
        </w:tc>
        <w:tc>
          <w:tcPr>
            <w:tcW w:type="dxa" w:w="3744"/>
          </w:tcPr>
          <w:p>
            <w:r/>
            <w:r>
              <w:rPr>
                <w:b w:val="0"/>
                <w:i w:val="0"/>
                <w:color w:val="2C2C2C"/>
                <w:sz w:val="19"/>
              </w:rPr>
              <w:t>`display: grid; grid-template-columns: repeat(n, 1fr)`</w:t>
            </w:r>
          </w:p>
        </w:tc>
        <w:tc>
          <w:tcPr>
            <w:tcW w:type="dxa" w:w="2880"/>
          </w:tcPr>
          <w:p>
            <w:r/>
            <w:r>
              <w:rPr>
                <w:b w:val="0"/>
                <w:i w:val="0"/>
                <w:color w:val="2C2C2C"/>
                <w:sz w:val="19"/>
              </w:rPr>
              <w:t>Mood-tracker calendar (7-column), "What We Offer" cards</w:t>
            </w:r>
          </w:p>
        </w:tc>
      </w:tr>
      <w:tr>
        <w:tc>
          <w:tcPr>
            <w:tcW w:type="dxa" w:w="2880"/>
          </w:tcPr>
          <w:p>
            <w:r/>
            <w:r>
              <w:rPr>
                <w:b w:val="0"/>
                <w:i w:val="0"/>
                <w:color w:val="2C2C2C"/>
                <w:sz w:val="19"/>
              </w:rPr>
              <w:t>Absolute overlay (avatar-over-banner)</w:t>
            </w:r>
          </w:p>
        </w:tc>
        <w:tc>
          <w:tcPr>
            <w:tcW w:type="dxa" w:w="3744"/>
          </w:tcPr>
          <w:p>
            <w:r/>
            <w:r>
              <w:rPr>
                <w:b w:val="0"/>
                <w:i w:val="0"/>
                <w:color w:val="2C2C2C"/>
                <w:sz w:val="19"/>
              </w:rPr>
              <w:t>`position: absolute` child inside a `position: relative` banner, with a negative `margin-top` pulling the element up over the banner edge</w:t>
            </w:r>
          </w:p>
        </w:tc>
        <w:tc>
          <w:tcPr>
            <w:tcW w:type="dxa" w:w="2880"/>
          </w:tcPr>
          <w:p>
            <w:r/>
            <w:r>
              <w:rPr>
                <w:b w:val="0"/>
                <w:i w:val="0"/>
                <w:color w:val="2C2C2C"/>
                <w:sz w:val="19"/>
              </w:rPr>
              <w:t>Profile avatar overlapping the gradient header banner</w:t>
            </w:r>
          </w:p>
        </w:tc>
      </w:tr>
      <w:tr>
        <w:tc>
          <w:tcPr>
            <w:tcW w:type="dxa" w:w="2880"/>
          </w:tcPr>
          <w:p>
            <w:r/>
            <w:r>
              <w:rPr>
                <w:b w:val="0"/>
                <w:i w:val="0"/>
                <w:color w:val="2C2C2C"/>
                <w:sz w:val="19"/>
              </w:rPr>
              <w:t>Full-bleed color fill</w:t>
            </w:r>
          </w:p>
        </w:tc>
        <w:tc>
          <w:tcPr>
            <w:tcW w:type="dxa" w:w="3744"/>
          </w:tcPr>
          <w:p>
            <w:r/>
            <w:r>
              <w:rPr>
                <w:b w:val="0"/>
                <w:i w:val="0"/>
                <w:color w:val="2C2C2C"/>
                <w:sz w:val="19"/>
              </w:rPr>
              <w:t>`width: 100vw` + `left: 50%` + equal negative left/right margins, breaking out of a `max-width`-constrained parent</w:t>
            </w:r>
          </w:p>
        </w:tc>
        <w:tc>
          <w:tcPr>
            <w:tcW w:type="dxa" w:w="2880"/>
          </w:tcPr>
          <w:p>
            <w:r/>
            <w:r>
              <w:rPr>
                <w:b w:val="0"/>
                <w:i w:val="0"/>
                <w:color w:val="2C2C2C"/>
                <w:sz w:val="19"/>
              </w:rPr>
              <w:t>"Our Values" band (§2.2), User Profile gradient header</w:t>
            </w:r>
          </w:p>
        </w:tc>
      </w:tr>
      <w:tr>
        <w:tc>
          <w:tcPr>
            <w:tcW w:type="dxa" w:w="2880"/>
          </w:tcPr>
          <w:p>
            <w:r/>
            <w:r>
              <w:rPr>
                <w:b w:val="0"/>
                <w:i w:val="0"/>
                <w:color w:val="2C2C2C"/>
                <w:sz w:val="19"/>
              </w:rPr>
              <w:t>Fixed-size component (desktop mock)</w:t>
            </w:r>
          </w:p>
        </w:tc>
        <w:tc>
          <w:tcPr>
            <w:tcW w:type="dxa" w:w="3744"/>
          </w:tcPr>
          <w:p>
            <w:r/>
            <w:r>
              <w:rPr>
                <w:b w:val="0"/>
                <w:i w:val="0"/>
                <w:color w:val="2C2C2C"/>
                <w:sz w:val="19"/>
              </w:rPr>
              <w:t>Fixed `px` dimensions at the base declaration, explicitly overridden inside `@media` breakpoints for narrower viewports</w:t>
            </w:r>
          </w:p>
        </w:tc>
        <w:tc>
          <w:tcPr>
            <w:tcW w:type="dxa" w:w="2880"/>
          </w:tcPr>
          <w:p>
            <w:r/>
            <w:r>
              <w:rPr>
                <w:b w:val="0"/>
                <w:i w:val="0"/>
                <w:color w:val="2C2C2C"/>
                <w:sz w:val="19"/>
              </w:rPr>
              <w:t>Mood check-in card, habit progress rings</w:t>
            </w:r>
          </w:p>
        </w:tc>
      </w:tr>
    </w:tbl>
    <w:p>
      <w:pPr>
        <w:spacing w:after="80"/>
      </w:pPr>
    </w:p>
    <w:p>
      <w:r>
        <w:br w:type="page"/>
      </w:r>
    </w:p>
    <w:p>
      <w:pPr>
        <w:pStyle w:val="Heading1"/>
      </w:pPr>
      <w:r>
        <w:rPr>
          <w:b/>
          <w:i w:val="0"/>
          <w:color w:val="1A2E12"/>
          <w:sz w:val="40"/>
        </w:rPr>
        <w:t>Chapter 3 — Responsive Viewport Hardening &amp; Touch Target Audit</w:t>
      </w:r>
    </w:p>
    <w:p>
      <w:pPr>
        <w:pStyle w:val="Heading2"/>
      </w:pPr>
      <w:r>
        <w:rPr>
          <w:b/>
          <w:i w:val="0"/>
          <w:color w:val="1A2E12"/>
          <w:sz w:val="30"/>
        </w:rPr>
        <w:t>3.1 Audit Methodology</w:t>
      </w:r>
    </w:p>
    <w:p>
      <w:pPr>
        <w:spacing w:after="160" w:line="276" w:lineRule="auto"/>
      </w:pPr>
      <w:r>
        <w:rPr>
          <w:b w:val="0"/>
          <w:i w:val="0"/>
          <w:color w:val="2C2C2C"/>
          <w:sz w:val="22"/>
        </w:rPr>
        <w:t xml:space="preserve">A comprehensive mobile-responsiveness audit was executed across every routed page in the application, verified at the two narrowest common device breakpoints — </w:t>
      </w:r>
      <w:r>
        <w:rPr>
          <w:b/>
          <w:i w:val="0"/>
          <w:color w:val="2C2C2C"/>
          <w:sz w:val="22"/>
        </w:rPr>
        <w:t>375px</w:t>
      </w:r>
      <w:r>
        <w:rPr>
          <w:b w:val="0"/>
          <w:i w:val="0"/>
          <w:color w:val="2C2C2C"/>
          <w:sz w:val="22"/>
        </w:rPr>
        <w:t xml:space="preserve"> (a typical modern phone) and </w:t>
      </w:r>
      <w:r>
        <w:rPr>
          <w:b/>
          <w:i w:val="0"/>
          <w:color w:val="2C2C2C"/>
          <w:sz w:val="22"/>
        </w:rPr>
        <w:t>320px</w:t>
      </w:r>
      <w:r>
        <w:rPr>
          <w:b w:val="0"/>
          <w:i w:val="0"/>
          <w:color w:val="2C2C2C"/>
          <w:sz w:val="22"/>
        </w:rPr>
        <w:t xml:space="preserve"> (the narrowest viewport still in meaningful circulation) — using a headless-Chrome, Chrome DevTools Protocol-driven verification harness rather than visual inspection alone.</w:t>
      </w:r>
    </w:p>
    <w:p>
      <w:pPr>
        <w:spacing w:before="120" w:after="200"/>
        <w:ind w:left="504"/>
        <w:shd w:val="clear" w:color="auto" w:fill="F7F7F7"/>
      </w:pPr>
      <w:r>
        <w:rPr>
          <w:b/>
          <w:i/>
          <w:color w:val="1A7A6E"/>
          <w:sz w:val="21"/>
        </w:rPr>
        <w:t xml:space="preserve">Methodology correction discovered mid-audit. </w:t>
      </w:r>
      <w:r>
        <w:rPr>
          <w:b w:val="0"/>
          <w:i/>
          <w:color w:val="2C2C2C"/>
          <w:sz w:val="21"/>
        </w:rPr>
        <w:t>The audit initially validated horizontal-overflow safety via `window.scrollX` immediately following a `window.scrollTo()` call, expecting a non-zero result to signal leaked horizontal scroll. Deeper investigation revealed that this application's global stylesheet sets `overflow-x: hidden` on both `html` and `body` without pairing it with an explicit `overflow-y` value — which, per the CSS Overflow specification's computed-value coupling rule, silently forces `overflow-y` to compute as `auto` on both elements. The practical effect is that `document.documentElement` (the element `window.scrollX` actually reads) becomes permanently locked to the exact viewport size, making the `window.scrollX` check a structural no-op. The audit was corrected to instead compare `document.body.scrollWidth` against the viewport's `innerWidth` — the metric that genuinely reflects clipped, off-screen content regardless of which element the browser considers the active scrolling context.</w:t>
      </w:r>
    </w:p>
    <w:p>
      <w:pPr>
        <w:pStyle w:val="Heading2"/>
      </w:pPr>
      <w:r>
        <w:rPr>
          <w:b/>
          <w:i w:val="0"/>
          <w:color w:val="1A2E12"/>
          <w:sz w:val="30"/>
        </w:rPr>
        <w:t>3.2 Component-Specific Viewport Hardening Fixes</w:t>
      </w:r>
    </w:p>
    <w:p>
      <w:pPr>
        <w:spacing w:after="160" w:line="276" w:lineRule="auto"/>
      </w:pPr>
      <w:r>
        <w:rPr>
          <w:b/>
          <w:i w:val="0"/>
          <w:color w:val="2C2C2C"/>
          <w:sz w:val="22"/>
        </w:rPr>
        <w:t>User Profile grid adaptation.</w:t>
      </w:r>
      <w:r>
        <w:rPr>
          <w:b w:val="0"/>
          <w:i w:val="0"/>
          <w:color w:val="2C2C2C"/>
          <w:sz w:val="22"/>
        </w:rPr>
        <w:t xml:space="preserve"> The dashboard's habit-progress grid, mood-tracker calendar, and journal day-pill strip were converted from fixed multi-column desktop layouts into adaptive single-column (or content-driven wrapping) arrangements below the 1024px and 480px breakpoints, with the day-pill strip additionally gaining a scoped </w:t>
      </w:r>
      <w:r>
        <w:rPr>
          <w:rFonts w:ascii="Consolas" w:hAnsi="Consolas"/>
          <w:b w:val="0"/>
          <w:i w:val="0"/>
          <w:color w:val="B3003A"/>
          <w:sz w:val="21"/>
        </w:rPr>
        <w:t>overflow-x: auto</w:t>
      </w:r>
      <w:r>
        <w:rPr>
          <w:b w:val="0"/>
          <w:i w:val="0"/>
          <w:color w:val="2C2C2C"/>
          <w:sz w:val="22"/>
        </w:rPr>
        <w:t xml:space="preserve"> on its own container — a deliberate "contained horizontal scroll" escape hatch for the one row of content genuinely too dense to reflow into a single column without becoming illegible.</w:t>
      </w:r>
    </w:p>
    <w:p>
      <w:pPr>
        <w:spacing w:after="160" w:line="276" w:lineRule="auto"/>
      </w:pPr>
      <w:r>
        <w:rPr>
          <w:b/>
          <w:i w:val="0"/>
          <w:color w:val="2C2C2C"/>
          <w:sz w:val="22"/>
        </w:rPr>
        <w:t>Mood-picker modal containment.</w:t>
      </w:r>
      <w:r>
        <w:rPr>
          <w:b w:val="0"/>
          <w:i w:val="0"/>
          <w:color w:val="2C2C2C"/>
          <w:sz w:val="22"/>
        </w:rPr>
        <w:t xml:space="preserve"> The mood-selection modal (</w:t>
      </w:r>
      <w:r>
        <w:rPr>
          <w:rFonts w:ascii="Consolas" w:hAnsi="Consolas"/>
          <w:b w:val="0"/>
          <w:i w:val="0"/>
          <w:color w:val="B3003A"/>
          <w:sz w:val="21"/>
        </w:rPr>
        <w:t>.mood-picker-panel</w:t>
      </w:r>
      <w:r>
        <w:rPr>
          <w:b w:val="0"/>
          <w:i w:val="0"/>
          <w:color w:val="2C2C2C"/>
          <w:sz w:val="22"/>
        </w:rPr>
        <w:t xml:space="preserve">) was hardened with </w:t>
      </w:r>
      <w:r>
        <w:rPr>
          <w:rFonts w:ascii="Consolas" w:hAnsi="Consolas"/>
          <w:b w:val="0"/>
          <w:i w:val="0"/>
          <w:color w:val="B3003A"/>
          <w:sz w:val="21"/>
        </w:rPr>
        <w:t>max-height: 85vh</w:t>
      </w:r>
      <w:r>
        <w:rPr>
          <w:b w:val="0"/>
          <w:i w:val="0"/>
          <w:color w:val="2C2C2C"/>
          <w:sz w:val="22"/>
        </w:rPr>
        <w:t xml:space="preserve"> paired with </w:t>
      </w:r>
      <w:r>
        <w:rPr>
          <w:rFonts w:ascii="Consolas" w:hAnsi="Consolas"/>
          <w:b w:val="0"/>
          <w:i w:val="0"/>
          <w:color w:val="B3003A"/>
          <w:sz w:val="21"/>
        </w:rPr>
        <w:t>overflow-y: auto</w:t>
      </w:r>
      <w:r>
        <w:rPr>
          <w:b w:val="0"/>
          <w:i w:val="0"/>
          <w:color w:val="2C2C2C"/>
          <w:sz w:val="22"/>
        </w:rPr>
        <w:t xml:space="preserve">, ensuring the ten-option mood grid can never force the modal taller than the viewport itself regardless of screen height; below the 480px breakpoint, the panel additionally widens to </w:t>
      </w:r>
      <w:r>
        <w:rPr>
          <w:b/>
          <w:i w:val="0"/>
          <w:color w:val="2C2C2C"/>
          <w:sz w:val="22"/>
        </w:rPr>
        <w:t>94%</w:t>
      </w:r>
      <w:r>
        <w:rPr>
          <w:b w:val="0"/>
          <w:i w:val="0"/>
          <w:color w:val="2C2C2C"/>
          <w:sz w:val="22"/>
        </w:rPr>
        <w:t xml:space="preserve"> of the viewport width, converging the modal toward a near-full-width presentation on the narrowest devices rather than remaining a small, awkwardly-margined card.</w:t>
      </w:r>
    </w:p>
    <w:p>
      <w:pPr>
        <w:spacing w:after="160" w:line="276" w:lineRule="auto"/>
      </w:pPr>
      <w:r>
        <w:rPr>
          <w:b/>
          <w:i w:val="0"/>
          <w:color w:val="2C2C2C"/>
          <w:sz w:val="22"/>
        </w:rPr>
        <w:t>Fixed-height touch-target defeat in `TherapistProfile.css`.</w:t>
      </w:r>
      <w:r>
        <w:rPr>
          <w:b w:val="0"/>
          <w:i w:val="0"/>
          <w:color w:val="2C2C2C"/>
          <w:sz w:val="22"/>
        </w:rPr>
        <w:t xml:space="preserve"> A scoped selector, </w:t>
      </w:r>
      <w:r>
        <w:rPr>
          <w:rFonts w:ascii="Consolas" w:hAnsi="Consolas"/>
          <w:b w:val="0"/>
          <w:i w:val="0"/>
          <w:color w:val="B3003A"/>
          <w:sz w:val="21"/>
        </w:rPr>
        <w:t>.similar-card .book-btn, .similar-card .profile-btn</w:t>
      </w:r>
      <w:r>
        <w:rPr>
          <w:b w:val="0"/>
          <w:i w:val="0"/>
          <w:color w:val="2C2C2C"/>
          <w:sz w:val="22"/>
        </w:rPr>
        <w:t xml:space="preserve">, was found to declare a hard-coded </w:t>
      </w:r>
      <w:r>
        <w:rPr>
          <w:rFonts w:ascii="Consolas" w:hAnsi="Consolas"/>
          <w:b w:val="0"/>
          <w:i w:val="0"/>
          <w:color w:val="B3003A"/>
          <w:sz w:val="21"/>
        </w:rPr>
        <w:t>height: 34px</w:t>
      </w:r>
      <w:r>
        <w:rPr>
          <w:b w:val="0"/>
          <w:i w:val="0"/>
          <w:color w:val="2C2C2C"/>
          <w:sz w:val="22"/>
        </w:rPr>
        <w:t xml:space="preserve"> on the "Similar Therapists" card action buttons. Because this selector carries higher CSS specificity (two classes) than the sitewide </w:t>
      </w:r>
      <w:r>
        <w:rPr>
          <w:rFonts w:ascii="Consolas" w:hAnsi="Consolas"/>
          <w:b w:val="0"/>
          <w:i w:val="0"/>
          <w:color w:val="B3003A"/>
          <w:sz w:val="21"/>
        </w:rPr>
        <w:t>.book-btn, .profile-btn { min-height: 44px }</w:t>
      </w:r>
      <w:r>
        <w:rPr>
          <w:b w:val="0"/>
          <w:i w:val="0"/>
          <w:color w:val="2C2C2C"/>
          <w:sz w:val="22"/>
        </w:rPr>
        <w:t xml:space="preserve"> touch-target rule (one class) defined on the parent directory page, it silently overrode the platform-wide accessibility minimum for that specific card variant. The fix replaced the fixed </w:t>
      </w:r>
      <w:r>
        <w:rPr>
          <w:rFonts w:ascii="Consolas" w:hAnsi="Consolas"/>
          <w:b w:val="0"/>
          <w:i w:val="0"/>
          <w:color w:val="B3003A"/>
          <w:sz w:val="21"/>
        </w:rPr>
        <w:t>height: 34px</w:t>
      </w:r>
      <w:r>
        <w:rPr>
          <w:b w:val="0"/>
          <w:i w:val="0"/>
          <w:color w:val="2C2C2C"/>
          <w:sz w:val="22"/>
        </w:rPr>
        <w:t xml:space="preserve"> with </w:t>
      </w:r>
      <w:r>
        <w:rPr>
          <w:rFonts w:ascii="Consolas" w:hAnsi="Consolas"/>
          <w:b w:val="0"/>
          <w:i w:val="0"/>
          <w:color w:val="B3003A"/>
          <w:sz w:val="21"/>
        </w:rPr>
        <w:t>min-height: 44px</w:t>
      </w:r>
      <w:r>
        <w:rPr>
          <w:b w:val="0"/>
          <w:i w:val="0"/>
          <w:color w:val="2C2C2C"/>
          <w:sz w:val="22"/>
        </w:rPr>
        <w:t>, restoring the intended touch-target floor without otherwise altering the card's compact visual proportions.</w:t>
      </w:r>
    </w:p>
    <w:p>
      <w:pPr>
        <w:spacing w:after="160" w:line="276" w:lineRule="auto"/>
      </w:pPr>
      <w:r>
        <w:rPr>
          <w:b/>
          <w:i w:val="0"/>
          <w:color w:val="2C2C2C"/>
          <w:sz w:val="22"/>
        </w:rPr>
        <w:t>Inline action stacking below 420px.</w:t>
      </w:r>
      <w:r>
        <w:rPr>
          <w:b w:val="0"/>
          <w:i w:val="0"/>
          <w:color w:val="2C2C2C"/>
          <w:sz w:val="22"/>
        </w:rPr>
        <w:t xml:space="preserve"> The profile page's primary call-to-action row (</w:t>
      </w:r>
      <w:r>
        <w:rPr>
          <w:rFonts w:ascii="Consolas" w:hAnsi="Consolas"/>
          <w:b w:val="0"/>
          <w:i w:val="0"/>
          <w:color w:val="B3003A"/>
          <w:sz w:val="21"/>
        </w:rPr>
        <w:t>.action-buttons</w:t>
      </w:r>
      <w:r>
        <w:rPr>
          <w:b w:val="0"/>
          <w:i w:val="0"/>
          <w:color w:val="2C2C2C"/>
          <w:sz w:val="22"/>
        </w:rPr>
        <w:t xml:space="preserve">, containing the "Book a session" and "Message" buttons) was found capable of overflowing a 320px viewport in its default side-by-side </w:t>
      </w:r>
      <w:r>
        <w:rPr>
          <w:rFonts w:ascii="Consolas" w:hAnsi="Consolas"/>
          <w:b w:val="0"/>
          <w:i w:val="0"/>
          <w:color w:val="B3003A"/>
          <w:sz w:val="21"/>
        </w:rPr>
        <w:t>flex</w:t>
      </w:r>
      <w:r>
        <w:rPr>
          <w:b w:val="0"/>
          <w:i w:val="0"/>
          <w:color w:val="2C2C2C"/>
          <w:sz w:val="22"/>
        </w:rPr>
        <w:t xml:space="preserve"> configuration. A dedicated </w:t>
      </w:r>
      <w:r>
        <w:rPr>
          <w:rFonts w:ascii="Consolas" w:hAnsi="Consolas"/>
          <w:b w:val="0"/>
          <w:i w:val="0"/>
          <w:color w:val="B3003A"/>
          <w:sz w:val="21"/>
        </w:rPr>
        <w:t>@media (max-width: 420px)</w:t>
      </w:r>
      <w:r>
        <w:rPr>
          <w:b w:val="0"/>
          <w:i w:val="0"/>
          <w:color w:val="2C2C2C"/>
          <w:sz w:val="22"/>
        </w:rPr>
        <w:t xml:space="preserve"> rule converts the row to </w:t>
      </w:r>
      <w:r>
        <w:rPr>
          <w:rFonts w:ascii="Consolas" w:hAnsi="Consolas"/>
          <w:b w:val="0"/>
          <w:i w:val="0"/>
          <w:color w:val="B3003A"/>
          <w:sz w:val="21"/>
        </w:rPr>
        <w:t>flex-direction: column</w:t>
      </w:r>
      <w:r>
        <w:rPr>
          <w:b w:val="0"/>
          <w:i w:val="0"/>
          <w:color w:val="2C2C2C"/>
          <w:sz w:val="22"/>
        </w:rPr>
        <w:t xml:space="preserve"> with both buttons stretched to full container width, eliminating the overflow risk entirely rather than merely shrinking the buttons to fit.</w:t>
      </w:r>
    </w:p>
    <w:p>
      <w:pPr>
        <w:pStyle w:val="Heading2"/>
      </w:pPr>
      <w:r>
        <w:rPr>
          <w:b/>
          <w:i w:val="0"/>
          <w:color w:val="1A2E12"/>
          <w:sz w:val="30"/>
        </w:rPr>
        <w:t>3.3 Touch Target Compliance — 44×44px Minimum Hit-Box Enforcement</w:t>
      </w:r>
    </w:p>
    <w:p>
      <w:pPr>
        <w:spacing w:after="160" w:line="276" w:lineRule="auto"/>
      </w:pPr>
      <w:r>
        <w:rPr>
          <w:b w:val="0"/>
          <w:i w:val="0"/>
          <w:color w:val="2C2C2C"/>
          <w:sz w:val="22"/>
        </w:rPr>
        <w:t xml:space="preserve">A systematic pass was made across every interactive close trigger, icon button, and navigation selector in the codebase to enforce a strict </w:t>
      </w:r>
      <w:r>
        <w:rPr>
          <w:b/>
          <w:i w:val="0"/>
          <w:color w:val="2C2C2C"/>
          <w:sz w:val="22"/>
        </w:rPr>
        <w:t>44×44px</w:t>
      </w:r>
      <w:r>
        <w:rPr>
          <w:b w:val="0"/>
          <w:i w:val="0"/>
          <w:color w:val="2C2C2C"/>
          <w:sz w:val="22"/>
        </w:rPr>
        <w:t xml:space="preserve"> minimum interactive footprint — the WCAG-aligned minimum target size — even where the *visual* icon inside the control is deliberately smaller, by expanding the button's own box dimensions (</w:t>
      </w:r>
      <w:r>
        <w:rPr>
          <w:rFonts w:ascii="Consolas" w:hAnsi="Consolas"/>
          <w:b w:val="0"/>
          <w:i w:val="0"/>
          <w:color w:val="B3003A"/>
          <w:sz w:val="21"/>
        </w:rPr>
        <w:t>width</w:t>
      </w:r>
      <w:r>
        <w:rPr>
          <w:b w:val="0"/>
          <w:i w:val="0"/>
          <w:color w:val="2C2C2C"/>
          <w:sz w:val="22"/>
        </w:rPr>
        <w:t>/</w:t>
      </w:r>
      <w:r>
        <w:rPr>
          <w:rFonts w:ascii="Consolas" w:hAnsi="Consolas"/>
          <w:b w:val="0"/>
          <w:i w:val="0"/>
          <w:color w:val="B3003A"/>
          <w:sz w:val="21"/>
        </w:rPr>
        <w:t>height</w:t>
      </w:r>
      <w:r>
        <w:rPr>
          <w:b w:val="0"/>
          <w:i w:val="0"/>
          <w:color w:val="2C2C2C"/>
          <w:sz w:val="22"/>
        </w:rPr>
        <w:t>/</w:t>
      </w:r>
      <w:r>
        <w:rPr>
          <w:rFonts w:ascii="Consolas" w:hAnsi="Consolas"/>
          <w:b w:val="0"/>
          <w:i w:val="0"/>
          <w:color w:val="B3003A"/>
          <w:sz w:val="21"/>
        </w:rPr>
        <w:t>min-width</w:t>
      </w:r>
      <w:r>
        <w:rPr>
          <w:b w:val="0"/>
          <w:i w:val="0"/>
          <w:color w:val="2C2C2C"/>
          <w:sz w:val="22"/>
        </w:rPr>
        <w:t>/</w:t>
      </w:r>
      <w:r>
        <w:rPr>
          <w:rFonts w:ascii="Consolas" w:hAnsi="Consolas"/>
          <w:b w:val="0"/>
          <w:i w:val="0"/>
          <w:color w:val="B3003A"/>
          <w:sz w:val="21"/>
        </w:rPr>
        <w:t>min-height</w:t>
      </w:r>
      <w:r>
        <w:rPr>
          <w:b w:val="0"/>
          <w:i w:val="0"/>
          <w:color w:val="2C2C2C"/>
          <w:sz w:val="22"/>
        </w:rPr>
        <w:t>) independently of its child icon's rendered size: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12"/>
            <w:shd w:val="clear" w:color="auto" w:fill="1A7A6E"/>
          </w:tcPr>
          <w:p>
            <w:r/>
            <w:r>
              <w:rPr>
                <w:b/>
                <w:i w:val="0"/>
                <w:color w:val="FFFFFF"/>
                <w:sz w:val="20"/>
              </w:rPr>
              <w:t>Selector</w:t>
            </w:r>
          </w:p>
        </w:tc>
        <w:tc>
          <w:tcPr>
            <w:tcW w:type="dxa" w:w="3600"/>
            <w:shd w:val="clear" w:color="auto" w:fill="1A7A6E"/>
          </w:tcPr>
          <w:p>
            <w:r/>
            <w:r>
              <w:rPr>
                <w:b/>
                <w:i w:val="0"/>
                <w:color w:val="FFFFFF"/>
                <w:sz w:val="20"/>
              </w:rPr>
              <w:t>Prior State</w:t>
            </w:r>
          </w:p>
        </w:tc>
        <w:tc>
          <w:tcPr>
            <w:tcW w:type="dxa" w:w="3600"/>
            <w:shd w:val="clear" w:color="auto" w:fill="1A7A6E"/>
          </w:tcPr>
          <w:p>
            <w:r/>
            <w:r>
              <w:rPr>
                <w:b/>
                <w:i w:val="0"/>
                <w:color w:val="FFFFFF"/>
                <w:sz w:val="20"/>
              </w:rPr>
              <w:t>Corrected State</w:t>
            </w:r>
          </w:p>
        </w:tc>
      </w:tr>
      <w:tr>
        <w:tc>
          <w:tcPr>
            <w:tcW w:type="dxa" w:w="3312"/>
          </w:tcPr>
          <w:p>
            <w:r/>
            <w:r>
              <w:rPr>
                <w:b w:val="0"/>
                <w:i w:val="0"/>
                <w:color w:val="2C2C2C"/>
                <w:sz w:val="19"/>
              </w:rPr>
              <w:t>`.modal-x` (Booking modal close trigger)</w:t>
            </w:r>
          </w:p>
        </w:tc>
        <w:tc>
          <w:tcPr>
            <w:tcW w:type="dxa" w:w="3600"/>
          </w:tcPr>
          <w:p>
            <w:r/>
            <w:r>
              <w:rPr>
                <w:b w:val="0"/>
                <w:i w:val="0"/>
                <w:color w:val="2C2C2C"/>
                <w:sz w:val="19"/>
              </w:rPr>
              <w:t>~35×35px effective hit box (icon-sized padding only)</w:t>
            </w:r>
          </w:p>
        </w:tc>
        <w:tc>
          <w:tcPr>
            <w:tcW w:type="dxa" w:w="3600"/>
          </w:tcPr>
          <w:p>
            <w:r/>
            <w:r>
              <w:rPr>
                <w:b w:val="0"/>
                <w:i w:val="0"/>
                <w:color w:val="2C2C2C"/>
                <w:sz w:val="19"/>
              </w:rPr>
              <w:t>Explicit `width: 44px; height: 44px` box, icon centered inside via flex</w:t>
            </w:r>
          </w:p>
        </w:tc>
      </w:tr>
      <w:tr>
        <w:tc>
          <w:tcPr>
            <w:tcW w:type="dxa" w:w="3312"/>
          </w:tcPr>
          <w:p>
            <w:r/>
            <w:r>
              <w:rPr>
                <w:b w:val="0"/>
                <w:i w:val="0"/>
                <w:color w:val="2C2C2C"/>
                <w:sz w:val="19"/>
              </w:rPr>
              <w:t>.collection-nav (Saved Collection nav arrow)</w:t>
            </w:r>
          </w:p>
        </w:tc>
        <w:tc>
          <w:tcPr>
            <w:tcW w:type="dxa" w:w="3600"/>
          </w:tcPr>
          <w:p>
            <w:r/>
            <w:r>
              <w:rPr>
                <w:b w:val="0"/>
                <w:i w:val="0"/>
                <w:color w:val="2C2C2C"/>
                <w:sz w:val="19"/>
              </w:rPr>
              <w:t>Icon shrank to 36×36px on mobile, shrinking the tap target with it</w:t>
            </w:r>
          </w:p>
        </w:tc>
        <w:tc>
          <w:tcPr>
            <w:tcW w:type="dxa" w:w="3600"/>
          </w:tcPr>
          <w:p>
            <w:r/>
            <w:r>
              <w:rPr>
                <w:b w:val="0"/>
                <w:i w:val="0"/>
                <w:color w:val="2C2C2C"/>
                <w:sz w:val="19"/>
              </w:rPr>
              <w:t>`min-width: 44px; min-height: 44px` on the button itself, independent of the icon's visual size</w:t>
            </w:r>
          </w:p>
        </w:tc>
      </w:tr>
      <w:tr>
        <w:tc>
          <w:tcPr>
            <w:tcW w:type="dxa" w:w="3312"/>
          </w:tcPr>
          <w:p>
            <w:r/>
            <w:r>
              <w:rPr>
                <w:b w:val="0"/>
                <w:i w:val="0"/>
                <w:color w:val="2C2C2C"/>
                <w:sz w:val="19"/>
              </w:rPr>
              <w:t>.mood-picker-close / .mood-picker-option</w:t>
            </w:r>
          </w:p>
        </w:tc>
        <w:tc>
          <w:tcPr>
            <w:tcW w:type="dxa" w:w="3600"/>
          </w:tcPr>
          <w:p>
            <w:r/>
            <w:r>
              <w:rPr>
                <w:b w:val="0"/>
                <w:i w:val="0"/>
                <w:color w:val="2C2C2C"/>
                <w:sz w:val="19"/>
              </w:rPr>
              <w:t>~30-32px effective height (padding-only sizing)</w:t>
            </w:r>
          </w:p>
        </w:tc>
        <w:tc>
          <w:tcPr>
            <w:tcW w:type="dxa" w:w="3600"/>
          </w:tcPr>
          <w:p>
            <w:r/>
            <w:r>
              <w:rPr>
                <w:b w:val="0"/>
                <w:i w:val="0"/>
                <w:color w:val="2C2C2C"/>
                <w:sz w:val="19"/>
              </w:rPr>
              <w:t>`min-height: 44px` enforced on every option and the close/cancel control</w:t>
            </w:r>
          </w:p>
        </w:tc>
      </w:tr>
      <w:tr>
        <w:tc>
          <w:tcPr>
            <w:tcW w:type="dxa" w:w="3312"/>
          </w:tcPr>
          <w:p>
            <w:r/>
            <w:r>
              <w:rPr>
                <w:b w:val="0"/>
                <w:i w:val="0"/>
                <w:color w:val="2C2C2C"/>
                <w:sz w:val="19"/>
              </w:rPr>
              <w:t>.sidebar-toggle-btn (ChatBot mobile drawer trigger)</w:t>
            </w:r>
          </w:p>
        </w:tc>
        <w:tc>
          <w:tcPr>
            <w:tcW w:type="dxa" w:w="3600"/>
          </w:tcPr>
          <w:p>
            <w:r/>
            <w:r>
              <w:rPr>
                <w:b w:val="0"/>
                <w:i w:val="0"/>
                <w:color w:val="2C2C2C"/>
                <w:sz w:val="19"/>
              </w:rPr>
              <w:t>Did not exist prior to the mobile drawer refactor</w:t>
            </w:r>
          </w:p>
        </w:tc>
        <w:tc>
          <w:tcPr>
            <w:tcW w:type="dxa" w:w="3600"/>
          </w:tcPr>
          <w:p>
            <w:r/>
            <w:r>
              <w:rPr>
                <w:b w:val="0"/>
                <w:i w:val="0"/>
                <w:color w:val="2C2C2C"/>
                <w:sz w:val="19"/>
              </w:rPr>
              <w:t>Introduced at a fixed `44px x 44px`</w:t>
            </w:r>
          </w:p>
        </w:tc>
      </w:tr>
    </w:tbl>
    <w:p>
      <w:pPr>
        <w:spacing w:after="80"/>
      </w:pPr>
    </w:p>
    <w:p>
      <w:r>
        <w:br w:type="page"/>
      </w:r>
    </w:p>
    <w:p>
      <w:pPr>
        <w:pStyle w:val="Heading1"/>
      </w:pPr>
      <w:r>
        <w:rPr>
          <w:b/>
          <w:i w:val="0"/>
          <w:color w:val="1A2E12"/>
          <w:sz w:val="40"/>
        </w:rPr>
        <w:t>Chapter 4 — Design System Tokens &amp; Component State Machines</w:t>
      </w:r>
    </w:p>
    <w:p>
      <w:pPr>
        <w:pStyle w:val="Heading2"/>
      </w:pPr>
      <w:r>
        <w:rPr>
          <w:b/>
          <w:i w:val="0"/>
          <w:color w:val="1A2E12"/>
          <w:sz w:val="30"/>
        </w:rPr>
        <w:t>4.1 Typography Scale</w:t>
      </w:r>
    </w:p>
    <w:p>
      <w:pPr>
        <w:spacing w:after="160" w:line="276" w:lineRule="auto"/>
      </w:pPr>
      <w:r>
        <w:rPr>
          <w:b w:val="0"/>
          <w:i w:val="0"/>
          <w:color w:val="2C2C2C"/>
          <w:sz w:val="22"/>
        </w:rPr>
        <w:t xml:space="preserve">The entire application typography system is built on a single font family, </w:t>
      </w:r>
      <w:r>
        <w:rPr>
          <w:b/>
          <w:i w:val="0"/>
          <w:color w:val="2C2C2C"/>
          <w:sz w:val="22"/>
        </w:rPr>
        <w:t>Poppins</w:t>
      </w:r>
      <w:r>
        <w:rPr>
          <w:b w:val="0"/>
          <w:i w:val="0"/>
          <w:color w:val="2C2C2C"/>
          <w:sz w:val="22"/>
        </w:rPr>
        <w:t xml:space="preserve">, loaded via Google Fonts </w:t>
      </w:r>
      <w:r>
        <w:rPr>
          <w:rFonts w:ascii="Consolas" w:hAnsi="Consolas"/>
          <w:b w:val="0"/>
          <w:i w:val="0"/>
          <w:color w:val="B3003A"/>
          <w:sz w:val="21"/>
        </w:rPr>
        <w:t>@import</w:t>
      </w:r>
      <w:r>
        <w:rPr>
          <w:b w:val="0"/>
          <w:i w:val="0"/>
          <w:color w:val="2C2C2C"/>
          <w:sz w:val="22"/>
        </w:rPr>
        <w:t xml:space="preserve"> and applied consistently across every page-level stylesheet in the codebase — no secondary typeface is introduced anywhere in the product surface. Weight and size are varied per content role rather than per component, yielding a small, consistent scale: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12"/>
            <w:shd w:val="clear" w:color="auto" w:fill="1A7A6E"/>
          </w:tcPr>
          <w:p>
            <w:r/>
            <w:r>
              <w:rPr>
                <w:b/>
                <w:i w:val="0"/>
                <w:color w:val="FFFFFF"/>
                <w:sz w:val="20"/>
              </w:rPr>
              <w:t>Role</w:t>
            </w:r>
          </w:p>
        </w:tc>
        <w:tc>
          <w:tcPr>
            <w:tcW w:type="dxa" w:w="3312"/>
            <w:shd w:val="clear" w:color="auto" w:fill="1A7A6E"/>
          </w:tcPr>
          <w:p>
            <w:r/>
            <w:r>
              <w:rPr>
                <w:b/>
                <w:i w:val="0"/>
                <w:color w:val="FFFFFF"/>
                <w:sz w:val="20"/>
              </w:rPr>
              <w:t>Representative Weight</w:t>
            </w:r>
          </w:p>
        </w:tc>
        <w:tc>
          <w:tcPr>
            <w:tcW w:type="dxa" w:w="3888"/>
            <w:shd w:val="clear" w:color="auto" w:fill="1A7A6E"/>
          </w:tcPr>
          <w:p>
            <w:r/>
            <w:r>
              <w:rPr>
                <w:b/>
                <w:i w:val="0"/>
                <w:color w:val="FFFFFF"/>
                <w:sz w:val="20"/>
              </w:rPr>
              <w:t>Representative Size Range</w:t>
            </w:r>
          </w:p>
        </w:tc>
      </w:tr>
      <w:tr>
        <w:tc>
          <w:tcPr>
            <w:tcW w:type="dxa" w:w="3312"/>
          </w:tcPr>
          <w:p>
            <w:r/>
            <w:r>
              <w:rPr>
                <w:b w:val="0"/>
                <w:i w:val="0"/>
                <w:color w:val="2C2C2C"/>
                <w:sz w:val="19"/>
              </w:rPr>
              <w:t>Display / section headers</w:t>
            </w:r>
          </w:p>
        </w:tc>
        <w:tc>
          <w:tcPr>
            <w:tcW w:type="dxa" w:w="3312"/>
          </w:tcPr>
          <w:p>
            <w:r/>
            <w:r>
              <w:rPr>
                <w:b w:val="0"/>
                <w:i w:val="0"/>
                <w:color w:val="2C2C2C"/>
                <w:sz w:val="19"/>
              </w:rPr>
              <w:t>500-700 (Medium-Bold)</w:t>
            </w:r>
          </w:p>
        </w:tc>
        <w:tc>
          <w:tcPr>
            <w:tcW w:type="dxa" w:w="3888"/>
          </w:tcPr>
          <w:p>
            <w:r/>
            <w:r>
              <w:rPr>
                <w:b w:val="0"/>
                <w:i w:val="0"/>
                <w:color w:val="2C2C2C"/>
                <w:sz w:val="19"/>
              </w:rPr>
              <w:t>36px - 75px (fluid via `clamp()` on key pages)</w:t>
            </w:r>
          </w:p>
        </w:tc>
      </w:tr>
      <w:tr>
        <w:tc>
          <w:tcPr>
            <w:tcW w:type="dxa" w:w="3312"/>
          </w:tcPr>
          <w:p>
            <w:r/>
            <w:r>
              <w:rPr>
                <w:b w:val="0"/>
                <w:i w:val="0"/>
                <w:color w:val="2C2C2C"/>
                <w:sz w:val="19"/>
              </w:rPr>
              <w:t>Card / component titles</w:t>
            </w:r>
          </w:p>
        </w:tc>
        <w:tc>
          <w:tcPr>
            <w:tcW w:type="dxa" w:w="3312"/>
          </w:tcPr>
          <w:p>
            <w:r/>
            <w:r>
              <w:rPr>
                <w:b w:val="0"/>
                <w:i w:val="0"/>
                <w:color w:val="2C2C2C"/>
                <w:sz w:val="19"/>
              </w:rPr>
              <w:t>500-600 (Medium-SemiBold)</w:t>
            </w:r>
          </w:p>
        </w:tc>
        <w:tc>
          <w:tcPr>
            <w:tcW w:type="dxa" w:w="3888"/>
          </w:tcPr>
          <w:p>
            <w:r/>
            <w:r>
              <w:rPr>
                <w:b w:val="0"/>
                <w:i w:val="0"/>
                <w:color w:val="2C2C2C"/>
                <w:sz w:val="19"/>
              </w:rPr>
              <w:t>18px - 28px</w:t>
            </w:r>
          </w:p>
        </w:tc>
      </w:tr>
      <w:tr>
        <w:tc>
          <w:tcPr>
            <w:tcW w:type="dxa" w:w="3312"/>
          </w:tcPr>
          <w:p>
            <w:r/>
            <w:r>
              <w:rPr>
                <w:b w:val="0"/>
                <w:i w:val="0"/>
                <w:color w:val="2C2C2C"/>
                <w:sz w:val="19"/>
              </w:rPr>
              <w:t>Body copy</w:t>
            </w:r>
          </w:p>
        </w:tc>
        <w:tc>
          <w:tcPr>
            <w:tcW w:type="dxa" w:w="3312"/>
          </w:tcPr>
          <w:p>
            <w:r/>
            <w:r>
              <w:rPr>
                <w:b w:val="0"/>
                <w:i w:val="0"/>
                <w:color w:val="2C2C2C"/>
                <w:sz w:val="19"/>
              </w:rPr>
              <w:t>300-400 (Light-Regular)</w:t>
            </w:r>
          </w:p>
        </w:tc>
        <w:tc>
          <w:tcPr>
            <w:tcW w:type="dxa" w:w="3888"/>
          </w:tcPr>
          <w:p>
            <w:r/>
            <w:r>
              <w:rPr>
                <w:b w:val="0"/>
                <w:i w:val="0"/>
                <w:color w:val="2C2C2C"/>
                <w:sz w:val="19"/>
              </w:rPr>
              <w:t>14px - 20px</w:t>
            </w:r>
          </w:p>
        </w:tc>
      </w:tr>
      <w:tr>
        <w:tc>
          <w:tcPr>
            <w:tcW w:type="dxa" w:w="3312"/>
          </w:tcPr>
          <w:p>
            <w:r/>
            <w:r>
              <w:rPr>
                <w:b w:val="0"/>
                <w:i w:val="0"/>
                <w:color w:val="2C2C2C"/>
                <w:sz w:val="19"/>
              </w:rPr>
              <w:t>Captions / meta text</w:t>
            </w:r>
          </w:p>
        </w:tc>
        <w:tc>
          <w:tcPr>
            <w:tcW w:type="dxa" w:w="3312"/>
          </w:tcPr>
          <w:p>
            <w:r/>
            <w:r>
              <w:rPr>
                <w:b w:val="0"/>
                <w:i w:val="0"/>
                <w:color w:val="2C2C2C"/>
                <w:sz w:val="19"/>
              </w:rPr>
              <w:t>400-500</w:t>
            </w:r>
          </w:p>
        </w:tc>
        <w:tc>
          <w:tcPr>
            <w:tcW w:type="dxa" w:w="3888"/>
          </w:tcPr>
          <w:p>
            <w:r/>
            <w:r>
              <w:rPr>
                <w:b w:val="0"/>
                <w:i w:val="0"/>
                <w:color w:val="2C2C2C"/>
                <w:sz w:val="19"/>
              </w:rPr>
              <w:t>12px - 14px</w:t>
            </w:r>
          </w:p>
        </w:tc>
      </w:tr>
      <w:tr>
        <w:tc>
          <w:tcPr>
            <w:tcW w:type="dxa" w:w="3312"/>
          </w:tcPr>
          <w:p>
            <w:r/>
            <w:r>
              <w:rPr>
                <w:b w:val="0"/>
                <w:i w:val="0"/>
                <w:color w:val="2C2C2C"/>
                <w:sz w:val="19"/>
              </w:rPr>
              <w:t>Primary call-to-action labels</w:t>
            </w:r>
          </w:p>
        </w:tc>
        <w:tc>
          <w:tcPr>
            <w:tcW w:type="dxa" w:w="3312"/>
          </w:tcPr>
          <w:p>
            <w:r/>
            <w:r>
              <w:rPr>
                <w:b w:val="0"/>
                <w:i w:val="0"/>
                <w:color w:val="2C2C2C"/>
                <w:sz w:val="19"/>
              </w:rPr>
              <w:t>600 (SemiBold)</w:t>
            </w:r>
          </w:p>
        </w:tc>
        <w:tc>
          <w:tcPr>
            <w:tcW w:type="dxa" w:w="3888"/>
          </w:tcPr>
          <w:p>
            <w:r/>
            <w:r>
              <w:rPr>
                <w:b w:val="0"/>
                <w:i w:val="0"/>
                <w:color w:val="2C2C2C"/>
                <w:sz w:val="19"/>
              </w:rPr>
              <w:t>16px - 18px</w:t>
            </w:r>
          </w:p>
        </w:tc>
      </w:tr>
    </w:tbl>
    <w:p>
      <w:pPr>
        <w:spacing w:after="80"/>
      </w:pPr>
    </w:p>
    <w:p>
      <w:pPr>
        <w:pStyle w:val="Heading2"/>
      </w:pPr>
      <w:r>
        <w:rPr>
          <w:b/>
          <w:i w:val="0"/>
          <w:color w:val="1A2E12"/>
          <w:sz w:val="30"/>
        </w:rPr>
        <w:t>4.2 Color Palette Tokens</w:t>
      </w:r>
    </w:p>
    <w:p>
      <w:pPr>
        <w:spacing w:before="120" w:after="200"/>
        <w:ind w:left="504"/>
        <w:shd w:val="clear" w:color="auto" w:fill="F7F7F7"/>
      </w:pPr>
      <w:r>
        <w:rPr>
          <w:b/>
          <w:i/>
          <w:color w:val="1A7A6E"/>
          <w:sz w:val="21"/>
        </w:rPr>
        <w:t xml:space="preserve">Verified against source. </w:t>
      </w:r>
      <w:r>
        <w:rPr>
          <w:b w:val="0"/>
          <w:i/>
          <w:color w:val="2C2C2C"/>
          <w:sz w:val="21"/>
        </w:rPr>
        <w:t>The palette below reflects the application's actual, centrally-declared CSS custom properties (found consistently across `UserProfile.css`, `StaticPages/tokens.css`, and the majority of feature stylesheets) — not an idealized or aspirational token set.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1A7A6E"/>
          </w:tcPr>
          <w:p>
            <w:r/>
            <w:r>
              <w:rPr>
                <w:b/>
                <w:i w:val="0"/>
                <w:color w:val="FFFFFF"/>
                <w:sz w:val="20"/>
              </w:rPr>
              <w:t>Token Name</w:t>
            </w:r>
          </w:p>
        </w:tc>
        <w:tc>
          <w:tcPr>
            <w:tcW w:type="dxa" w:w="1872"/>
            <w:shd w:val="clear" w:color="auto" w:fill="1A7A6E"/>
          </w:tcPr>
          <w:p>
            <w:r/>
            <w:r>
              <w:rPr>
                <w:b/>
                <w:i w:val="0"/>
                <w:color w:val="FFFFFF"/>
                <w:sz w:val="20"/>
              </w:rPr>
              <w:t>Hex Value</w:t>
            </w:r>
          </w:p>
        </w:tc>
        <w:tc>
          <w:tcPr>
            <w:tcW w:type="dxa" w:w="4752"/>
            <w:shd w:val="clear" w:color="auto" w:fill="1A7A6E"/>
          </w:tcPr>
          <w:p>
            <w:r/>
            <w:r>
              <w:rPr>
                <w:b/>
                <w:i w:val="0"/>
                <w:color w:val="FFFFFF"/>
                <w:sz w:val="20"/>
              </w:rPr>
              <w:t>Role</w:t>
            </w:r>
          </w:p>
        </w:tc>
      </w:tr>
      <w:tr>
        <w:tc>
          <w:tcPr>
            <w:tcW w:type="dxa" w:w="2880"/>
          </w:tcPr>
          <w:p>
            <w:r/>
            <w:r>
              <w:rPr>
                <w:b w:val="0"/>
                <w:i w:val="0"/>
                <w:color w:val="2C2C2C"/>
                <w:sz w:val="19"/>
              </w:rPr>
              <w:t>--Primary</w:t>
            </w:r>
          </w:p>
        </w:tc>
        <w:tc>
          <w:tcPr>
            <w:tcW w:type="dxa" w:w="1872"/>
          </w:tcPr>
          <w:p>
            <w:r/>
            <w:r>
              <w:rPr>
                <w:b w:val="0"/>
                <w:i w:val="0"/>
                <w:color w:val="2C2C2C"/>
                <w:sz w:val="19"/>
              </w:rPr>
              <w:t>#7F89E9</w:t>
            </w:r>
          </w:p>
        </w:tc>
        <w:tc>
          <w:tcPr>
            <w:tcW w:type="dxa" w:w="4752"/>
          </w:tcPr>
          <w:p>
            <w:r/>
            <w:r>
              <w:rPr>
                <w:b w:val="0"/>
                <w:i w:val="0"/>
                <w:color w:val="2C2C2C"/>
                <w:sz w:val="19"/>
              </w:rPr>
              <w:t>Primary brand accent — buttons, links, active states, icon fills</w:t>
            </w:r>
          </w:p>
        </w:tc>
      </w:tr>
      <w:tr>
        <w:tc>
          <w:tcPr>
            <w:tcW w:type="dxa" w:w="2880"/>
          </w:tcPr>
          <w:p>
            <w:r/>
            <w:r>
              <w:rPr>
                <w:b w:val="0"/>
                <w:i w:val="0"/>
                <w:color w:val="2C2C2C"/>
                <w:sz w:val="19"/>
              </w:rPr>
              <w:t>--Secondary</w:t>
            </w:r>
          </w:p>
        </w:tc>
        <w:tc>
          <w:tcPr>
            <w:tcW w:type="dxa" w:w="1872"/>
          </w:tcPr>
          <w:p>
            <w:r/>
            <w:r>
              <w:rPr>
                <w:b w:val="0"/>
                <w:i w:val="0"/>
                <w:color w:val="2C2C2C"/>
                <w:sz w:val="19"/>
              </w:rPr>
              <w:t>#A87CC7</w:t>
            </w:r>
          </w:p>
        </w:tc>
        <w:tc>
          <w:tcPr>
            <w:tcW w:type="dxa" w:w="4752"/>
          </w:tcPr>
          <w:p>
            <w:r/>
            <w:r>
              <w:rPr>
                <w:b w:val="0"/>
                <w:i w:val="0"/>
                <w:color w:val="2C2C2C"/>
                <w:sz w:val="19"/>
              </w:rPr>
              <w:t>Secondary accent — gradient endpoints, complementary highlights</w:t>
            </w:r>
          </w:p>
        </w:tc>
      </w:tr>
      <w:tr>
        <w:tc>
          <w:tcPr>
            <w:tcW w:type="dxa" w:w="2880"/>
          </w:tcPr>
          <w:p>
            <w:r/>
            <w:r>
              <w:rPr>
                <w:b w:val="0"/>
                <w:i w:val="0"/>
                <w:color w:val="2C2C2C"/>
                <w:sz w:val="19"/>
              </w:rPr>
              <w:t>--Accent-Green</w:t>
            </w:r>
          </w:p>
        </w:tc>
        <w:tc>
          <w:tcPr>
            <w:tcW w:type="dxa" w:w="1872"/>
          </w:tcPr>
          <w:p>
            <w:r/>
            <w:r>
              <w:rPr>
                <w:b w:val="0"/>
                <w:i w:val="0"/>
                <w:color w:val="2C2C2C"/>
                <w:sz w:val="19"/>
              </w:rPr>
              <w:t>#658852</w:t>
            </w:r>
          </w:p>
        </w:tc>
        <w:tc>
          <w:tcPr>
            <w:tcW w:type="dxa" w:w="4752"/>
          </w:tcPr>
          <w:p>
            <w:r/>
            <w:r>
              <w:rPr>
                <w:b w:val="0"/>
                <w:i w:val="0"/>
                <w:color w:val="2C2C2C"/>
                <w:sz w:val="19"/>
              </w:rPr>
              <w:t>Tertiary gradient stop; positive/success-adjacent accents</w:t>
            </w:r>
          </w:p>
        </w:tc>
      </w:tr>
      <w:tr>
        <w:tc>
          <w:tcPr>
            <w:tcW w:type="dxa" w:w="2880"/>
          </w:tcPr>
          <w:p>
            <w:r/>
            <w:r>
              <w:rPr>
                <w:b w:val="0"/>
                <w:i w:val="0"/>
                <w:color w:val="2C2C2C"/>
                <w:sz w:val="19"/>
              </w:rPr>
              <w:t>--Color-2 (emphasis)</w:t>
            </w:r>
          </w:p>
        </w:tc>
        <w:tc>
          <w:tcPr>
            <w:tcW w:type="dxa" w:w="1872"/>
          </w:tcPr>
          <w:p>
            <w:r/>
            <w:r>
              <w:rPr>
                <w:b w:val="0"/>
                <w:i w:val="0"/>
                <w:color w:val="2C2C2C"/>
                <w:sz w:val="19"/>
              </w:rPr>
              <w:t>#1A2E12</w:t>
            </w:r>
          </w:p>
        </w:tc>
        <w:tc>
          <w:tcPr>
            <w:tcW w:type="dxa" w:w="4752"/>
          </w:tcPr>
          <w:p>
            <w:r/>
            <w:r>
              <w:rPr>
                <w:b w:val="0"/>
                <w:i w:val="0"/>
                <w:color w:val="2C2C2C"/>
                <w:sz w:val="19"/>
              </w:rPr>
              <w:t>Dark-green near-black — primary heading and emphasis text color</w:t>
            </w:r>
          </w:p>
        </w:tc>
      </w:tr>
      <w:tr>
        <w:tc>
          <w:tcPr>
            <w:tcW w:type="dxa" w:w="2880"/>
          </w:tcPr>
          <w:p>
            <w:r/>
            <w:r>
              <w:rPr>
                <w:b w:val="0"/>
                <w:i w:val="0"/>
                <w:color w:val="2C2C2C"/>
                <w:sz w:val="19"/>
              </w:rPr>
              <w:t>--Base</w:t>
            </w:r>
          </w:p>
        </w:tc>
        <w:tc>
          <w:tcPr>
            <w:tcW w:type="dxa" w:w="1872"/>
          </w:tcPr>
          <w:p>
            <w:r/>
            <w:r>
              <w:rPr>
                <w:b w:val="0"/>
                <w:i w:val="0"/>
                <w:color w:val="2C2C2C"/>
                <w:sz w:val="19"/>
              </w:rPr>
              <w:t>#F0F0F0</w:t>
            </w:r>
          </w:p>
        </w:tc>
        <w:tc>
          <w:tcPr>
            <w:tcW w:type="dxa" w:w="4752"/>
          </w:tcPr>
          <w:p>
            <w:r/>
            <w:r>
              <w:rPr>
                <w:b w:val="0"/>
                <w:i w:val="0"/>
                <w:color w:val="2C2C2C"/>
                <w:sz w:val="19"/>
              </w:rPr>
              <w:t>Primary light background surface</w:t>
            </w:r>
          </w:p>
        </w:tc>
      </w:tr>
      <w:tr>
        <w:tc>
          <w:tcPr>
            <w:tcW w:type="dxa" w:w="2880"/>
          </w:tcPr>
          <w:p>
            <w:r/>
            <w:r>
              <w:rPr>
                <w:b w:val="0"/>
                <w:i w:val="0"/>
                <w:color w:val="2C2C2C"/>
                <w:sz w:val="19"/>
              </w:rPr>
              <w:t>--light-gray</w:t>
            </w:r>
          </w:p>
        </w:tc>
        <w:tc>
          <w:tcPr>
            <w:tcW w:type="dxa" w:w="1872"/>
          </w:tcPr>
          <w:p>
            <w:r/>
            <w:r>
              <w:rPr>
                <w:b w:val="0"/>
                <w:i w:val="0"/>
                <w:color w:val="2C2C2C"/>
                <w:sz w:val="19"/>
              </w:rPr>
              <w:t>#D2D5DE</w:t>
            </w:r>
          </w:p>
        </w:tc>
        <w:tc>
          <w:tcPr>
            <w:tcW w:type="dxa" w:w="4752"/>
          </w:tcPr>
          <w:p>
            <w:r/>
            <w:r>
              <w:rPr>
                <w:b w:val="0"/>
                <w:i w:val="0"/>
                <w:color w:val="2C2C2C"/>
                <w:sz w:val="19"/>
              </w:rPr>
              <w:t>Borders, muted surfaces, inactive-state fills</w:t>
            </w:r>
          </w:p>
        </w:tc>
      </w:tr>
      <w:tr>
        <w:tc>
          <w:tcPr>
            <w:tcW w:type="dxa" w:w="2880"/>
          </w:tcPr>
          <w:p>
            <w:r/>
            <w:r>
              <w:rPr>
                <w:b w:val="0"/>
                <w:i w:val="0"/>
                <w:color w:val="2C2C2C"/>
                <w:sz w:val="19"/>
              </w:rPr>
              <w:t>Body text gray</w:t>
            </w:r>
          </w:p>
        </w:tc>
        <w:tc>
          <w:tcPr>
            <w:tcW w:type="dxa" w:w="1872"/>
          </w:tcPr>
          <w:p>
            <w:r/>
            <w:r>
              <w:rPr>
                <w:b w:val="0"/>
                <w:i w:val="0"/>
                <w:color w:val="2C2C2C"/>
                <w:sz w:val="19"/>
              </w:rPr>
              <w:t>#595959 / #292929</w:t>
            </w:r>
          </w:p>
        </w:tc>
        <w:tc>
          <w:tcPr>
            <w:tcW w:type="dxa" w:w="4752"/>
          </w:tcPr>
          <w:p>
            <w:r/>
            <w:r>
              <w:rPr>
                <w:b w:val="0"/>
                <w:i w:val="0"/>
                <w:color w:val="2C2C2C"/>
                <w:sz w:val="19"/>
              </w:rPr>
              <w:t>Secondary body copy and card text (used inline, not tokenized)</w:t>
            </w:r>
          </w:p>
        </w:tc>
      </w:tr>
    </w:tbl>
    <w:p>
      <w:pPr>
        <w:spacing w:after="80"/>
      </w:pPr>
    </w:p>
    <w:p>
      <w:pPr>
        <w:pStyle w:val="Heading2"/>
      </w:pPr>
      <w:r>
        <w:rPr>
          <w:b/>
          <w:i w:val="0"/>
          <w:color w:val="1A2E12"/>
          <w:sz w:val="30"/>
        </w:rPr>
        <w:t>4.3 Component Interaction State Machines</w:t>
      </w:r>
    </w:p>
    <w:p>
      <w:pPr>
        <w:spacing w:after="160" w:line="276" w:lineRule="auto"/>
      </w:pPr>
      <w:r>
        <w:rPr>
          <w:b w:val="0"/>
          <w:i w:val="0"/>
          <w:color w:val="2C2C2C"/>
          <w:sz w:val="22"/>
        </w:rPr>
        <w:t>Interactive components across the codebase follow a consistent, repeated state-machine pattern rather than each component inventing its own transition logic:</w:t>
      </w:r>
    </w:p>
    <w:p>
      <w:pPr>
        <w:pStyle w:val="ListBullet"/>
        <w:spacing w:after="80"/>
      </w:pPr>
      <w:r>
        <w:rPr>
          <w:b/>
          <w:i w:val="0"/>
          <w:color w:val="2C2C2C"/>
          <w:sz w:val="22"/>
        </w:rPr>
        <w:t>Hover</w:t>
      </w:r>
      <w:r>
        <w:rPr>
          <w:b w:val="0"/>
          <w:i w:val="0"/>
          <w:color w:val="2C2C2C"/>
          <w:sz w:val="22"/>
        </w:rPr>
        <w:t xml:space="preserve"> — a </w:t>
      </w:r>
      <w:r>
        <w:rPr>
          <w:rFonts w:ascii="Consolas" w:hAnsi="Consolas"/>
          <w:b w:val="0"/>
          <w:i w:val="0"/>
          <w:color w:val="B3003A"/>
          <w:sz w:val="21"/>
        </w:rPr>
        <w:t>transform: translateY(-Npx)</w:t>
      </w:r>
      <w:r>
        <w:rPr>
          <w:b w:val="0"/>
          <w:i w:val="0"/>
          <w:color w:val="2C2C2C"/>
          <w:sz w:val="22"/>
        </w:rPr>
        <w:t xml:space="preserve"> lift (typically 3-10px) combined with an </w:t>
      </w:r>
      <w:r>
        <w:rPr>
          <w:rFonts w:ascii="Consolas" w:hAnsi="Consolas"/>
          <w:b w:val="0"/>
          <w:i w:val="0"/>
          <w:color w:val="B3003A"/>
          <w:sz w:val="21"/>
        </w:rPr>
        <w:t>opacity</w:t>
      </w:r>
      <w:r>
        <w:rPr>
          <w:b w:val="0"/>
          <w:i w:val="0"/>
          <w:color w:val="2C2C2C"/>
          <w:sz w:val="22"/>
        </w:rPr>
        <w:t xml:space="preserve"> or </w:t>
      </w:r>
      <w:r>
        <w:rPr>
          <w:rFonts w:ascii="Consolas" w:hAnsi="Consolas"/>
          <w:b w:val="0"/>
          <w:i w:val="0"/>
          <w:color w:val="B3003A"/>
          <w:sz w:val="21"/>
        </w:rPr>
        <w:t>box-shadow</w:t>
      </w:r>
      <w:r>
        <w:rPr>
          <w:b w:val="0"/>
          <w:i w:val="0"/>
          <w:color w:val="2C2C2C"/>
          <w:sz w:val="22"/>
        </w:rPr>
        <w:t xml:space="preserve"> intensification, applied via a </w:t>
      </w:r>
      <w:r>
        <w:rPr>
          <w:rFonts w:ascii="Consolas" w:hAnsi="Consolas"/>
          <w:b w:val="0"/>
          <w:i w:val="0"/>
          <w:color w:val="B3003A"/>
          <w:sz w:val="21"/>
        </w:rPr>
        <w:t>transition: transform 0.2s-0.3s ease</w:t>
      </w:r>
      <w:r>
        <w:rPr>
          <w:b w:val="0"/>
          <w:i w:val="0"/>
          <w:color w:val="2C2C2C"/>
          <w:sz w:val="22"/>
        </w:rPr>
        <w:t xml:space="preserve"> (or </w:t>
      </w:r>
      <w:r>
        <w:rPr>
          <w:rFonts w:ascii="Consolas" w:hAnsi="Consolas"/>
          <w:b w:val="0"/>
          <w:i w:val="0"/>
          <w:color w:val="B3003A"/>
          <w:sz w:val="21"/>
        </w:rPr>
        <w:t>all 0.3s</w:t>
      </w:r>
      <w:r>
        <w:rPr>
          <w:b w:val="0"/>
          <w:i w:val="0"/>
          <w:color w:val="2C2C2C"/>
          <w:sz w:val="22"/>
        </w:rPr>
        <w:t xml:space="preserve">) declaration on the resting state, so the transition is defined once and triggered purely by the </w:t>
      </w:r>
      <w:r>
        <w:rPr>
          <w:rFonts w:ascii="Consolas" w:hAnsi="Consolas"/>
          <w:b w:val="0"/>
          <w:i w:val="0"/>
          <w:color w:val="B3003A"/>
          <w:sz w:val="21"/>
        </w:rPr>
        <w:t>:hover</w:t>
      </w:r>
      <w:r>
        <w:rPr>
          <w:b w:val="0"/>
          <w:i w:val="0"/>
          <w:color w:val="2C2C2C"/>
          <w:sz w:val="22"/>
        </w:rPr>
        <w:t xml:space="preserve"> pseudo-class rather than by JavaScript.</w:t>
      </w:r>
    </w:p>
    <w:p>
      <w:pPr>
        <w:pStyle w:val="ListBullet"/>
        <w:spacing w:after="80"/>
      </w:pPr>
      <w:r>
        <w:rPr>
          <w:b/>
          <w:i w:val="0"/>
          <w:color w:val="2C2C2C"/>
          <w:sz w:val="22"/>
        </w:rPr>
        <w:t>Active / selected</w:t>
      </w:r>
      <w:r>
        <w:rPr>
          <w:b w:val="0"/>
          <w:i w:val="0"/>
          <w:color w:val="2C2C2C"/>
          <w:sz w:val="22"/>
        </w:rPr>
        <w:t xml:space="preserve"> — a dedicated modifier class (</w:t>
      </w:r>
      <w:r>
        <w:rPr>
          <w:rFonts w:ascii="Consolas" w:hAnsi="Consolas"/>
          <w:b w:val="0"/>
          <w:i w:val="0"/>
          <w:color w:val="B3003A"/>
          <w:sz w:val="21"/>
        </w:rPr>
        <w:t>.active</w:t>
      </w:r>
      <w:r>
        <w:rPr>
          <w:b w:val="0"/>
          <w:i w:val="0"/>
          <w:color w:val="2C2C2C"/>
          <w:sz w:val="22"/>
        </w:rPr>
        <w:t xml:space="preserve">, </w:t>
      </w:r>
      <w:r>
        <w:rPr>
          <w:rFonts w:ascii="Consolas" w:hAnsi="Consolas"/>
          <w:b w:val="0"/>
          <w:i w:val="0"/>
          <w:color w:val="B3003A"/>
          <w:sz w:val="21"/>
        </w:rPr>
        <w:t>.selected</w:t>
      </w:r>
      <w:r>
        <w:rPr>
          <w:b w:val="0"/>
          <w:i w:val="0"/>
          <w:color w:val="2C2C2C"/>
          <w:sz w:val="22"/>
        </w:rPr>
        <w:t xml:space="preserve">, </w:t>
      </w:r>
      <w:r>
        <w:rPr>
          <w:rFonts w:ascii="Consolas" w:hAnsi="Consolas"/>
          <w:b w:val="0"/>
          <w:i w:val="0"/>
          <w:color w:val="B3003A"/>
          <w:sz w:val="21"/>
        </w:rPr>
        <w:t>.completed</w:t>
      </w:r>
      <w:r>
        <w:rPr>
          <w:b w:val="0"/>
          <w:i w:val="0"/>
          <w:color w:val="2C2C2C"/>
          <w:sz w:val="22"/>
        </w:rPr>
        <w:t xml:space="preserve">) swaps the background/border color and, where relevant (habit cards, day pills), applies a </w:t>
      </w:r>
      <w:r>
        <w:rPr>
          <w:rFonts w:ascii="Consolas" w:hAnsi="Consolas"/>
          <w:b w:val="0"/>
          <w:i w:val="0"/>
          <w:color w:val="B3003A"/>
          <w:sz w:val="21"/>
        </w:rPr>
        <w:t>box-shadow</w:t>
      </w:r>
      <w:r>
        <w:rPr>
          <w:b w:val="0"/>
          <w:i w:val="0"/>
          <w:color w:val="2C2C2C"/>
          <w:sz w:val="22"/>
        </w:rPr>
        <w:t xml:space="preserve"> ring or checkmark badge — never relying on the </w:t>
      </w:r>
      <w:r>
        <w:rPr>
          <w:rFonts w:ascii="Consolas" w:hAnsi="Consolas"/>
          <w:b w:val="0"/>
          <w:i w:val="0"/>
          <w:color w:val="B3003A"/>
          <w:sz w:val="21"/>
        </w:rPr>
        <w:t>:active</w:t>
      </w:r>
      <w:r>
        <w:rPr>
          <w:b w:val="0"/>
          <w:i w:val="0"/>
          <w:color w:val="2C2C2C"/>
          <w:sz w:val="22"/>
        </w:rPr>
        <w:t xml:space="preserve"> pseudo-class alone, since selection state in this application is typically persistent (server-backed) rather than a momentary press.</w:t>
      </w:r>
    </w:p>
    <w:p>
      <w:pPr>
        <w:pStyle w:val="ListBullet"/>
        <w:spacing w:after="80"/>
      </w:pPr>
      <w:r>
        <w:rPr>
          <w:b/>
          <w:i w:val="0"/>
          <w:color w:val="2C2C2C"/>
          <w:sz w:val="22"/>
        </w:rPr>
        <w:t>Loading</w:t>
      </w:r>
      <w:r>
        <w:rPr>
          <w:b w:val="0"/>
          <w:i w:val="0"/>
          <w:color w:val="2C2C2C"/>
          <w:sz w:val="22"/>
        </w:rPr>
        <w:t xml:space="preserve"> — asynchronous actions (message send, journal save, password change, profile update) drive a local </w:t>
      </w:r>
      <w:r>
        <w:rPr>
          <w:rFonts w:ascii="Consolas" w:hAnsi="Consolas"/>
          <w:b w:val="0"/>
          <w:i w:val="0"/>
          <w:color w:val="B3003A"/>
          <w:sz w:val="21"/>
        </w:rPr>
        <w:t>isLoading</w:t>
      </w:r>
      <w:r>
        <w:rPr>
          <w:b w:val="0"/>
          <w:i w:val="0"/>
          <w:color w:val="2C2C2C"/>
          <w:sz w:val="22"/>
        </w:rPr>
        <w:t>/</w:t>
      </w:r>
      <w:r>
        <w:rPr>
          <w:rFonts w:ascii="Consolas" w:hAnsi="Consolas"/>
          <w:b w:val="0"/>
          <w:i w:val="0"/>
          <w:color w:val="B3003A"/>
          <w:sz w:val="21"/>
        </w:rPr>
        <w:t>saving</w:t>
      </w:r>
      <w:r>
        <w:rPr>
          <w:b w:val="0"/>
          <w:i w:val="0"/>
          <w:color w:val="2C2C2C"/>
          <w:sz w:val="22"/>
        </w:rPr>
        <w:t xml:space="preserve"> boolean that both disables the triggering control (</w:t>
      </w:r>
      <w:r>
        <w:rPr>
          <w:rFonts w:ascii="Consolas" w:hAnsi="Consolas"/>
          <w:b w:val="0"/>
          <w:i w:val="0"/>
          <w:color w:val="B3003A"/>
          <w:sz w:val="21"/>
        </w:rPr>
        <w:t>disabled={isLoading}</w:t>
      </w:r>
      <w:r>
        <w:rPr>
          <w:b w:val="0"/>
          <w:i w:val="0"/>
          <w:color w:val="2C2C2C"/>
          <w:sz w:val="22"/>
        </w:rPr>
        <w:t xml:space="preserve">) and swaps its label text (e.g. </w:t>
      </w:r>
      <w:r>
        <w:rPr>
          <w:rFonts w:ascii="Consolas" w:hAnsi="Consolas"/>
          <w:b w:val="0"/>
          <w:i w:val="0"/>
          <w:color w:val="B3003A"/>
          <w:sz w:val="21"/>
        </w:rPr>
        <w:t>"Saving…"</w:t>
      </w:r>
      <w:r>
        <w:rPr>
          <w:b w:val="0"/>
          <w:i w:val="0"/>
          <w:color w:val="2C2C2C"/>
          <w:sz w:val="22"/>
        </w:rPr>
        <w:t>), preventing duplicate submissions without introducing a separate spinner component or measurable layout shift.</w:t>
      </w:r>
    </w:p>
    <w:p>
      <w:pPr>
        <w:pStyle w:val="ListBullet"/>
        <w:spacing w:after="80"/>
      </w:pPr>
      <w:r>
        <w:rPr>
          <w:b/>
          <w:i w:val="0"/>
          <w:color w:val="2C2C2C"/>
          <w:sz w:val="22"/>
        </w:rPr>
        <w:t>Disabled</w:t>
      </w:r>
      <w:r>
        <w:rPr>
          <w:b w:val="0"/>
          <w:i w:val="0"/>
          <w:color w:val="2C2C2C"/>
          <w:sz w:val="22"/>
        </w:rPr>
        <w:t xml:space="preserve"> — a uniform </w:t>
      </w:r>
      <w:r>
        <w:rPr>
          <w:rFonts w:ascii="Consolas" w:hAnsi="Consolas"/>
          <w:b w:val="0"/>
          <w:i w:val="0"/>
          <w:color w:val="B3003A"/>
          <w:sz w:val="21"/>
        </w:rPr>
        <w:t>opacity: 0.6; cursor: default</w:t>
      </w:r>
      <w:r>
        <w:rPr>
          <w:b w:val="0"/>
          <w:i w:val="0"/>
          <w:color w:val="2C2C2C"/>
          <w:sz w:val="22"/>
        </w:rPr>
        <w:t xml:space="preserve"> pairing is applied via </w:t>
      </w:r>
      <w:r>
        <w:rPr>
          <w:rFonts w:ascii="Consolas" w:hAnsi="Consolas"/>
          <w:b w:val="0"/>
          <w:i w:val="0"/>
          <w:color w:val="B3003A"/>
          <w:sz w:val="21"/>
        </w:rPr>
        <w:t>:disabled</w:t>
      </w:r>
      <w:r>
        <w:rPr>
          <w:b w:val="0"/>
          <w:i w:val="0"/>
          <w:color w:val="2C2C2C"/>
          <w:sz w:val="22"/>
        </w:rPr>
        <w:t xml:space="preserve"> across essentially every button in the codebase, giving the disabled affordance a single consistent visual signature regardless of which feature area the control belongs to.</w:t>
      </w:r>
    </w:p>
    <w:p>
      <w:pPr>
        <w:spacing w:after="160" w:line="276" w:lineRule="auto"/>
      </w:pPr>
      <w:r>
        <w:rPr>
          <w:b w:val="0"/>
          <w:i w:val="0"/>
          <w:color w:val="2C2C2C"/>
          <w:sz w:val="22"/>
        </w:rPr>
        <w:t xml:space="preserve">This consistency is a deliberate performance and maintainability property: because every state transition is expressed as a CSS </w:t>
      </w:r>
      <w:r>
        <w:rPr>
          <w:rFonts w:ascii="Consolas" w:hAnsi="Consolas"/>
          <w:b w:val="0"/>
          <w:i w:val="0"/>
          <w:color w:val="B3003A"/>
          <w:sz w:val="21"/>
        </w:rPr>
        <w:t>transform</w:t>
      </w:r>
      <w:r>
        <w:rPr>
          <w:b w:val="0"/>
          <w:i w:val="0"/>
          <w:color w:val="2C2C2C"/>
          <w:sz w:val="22"/>
        </w:rPr>
        <w:t>/</w:t>
      </w:r>
      <w:r>
        <w:rPr>
          <w:rFonts w:ascii="Consolas" w:hAnsi="Consolas"/>
          <w:b w:val="0"/>
          <w:i w:val="0"/>
          <w:color w:val="B3003A"/>
          <w:sz w:val="21"/>
        </w:rPr>
        <w:t>opacity</w:t>
      </w:r>
      <w:r>
        <w:rPr>
          <w:b w:val="0"/>
          <w:i w:val="0"/>
          <w:color w:val="2C2C2C"/>
          <w:sz w:val="22"/>
        </w:rPr>
        <w:t>/color change rather than a layout-affecting property (</w:t>
      </w:r>
      <w:r>
        <w:rPr>
          <w:rFonts w:ascii="Consolas" w:hAnsi="Consolas"/>
          <w:b w:val="0"/>
          <w:i w:val="0"/>
          <w:color w:val="B3003A"/>
          <w:sz w:val="21"/>
        </w:rPr>
        <w:t>width</w:t>
      </w:r>
      <w:r>
        <w:rPr>
          <w:b w:val="0"/>
          <w:i w:val="0"/>
          <w:color w:val="2C2C2C"/>
          <w:sz w:val="22"/>
        </w:rPr>
        <w:t xml:space="preserve">, </w:t>
      </w:r>
      <w:r>
        <w:rPr>
          <w:rFonts w:ascii="Consolas" w:hAnsi="Consolas"/>
          <w:b w:val="0"/>
          <w:i w:val="0"/>
          <w:color w:val="B3003A"/>
          <w:sz w:val="21"/>
        </w:rPr>
        <w:t>height</w:t>
      </w:r>
      <w:r>
        <w:rPr>
          <w:b w:val="0"/>
          <w:i w:val="0"/>
          <w:color w:val="2C2C2C"/>
          <w:sz w:val="22"/>
        </w:rPr>
        <w:t xml:space="preserve">, </w:t>
      </w:r>
      <w:r>
        <w:rPr>
          <w:rFonts w:ascii="Consolas" w:hAnsi="Consolas"/>
          <w:b w:val="0"/>
          <w:i w:val="0"/>
          <w:color w:val="B3003A"/>
          <w:sz w:val="21"/>
        </w:rPr>
        <w:t>margin</w:t>
      </w:r>
      <w:r>
        <w:rPr>
          <w:b w:val="0"/>
          <w:i w:val="0"/>
          <w:color w:val="2C2C2C"/>
          <w:sz w:val="22"/>
        </w:rPr>
        <w:t xml:space="preserve"> outside of explicitly designed breakpoint rules), the browser can composite these transitions on the GPU without triggering synchronous layout reflow, keeping interaction feedback fluid even on lower-powered mobile hardware.</w:t>
      </w:r>
    </w:p>
    <w:p>
      <w:r>
        <w:br w:type="page"/>
      </w:r>
    </w:p>
    <w:p>
      <w:pPr>
        <w:pStyle w:val="Heading1"/>
      </w:pPr>
      <w:r>
        <w:rPr>
          <w:b/>
          <w:i w:val="0"/>
          <w:color w:val="1A2E12"/>
          <w:sz w:val="40"/>
        </w:rPr>
        <w:t>Chapter 5 — Network Engineering, Client Auth, and Local State Safeties</w:t>
      </w:r>
    </w:p>
    <w:p>
      <w:pPr>
        <w:pStyle w:val="Heading2"/>
      </w:pPr>
      <w:r>
        <w:rPr>
          <w:b/>
          <w:i w:val="0"/>
          <w:color w:val="1A2E12"/>
          <w:sz w:val="30"/>
        </w:rPr>
        <w:t>5.1 Development Environment Engineering</w:t>
      </w:r>
    </w:p>
    <w:p>
      <w:pPr>
        <w:spacing w:after="160" w:line="276" w:lineRule="auto"/>
      </w:pPr>
      <w:r>
        <w:rPr>
          <w:b w:val="0"/>
          <w:i w:val="0"/>
          <w:color w:val="2C2C2C"/>
          <w:sz w:val="22"/>
        </w:rPr>
        <w:t xml:space="preserve">The Vite development server is configured in </w:t>
      </w:r>
      <w:r>
        <w:rPr>
          <w:rFonts w:ascii="Consolas" w:hAnsi="Consolas"/>
          <w:b w:val="0"/>
          <w:i w:val="0"/>
          <w:color w:val="B3003A"/>
          <w:sz w:val="21"/>
        </w:rPr>
        <w:t>vite.config.js</w:t>
      </w:r>
      <w:r>
        <w:rPr>
          <w:b w:val="0"/>
          <w:i w:val="0"/>
          <w:color w:val="2C2C2C"/>
          <w:sz w:val="22"/>
        </w:rPr>
        <w:t xml:space="preserve"> with an explicit </w:t>
      </w:r>
      <w:r>
        <w:rPr>
          <w:rFonts w:ascii="Consolas" w:hAnsi="Consolas"/>
          <w:b w:val="0"/>
          <w:i w:val="0"/>
          <w:color w:val="B3003A"/>
          <w:sz w:val="21"/>
        </w:rPr>
        <w:t>server.port: 5173</w:t>
      </w:r>
      <w:r>
        <w:rPr>
          <w:b w:val="0"/>
          <w:i w:val="0"/>
          <w:color w:val="2C2C2C"/>
          <w:sz w:val="22"/>
        </w:rPr>
        <w:t xml:space="preserve"> and a request proxy for the </w:t>
      </w:r>
      <w:r>
        <w:rPr>
          <w:rFonts w:ascii="Consolas" w:hAnsi="Consolas"/>
          <w:b w:val="0"/>
          <w:i w:val="0"/>
          <w:color w:val="B3003A"/>
          <w:sz w:val="21"/>
        </w:rPr>
        <w:t>/api</w:t>
      </w:r>
      <w:r>
        <w:rPr>
          <w:b w:val="0"/>
          <w:i w:val="0"/>
          <w:color w:val="2C2C2C"/>
          <w:sz w:val="22"/>
        </w:rPr>
        <w:t xml:space="preserve"> path prefix, forwarding every matching request to the Django backend at </w:t>
      </w:r>
      <w:r>
        <w:rPr>
          <w:rFonts w:ascii="Consolas" w:hAnsi="Consolas"/>
          <w:b w:val="0"/>
          <w:i w:val="0"/>
          <w:color w:val="B3003A"/>
          <w:sz w:val="21"/>
        </w:rPr>
        <w:t>http://127.0.0.1:8000</w:t>
      </w:r>
      <w:r>
        <w:rPr>
          <w:b w:val="0"/>
          <w:i w:val="0"/>
          <w:color w:val="2C2C2C"/>
          <w:sz w:val="22"/>
        </w:rPr>
        <w:t xml:space="preserve">. This proxy configuration is itself a deliberate CORS-avoidance strategy for local development: because the browser only ever communicates with </w:t>
      </w:r>
      <w:r>
        <w:rPr>
          <w:rFonts w:ascii="Consolas" w:hAnsi="Consolas"/>
          <w:b w:val="0"/>
          <w:i w:val="0"/>
          <w:color w:val="B3003A"/>
          <w:sz w:val="21"/>
        </w:rPr>
        <w:t>localhost:5173</w:t>
      </w:r>
      <w:r>
        <w:rPr>
          <w:b w:val="0"/>
          <w:i w:val="0"/>
          <w:color w:val="2C2C2C"/>
          <w:sz w:val="22"/>
        </w:rPr>
        <w:t xml:space="preserve">, and Vite transparently relays the </w:t>
      </w:r>
      <w:r>
        <w:rPr>
          <w:rFonts w:ascii="Consolas" w:hAnsi="Consolas"/>
          <w:b w:val="0"/>
          <w:i w:val="0"/>
          <w:color w:val="B3003A"/>
          <w:sz w:val="21"/>
        </w:rPr>
        <w:t>/api/*</w:t>
      </w:r>
      <w:r>
        <w:rPr>
          <w:b w:val="0"/>
          <w:i w:val="0"/>
          <w:color w:val="2C2C2C"/>
          <w:sz w:val="22"/>
        </w:rPr>
        <w:t xml:space="preserve"> traffic server-side, no cross-origin preflight is ever triggered during same-machine development, regardless of the backend's own CORS configuration.</w:t>
      </w:r>
    </w:p>
    <w:p>
      <w:pPr>
        <w:spacing w:before="120" w:after="200"/>
        <w:ind w:left="504"/>
        <w:shd w:val="clear" w:color="auto" w:fill="F7F7F7"/>
      </w:pPr>
      <w:r>
        <w:rPr>
          <w:b/>
          <w:i/>
          <w:color w:val="1A7A6E"/>
          <w:sz w:val="21"/>
        </w:rPr>
        <w:t xml:space="preserve">LAN / mobile-device testing — corrected attribution. </w:t>
      </w:r>
      <w:r>
        <w:rPr>
          <w:b w:val="0"/>
          <w:i/>
          <w:color w:val="2C2C2C"/>
          <w:sz w:val="21"/>
        </w:rPr>
        <w:t>Cross-device testing from a physical mobile phone on the same Local Area Network is enabled not through Vite's own `server.host`/`allowedHosts` options — which are not configured in this project's `vite.config.js` — but through the **Django backend's** environment configuration: `ALLOWED_HOSTS` and `CORS_ALLOWED_ORIGINS` are extended with the development machine's LAN IP address and its corresponding `nip.io` wildcard-DNS hostname (a public DNS service that resolves any `&lt;ip&gt;.nip.io` subdomain directly to `&lt;ip&gt;`, avoiding any local `/etc/hosts` or router configuration). The front-end reaches that backend simply by being loaded, from the mobile device's browser, at the development machine's LAN IP and port `5173` directly — the Vite dev server binds to all interfaces by default in this project's invocation, which is sufficient for LAN reachability without any additional `allowedHosts` allow-list on the Vite side.</w:t>
      </w:r>
    </w:p>
    <w:p>
      <w:pPr>
        <w:pStyle w:val="Heading2"/>
      </w:pPr>
      <w:r>
        <w:rPr>
          <w:b/>
          <w:i w:val="0"/>
          <w:color w:val="1A2E12"/>
          <w:sz w:val="30"/>
        </w:rPr>
        <w:t>5.2 Client Authentication Pipelines</w:t>
      </w:r>
    </w:p>
    <w:p>
      <w:pPr>
        <w:spacing w:after="160" w:line="276" w:lineRule="auto"/>
      </w:pPr>
      <w:r>
        <w:rPr>
          <w:b w:val="0"/>
          <w:i w:val="0"/>
          <w:color w:val="2C2C2C"/>
          <w:sz w:val="22"/>
        </w:rPr>
        <w:t xml:space="preserve">Social sign-in is implemented as a client-side token-acquisition step feeding directly into the same server-side verification contract used for every other authentication path. The </w:t>
      </w:r>
      <w:r>
        <w:rPr>
          <w:rFonts w:ascii="Consolas" w:hAnsi="Consolas"/>
          <w:b w:val="0"/>
          <w:i w:val="0"/>
          <w:color w:val="B3003A"/>
          <w:sz w:val="21"/>
        </w:rPr>
        <w:t>useSocialAuth</w:t>
      </w:r>
      <w:r>
        <w:rPr>
          <w:b w:val="0"/>
          <w:i w:val="0"/>
          <w:color w:val="2C2C2C"/>
          <w:sz w:val="22"/>
        </w:rPr>
        <w:t xml:space="preserve"> hook loads the Google Identity Services SDK (</w:t>
      </w:r>
      <w:r>
        <w:rPr>
          <w:rFonts w:ascii="Consolas" w:hAnsi="Consolas"/>
          <w:b w:val="0"/>
          <w:i w:val="0"/>
          <w:color w:val="B3003A"/>
          <w:sz w:val="21"/>
        </w:rPr>
        <w:t>google.accounts.oauth2.initTokenClient</w:t>
      </w:r>
      <w:r>
        <w:rPr>
          <w:b w:val="0"/>
          <w:i w:val="0"/>
          <w:color w:val="2C2C2C"/>
          <w:sz w:val="22"/>
        </w:rPr>
        <w:t>) and the Facebook JavaScript SDK (</w:t>
      </w:r>
      <w:r>
        <w:rPr>
          <w:rFonts w:ascii="Consolas" w:hAnsi="Consolas"/>
          <w:b w:val="0"/>
          <w:i w:val="0"/>
          <w:color w:val="B3003A"/>
          <w:sz w:val="21"/>
        </w:rPr>
        <w:t>FB.login</w:t>
      </w:r>
      <w:r>
        <w:rPr>
          <w:b w:val="0"/>
          <w:i w:val="0"/>
          <w:color w:val="2C2C2C"/>
          <w:sz w:val="22"/>
        </w:rPr>
        <w:t xml:space="preserve">) via static </w:t>
      </w:r>
      <w:r>
        <w:rPr>
          <w:rFonts w:ascii="Consolas" w:hAnsi="Consolas"/>
          <w:b w:val="0"/>
          <w:i w:val="0"/>
          <w:color w:val="B3003A"/>
          <w:sz w:val="21"/>
        </w:rPr>
        <w:t>&lt;script&gt;</w:t>
      </w:r>
      <w:r>
        <w:rPr>
          <w:b w:val="0"/>
          <w:i w:val="0"/>
          <w:color w:val="2C2C2C"/>
          <w:sz w:val="22"/>
        </w:rPr>
        <w:t xml:space="preserve"> tags in </w:t>
      </w:r>
      <w:r>
        <w:rPr>
          <w:rFonts w:ascii="Consolas" w:hAnsi="Consolas"/>
          <w:b w:val="0"/>
          <w:i w:val="0"/>
          <w:color w:val="B3003A"/>
          <w:sz w:val="21"/>
        </w:rPr>
        <w:t>index.html</w:t>
      </w:r>
      <w:r>
        <w:rPr>
          <w:b w:val="0"/>
          <w:i w:val="0"/>
          <w:color w:val="2C2C2C"/>
          <w:sz w:val="22"/>
        </w:rPr>
        <w:t xml:space="preserve">, requests an OAuth </w:t>
      </w:r>
      <w:r>
        <w:rPr>
          <w:b/>
          <w:i w:val="0"/>
          <w:color w:val="2C2C2C"/>
          <w:sz w:val="22"/>
        </w:rPr>
        <w:t>access token</w:t>
      </w:r>
      <w:r>
        <w:rPr>
          <w:b w:val="0"/>
          <w:i w:val="0"/>
          <w:color w:val="2C2C2C"/>
          <w:sz w:val="22"/>
        </w:rPr>
        <w:t xml:space="preserve"> directly from the provider inside the browser, and transmits only that access token — never a client-asserted identity claim — to the corresponding Django endpoint (</w:t>
      </w:r>
      <w:r>
        <w:rPr>
          <w:rFonts w:ascii="Consolas" w:hAnsi="Consolas"/>
          <w:b w:val="0"/>
          <w:i w:val="0"/>
          <w:color w:val="B3003A"/>
          <w:sz w:val="21"/>
        </w:rPr>
        <w:t>/api/v1/auth/google/</w:t>
      </w:r>
      <w:r>
        <w:rPr>
          <w:b w:val="0"/>
          <w:i w:val="0"/>
          <w:color w:val="2C2C2C"/>
          <w:sz w:val="22"/>
        </w:rPr>
        <w:t xml:space="preserve"> or </w:t>
      </w:r>
      <w:r>
        <w:rPr>
          <w:rFonts w:ascii="Consolas" w:hAnsi="Consolas"/>
          <w:b w:val="0"/>
          <w:i w:val="0"/>
          <w:color w:val="B3003A"/>
          <w:sz w:val="21"/>
        </w:rPr>
        <w:t>/api/v1/auth/facebook/</w:t>
      </w:r>
      <w:r>
        <w:rPr>
          <w:b w:val="0"/>
          <w:i w:val="0"/>
          <w:color w:val="2C2C2C"/>
          <w:sz w:val="22"/>
        </w:rPr>
        <w:t>).</w:t>
      </w:r>
    </w:p>
    <w:p>
      <w:pPr>
        <w:spacing w:after="160" w:line="276" w:lineRule="auto"/>
      </w:pPr>
      <w:r>
        <w:rPr>
          <w:b w:val="0"/>
          <w:i w:val="0"/>
          <w:color w:val="2C2C2C"/>
          <w:sz w:val="22"/>
        </w:rPr>
        <w:t xml:space="preserve">Critically, the client performs </w:t>
      </w:r>
      <w:r>
        <w:rPr>
          <w:b/>
          <w:i w:val="0"/>
          <w:color w:val="2C2C2C"/>
          <w:sz w:val="22"/>
        </w:rPr>
        <w:t>no independent trust decision</w:t>
      </w:r>
      <w:r>
        <w:rPr>
          <w:b w:val="0"/>
          <w:i w:val="0"/>
          <w:color w:val="2C2C2C"/>
          <w:sz w:val="22"/>
        </w:rPr>
        <w:t xml:space="preserve"> about the token's validity or the identity it represents: the backend re-verifies the access token directly against Google's </w:t>
      </w:r>
      <w:r>
        <w:rPr>
          <w:rFonts w:ascii="Consolas" w:hAnsi="Consolas"/>
          <w:b w:val="0"/>
          <w:i w:val="0"/>
          <w:color w:val="B3003A"/>
          <w:sz w:val="21"/>
        </w:rPr>
        <w:t>tokeninfo</w:t>
      </w:r>
      <w:r>
        <w:rPr>
          <w:b w:val="0"/>
          <w:i w:val="0"/>
          <w:color w:val="2C2C2C"/>
          <w:sz w:val="22"/>
        </w:rPr>
        <w:t>/</w:t>
      </w:r>
      <w:r>
        <w:rPr>
          <w:rFonts w:ascii="Consolas" w:hAnsi="Consolas"/>
          <w:b w:val="0"/>
          <w:i w:val="0"/>
          <w:color w:val="B3003A"/>
          <w:sz w:val="21"/>
        </w:rPr>
        <w:t>userinfo</w:t>
      </w:r>
      <w:r>
        <w:rPr>
          <w:b w:val="0"/>
          <w:i w:val="0"/>
          <w:color w:val="2C2C2C"/>
          <w:sz w:val="22"/>
        </w:rPr>
        <w:t xml:space="preserve"> endpoints or Facebook's Graph API </w:t>
      </w:r>
      <w:r>
        <w:rPr>
          <w:rFonts w:ascii="Consolas" w:hAnsi="Consolas"/>
          <w:b w:val="0"/>
          <w:i w:val="0"/>
          <w:color w:val="B3003A"/>
          <w:sz w:val="21"/>
        </w:rPr>
        <w:t>debug_token</w:t>
      </w:r>
      <w:r>
        <w:rPr>
          <w:b w:val="0"/>
          <w:i w:val="0"/>
          <w:color w:val="2C2C2C"/>
          <w:sz w:val="22"/>
        </w:rPr>
        <w:t>/</w:t>
      </w:r>
      <w:r>
        <w:rPr>
          <w:rFonts w:ascii="Consolas" w:hAnsi="Consolas"/>
          <w:b w:val="0"/>
          <w:i w:val="0"/>
          <w:color w:val="B3003A"/>
          <w:sz w:val="21"/>
        </w:rPr>
        <w:t>me</w:t>
      </w:r>
      <w:r>
        <w:rPr>
          <w:b w:val="0"/>
          <w:i w:val="0"/>
          <w:color w:val="2C2C2C"/>
          <w:sz w:val="22"/>
        </w:rPr>
        <w:t xml:space="preserve"> endpoints before issuing this application's own JWT pair. The client's only responsibilities are acquiring the token, transmitting it, and — on a successful response — persisting the returned </w:t>
      </w:r>
      <w:r>
        <w:rPr>
          <w:rFonts w:ascii="Consolas" w:hAnsi="Consolas"/>
          <w:b w:val="0"/>
          <w:i w:val="0"/>
          <w:color w:val="B3003A"/>
          <w:sz w:val="21"/>
        </w:rPr>
        <w:t>{access, refresh}</w:t>
      </w:r>
      <w:r>
        <w:rPr>
          <w:b w:val="0"/>
          <w:i w:val="0"/>
          <w:color w:val="2C2C2C"/>
          <w:sz w:val="22"/>
        </w:rPr>
        <w:t xml:space="preserve"> JWT pair to </w:t>
      </w:r>
      <w:r>
        <w:rPr>
          <w:rFonts w:ascii="Consolas" w:hAnsi="Consolas"/>
          <w:b w:val="0"/>
          <w:i w:val="0"/>
          <w:color w:val="B3003A"/>
          <w:sz w:val="21"/>
        </w:rPr>
        <w:t>localStorage</w:t>
      </w:r>
      <w:r>
        <w:rPr>
          <w:b w:val="0"/>
          <w:i w:val="0"/>
          <w:color w:val="2C2C2C"/>
          <w:sz w:val="22"/>
        </w:rPr>
        <w:t xml:space="preserve"> using the exact same storage contract as email/password login, so no other part of the client application needs to know or care which authentication path was used.</w:t>
      </w:r>
    </w:p>
    <w:p>
      <w:pPr>
        <w:pStyle w:val="Heading2"/>
      </w:pPr>
      <w:r>
        <w:rPr>
          <w:b/>
          <w:i w:val="0"/>
          <w:color w:val="1A2E12"/>
          <w:sz w:val="30"/>
        </w:rPr>
        <w:t>5.3 Asynchronous Memory &amp; Local State Safeties</w:t>
      </w:r>
    </w:p>
    <w:p>
      <w:pPr>
        <w:spacing w:after="160" w:line="276" w:lineRule="auto"/>
      </w:pPr>
      <w:r>
        <w:rPr>
          <w:b/>
          <w:i w:val="0"/>
          <w:color w:val="2C2C2C"/>
          <w:sz w:val="22"/>
        </w:rPr>
        <w:t>Optimistic update rollback.</w:t>
      </w:r>
      <w:r>
        <w:rPr>
          <w:b w:val="0"/>
          <w:i w:val="0"/>
          <w:color w:val="2C2C2C"/>
          <w:sz w:val="22"/>
        </w:rPr>
        <w:t xml:space="preserve"> As established in §1.1, optimistic local state updates (community post likes/saves, habit-completion toggles) are always paired with an explicit rollback branch: the pre-update value is captured in a local variable before the state mutation is applied, and restored in the </w:t>
      </w:r>
      <w:r>
        <w:rPr>
          <w:rFonts w:ascii="Consolas" w:hAnsi="Consolas"/>
          <w:b w:val="0"/>
          <w:i w:val="0"/>
          <w:color w:val="B3003A"/>
          <w:sz w:val="21"/>
        </w:rPr>
        <w:t>catch</w:t>
      </w:r>
      <w:r>
        <w:rPr>
          <w:b w:val="0"/>
          <w:i w:val="0"/>
          <w:color w:val="2C2C2C"/>
          <w:sz w:val="22"/>
        </w:rPr>
        <w:t xml:space="preserve"> handler if the corresponding network call fails — ensuring the UI never persists a false-positive state indefinitely on a failed request.</w:t>
      </w:r>
    </w:p>
    <w:p>
      <w:pPr>
        <w:spacing w:after="160" w:line="276" w:lineRule="auto"/>
      </w:pPr>
      <w:r>
        <w:rPr>
          <w:b/>
          <w:i w:val="0"/>
          <w:color w:val="2C2C2C"/>
          <w:sz w:val="22"/>
        </w:rPr>
        <w:t>MediaRecorder audio blob lifecycle.</w:t>
      </w:r>
      <w:r>
        <w:rPr>
          <w:b w:val="0"/>
          <w:i w:val="0"/>
          <w:color w:val="2C2C2C"/>
          <w:sz w:val="22"/>
        </w:rPr>
        <w:t xml:space="preserve"> Voice-message capture (</w:t>
      </w:r>
      <w:r>
        <w:rPr>
          <w:rFonts w:ascii="Consolas" w:hAnsi="Consolas"/>
          <w:b w:val="0"/>
          <w:i w:val="0"/>
          <w:color w:val="B3003A"/>
          <w:sz w:val="21"/>
        </w:rPr>
        <w:t>useAudioRecorder.js</w:t>
      </w:r>
      <w:r>
        <w:rPr>
          <w:b w:val="0"/>
          <w:i w:val="0"/>
          <w:color w:val="2C2C2C"/>
          <w:sz w:val="22"/>
        </w:rPr>
        <w:t xml:space="preserve">, consumed by </w:t>
      </w:r>
      <w:r>
        <w:rPr>
          <w:rFonts w:ascii="Consolas" w:hAnsi="Consolas"/>
          <w:b w:val="0"/>
          <w:i w:val="0"/>
          <w:color w:val="B3003A"/>
          <w:sz w:val="21"/>
        </w:rPr>
        <w:t>ChatBot.jsx</w:t>
      </w:r>
      <w:r>
        <w:rPr>
          <w:b w:val="0"/>
          <w:i w:val="0"/>
          <w:color w:val="2C2C2C"/>
          <w:sz w:val="22"/>
        </w:rPr>
        <w:t xml:space="preserve">) is, by verified design, an entirely </w:t>
      </w:r>
      <w:r>
        <w:rPr>
          <w:b/>
          <w:i w:val="0"/>
          <w:color w:val="2C2C2C"/>
          <w:sz w:val="22"/>
        </w:rPr>
        <w:t>client-side, ephemeral</w:t>
      </w:r>
      <w:r>
        <w:rPr>
          <w:b w:val="0"/>
          <w:i w:val="0"/>
          <w:color w:val="2C2C2C"/>
          <w:sz w:val="22"/>
        </w:rPr>
        <w:t xml:space="preserve"> feature: the recorded audio never leaves the browser or reaches the Django backend (there is no corresponding upload call, and the backend's </w:t>
      </w:r>
      <w:r>
        <w:rPr>
          <w:rFonts w:ascii="Consolas" w:hAnsi="Consolas"/>
          <w:b w:val="0"/>
          <w:i w:val="0"/>
          <w:color w:val="B3003A"/>
          <w:sz w:val="21"/>
        </w:rPr>
        <w:t>ChatMessage</w:t>
      </w:r>
      <w:r>
        <w:rPr>
          <w:b w:val="0"/>
          <w:i w:val="0"/>
          <w:color w:val="2C2C2C"/>
          <w:sz w:val="22"/>
        </w:rPr>
        <w:t xml:space="preserve"> model has no audio-storage field). The lifecycle-correctness work in this subsystem was therefore about local blob-URL timing rather than post-upload cleanup: an earlier implementation called </w:t>
      </w:r>
      <w:r>
        <w:rPr>
          <w:rFonts w:ascii="Consolas" w:hAnsi="Consolas"/>
          <w:b w:val="0"/>
          <w:i w:val="0"/>
          <w:color w:val="B3003A"/>
          <w:sz w:val="21"/>
        </w:rPr>
        <w:t>URL.revokeObjectURL()</w:t>
      </w:r>
      <w:r>
        <w:rPr>
          <w:b w:val="0"/>
          <w:i w:val="0"/>
          <w:color w:val="2C2C2C"/>
          <w:sz w:val="22"/>
        </w:rPr>
        <w:t xml:space="preserve"> synchronously immediately after handing the recorded Blob's object URL to the chat message list, which — because </w:t>
      </w:r>
      <w:r>
        <w:rPr>
          <w:rFonts w:ascii="Consolas" w:hAnsi="Consolas"/>
          <w:b w:val="0"/>
          <w:i w:val="0"/>
          <w:color w:val="B3003A"/>
          <w:sz w:val="21"/>
        </w:rPr>
        <w:t>&lt;audio&gt;</w:t>
      </w:r>
      <w:r>
        <w:rPr>
          <w:b w:val="0"/>
          <w:i w:val="0"/>
          <w:color w:val="2C2C2C"/>
          <w:sz w:val="22"/>
        </w:rPr>
        <w:t xml:space="preserve"> element loading is asynchronous — could revoke the URL before the browser's audio decoder had finished reading it, producing an unplayable, zero-duration voice message. The corrected implementation removed that premature revocation entirely and restructured the "send" action itself to fire only from inside the </w:t>
      </w:r>
      <w:r>
        <w:rPr>
          <w:rFonts w:ascii="Consolas" w:hAnsi="Consolas"/>
          <w:b w:val="0"/>
          <w:i w:val="0"/>
          <w:color w:val="B3003A"/>
          <w:sz w:val="21"/>
        </w:rPr>
        <w:t>MediaRecorder.onstop</w:t>
      </w:r>
      <w:r>
        <w:rPr>
          <w:b w:val="0"/>
          <w:i w:val="0"/>
          <w:color w:val="2C2C2C"/>
          <w:sz w:val="22"/>
        </w:rPr>
        <w:t xml:space="preserve"> callback, once the final Blob (and, via the </w:t>
      </w:r>
      <w:r>
        <w:rPr>
          <w:rFonts w:ascii="Consolas" w:hAnsi="Consolas"/>
          <w:b w:val="0"/>
          <w:i w:val="0"/>
          <w:color w:val="B3003A"/>
          <w:sz w:val="21"/>
        </w:rPr>
        <w:t>fix-webm-duration</w:t>
      </w:r>
      <w:r>
        <w:rPr>
          <w:b w:val="0"/>
          <w:i w:val="0"/>
          <w:color w:val="2C2C2C"/>
          <w:sz w:val="22"/>
        </w:rPr>
        <w:t xml:space="preserve"> library, its corrected duration metadata) is fully materialized — eliminating the race condition at its source rather than working around it after the fact.</w:t>
      </w:r>
    </w:p>
    <w:p>
      <w:pPr>
        <w:spacing w:after="160" w:line="276" w:lineRule="auto"/>
      </w:pPr>
      <w:r>
        <w:rPr>
          <w:b/>
          <w:i w:val="0"/>
          <w:color w:val="2C2C2C"/>
          <w:sz w:val="22"/>
        </w:rPr>
        <w:t>Session-affinity state, not component-lifecycle guards.</w:t>
      </w:r>
      <w:r>
        <w:rPr>
          <w:b w:val="0"/>
          <w:i w:val="0"/>
          <w:color w:val="2C2C2C"/>
          <w:sz w:val="22"/>
        </w:rPr>
        <w:t xml:space="preserve"> The codebase's approach to avoiding stale-response bugs during async operations is handled primarily through request/response shape design (each chat session round-trip resolves to a single, complete </w:t>
      </w:r>
      <w:r>
        <w:rPr>
          <w:rFonts w:ascii="Consolas" w:hAnsi="Consolas"/>
          <w:b w:val="0"/>
          <w:i w:val="0"/>
          <w:color w:val="B3003A"/>
          <w:sz w:val="21"/>
        </w:rPr>
        <w:t>{user_message, bot_message}</w:t>
      </w:r>
      <w:r>
        <w:rPr>
          <w:b w:val="0"/>
          <w:i w:val="0"/>
          <w:color w:val="2C2C2C"/>
          <w:sz w:val="22"/>
        </w:rPr>
        <w:t xml:space="preserve"> payload rather than a stream of partial updates) and optimistic-then-reconciled state (§1.1), rather than through an explicit component-unmount guard (e.g. an </w:t>
      </w:r>
      <w:r>
        <w:rPr>
          <w:rFonts w:ascii="Consolas" w:hAnsi="Consolas"/>
          <w:b w:val="0"/>
          <w:i w:val="0"/>
          <w:color w:val="B3003A"/>
          <w:sz w:val="21"/>
        </w:rPr>
        <w:t>isMounted</w:t>
      </w:r>
      <w:r>
        <w:rPr>
          <w:b w:val="0"/>
          <w:i w:val="0"/>
          <w:color w:val="2C2C2C"/>
          <w:sz w:val="22"/>
        </w:rPr>
        <w:t xml:space="preserve"> ref or </w:t>
      </w:r>
      <w:r>
        <w:rPr>
          <w:rFonts w:ascii="Consolas" w:hAnsi="Consolas"/>
          <w:b w:val="0"/>
          <w:i w:val="0"/>
          <w:color w:val="B3003A"/>
          <w:sz w:val="21"/>
        </w:rPr>
        <w:t>AbortController</w:t>
      </w:r>
      <w:r>
        <w:rPr>
          <w:b w:val="0"/>
          <w:i w:val="0"/>
          <w:color w:val="2C2C2C"/>
          <w:sz w:val="22"/>
        </w:rPr>
        <w:t xml:space="preserve">) — no such pattern is present in </w:t>
      </w:r>
      <w:r>
        <w:rPr>
          <w:rFonts w:ascii="Consolas" w:hAnsi="Consolas"/>
          <w:b w:val="0"/>
          <w:i w:val="0"/>
          <w:color w:val="B3003A"/>
          <w:sz w:val="21"/>
        </w:rPr>
        <w:t>ChatBot.jsx</w:t>
      </w:r>
      <w:r>
        <w:rPr>
          <w:b w:val="0"/>
          <w:i w:val="0"/>
          <w:color w:val="2C2C2C"/>
          <w:sz w:val="22"/>
        </w:rPr>
        <w:t xml:space="preserve"> at the time of writing, and this documentation notes its absence rather than asserting it as an implemented safety measure.</w:t>
      </w:r>
    </w:p>
    <w:p/>
    <w:p>
      <w:pPr>
        <w:jc w:val="center"/>
      </w:pPr>
      <w:r>
        <w:rPr>
          <w:b w:val="0"/>
          <w:i/>
          <w:color w:val="595959"/>
          <w:sz w:val="19"/>
        </w:rPr>
        <w:t>This document was compiled from direct inspection of the live Mentallico front-end repository and reflects the system's verified, current state rather than its design intent.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ppins" w:hAnsi="Poppins"/>
      <w:b/>
      <w:bCs/>
      <w:color w:val="1A2E1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ppins" w:hAnsi="Poppins"/>
      <w:b/>
      <w:bCs/>
      <w:color w:val="1A2E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oppins" w:hAnsi="Poppins"/>
      <w:b/>
      <w:bCs/>
      <w:color w:val="1A2E1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Poppins" w:hAnsi="Poppins"/>
      <w:b/>
      <w:bCs/>
      <w:i/>
      <w:iCs/>
      <w:color w:val="1A2E1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