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000"/>
      </w:pPr>
    </w:p>
    <w:p>
      <w:pPr>
        <w:jc w:val="center"/>
      </w:pPr>
      <w:r>
        <w:rPr>
          <w:b/>
          <w:color w:val="1A7A6E"/>
          <w:sz w:val="24"/>
        </w:rPr>
        <w:t>MENTALLICO AUTOMATED TECHNICAL ANALYSIS</w:t>
      </w:r>
    </w:p>
    <w:p>
      <w:pPr>
        <w:jc w:val="center"/>
      </w:pPr>
      <w:r>
        <w:rPr>
          <w:b/>
          <w:sz w:val="40"/>
        </w:rPr>
        <w:t>Verified Codebase Specification &amp; Technical Engineering Report</w:t>
        <w:br/>
        <w:t>Multi-Runtime Inspection Layer</w:t>
      </w:r>
    </w:p>
    <w:p>
      <w:pPr>
        <w:spacing w:before="3600"/>
        <w:jc w:val="center"/>
      </w:pPr>
      <w:r>
        <w:rPr>
          <w:sz w:val="22"/>
        </w:rPr>
        <w:t>Faculty of Computers and Information Technology</w:t>
        <w:br/>
        <w:t>Mentallico Engineering Audit  •  July 2026</w:t>
      </w:r>
    </w:p>
    <w:p>
      <w:r>
        <w:br w:type="page"/>
      </w:r>
    </w:p>
    <w:p>
      <w:pPr>
        <w:pStyle w:val="Heading1"/>
        <w:keepNext/>
        <w:spacing w:before="240" w:after="240"/>
      </w:pPr>
      <w:r>
        <w:rPr>
          <w:rFonts w:ascii="Poppins" w:hAnsi="Poppins"/>
          <w:b/>
          <w:color w:val="1A7A6E"/>
          <w:sz w:val="36"/>
        </w:rPr>
        <w:t>Chapter 1 — Codebase Extraction Summary &amp; Scope</w:t>
      </w:r>
    </w:p>
    <w:p>
      <w:r>
        <w:t>This technical document has been dynamically extracted from the live codebase repository of the Mentallico graduation project. The scanning algorithm successfully verified the coexistence of the code boundaries across the system tree. The project integrates an Android multi-runtime system deploying both standard user interfaces and real-time virtual simulation layers.</w:t>
      </w:r>
    </w:p>
    <w:p>
      <w:pPr>
        <w:pStyle w:val="Heading1"/>
        <w:keepNext/>
        <w:spacing w:before="360" w:after="240"/>
      </w:pPr>
      <w:r>
        <w:rPr>
          <w:rFonts w:ascii="Poppins" w:hAnsi="Poppins"/>
          <w:b/>
          <w:color w:val="1A7A6E"/>
          <w:sz w:val="36"/>
        </w:rPr>
        <w:t>Chapter 2 — Live Module Containment Matrix</w:t>
      </w:r>
    </w:p>
    <w:p>
      <w:r>
        <w:t>Below is the exact engineering table containing the verified structural modules found actively inside the workspace directories during runtime evaluation:</w:t>
      </w:r>
    </w:p>
    <w:tbl>
      <w:tblPr>
        <w:tblW w:type="auto" w:w="0"/>
        <w:jc w:val="center"/>
        <w:tblLook w:firstColumn="1" w:firstRow="1" w:lastColumn="0" w:lastRow="0" w:noHBand="0" w:noVBand="1" w:val="04A0"/>
      </w:tblPr>
      <w:tblGrid>
        <w:gridCol w:w="3120"/>
        <w:gridCol w:w="3120"/>
        <w:gridCol w:w="3120"/>
      </w:tblGrid>
      <w:tr>
        <w:tc>
          <w:tcPr>
            <w:tcW w:type="dxa" w:w="2592"/>
            <w:shd w:fill="1A7A6E"/>
            <w:tcMar>
              <w:top w:w="120" w:type="dxa"/>
              <w:bottom w:w="120" w:type="dxa"/>
              <w:left w:w="150" w:type="dxa"/>
              <w:right w:w="150" w:type="dxa"/>
            </w:tcMar>
            <w:tcBorders>
              <w:top w:val="none"/>
              <w:left w:val="none"/>
              <w:bottom w:val="single" w:sz="12" w:space="0" w:color="125A52"/>
              <w:right w:val="none"/>
              <w:insideH w:val="none"/>
              <w:insideV w:val="none"/>
            </w:tcBorders>
          </w:tcPr>
          <w:p>
            <w:pPr>
              <w:spacing w:before="40" w:after="40"/>
            </w:pPr>
            <w:r>
              <w:rPr>
                <w:rFonts w:ascii="Poppins" w:hAnsi="Poppins"/>
                <w:b/>
                <w:color w:val="FFFFFF"/>
                <w:sz w:val="20"/>
              </w:rPr>
              <w:t>Inspected Code Module</w:t>
            </w:r>
          </w:p>
        </w:tc>
        <w:tc>
          <w:tcPr>
            <w:tcW w:type="dxa" w:w="3168"/>
            <w:shd w:fill="1A7A6E"/>
            <w:tcMar>
              <w:top w:w="120" w:type="dxa"/>
              <w:bottom w:w="120" w:type="dxa"/>
              <w:left w:w="150" w:type="dxa"/>
              <w:right w:w="150" w:type="dxa"/>
            </w:tcMar>
            <w:tcBorders>
              <w:top w:val="none"/>
              <w:left w:val="none"/>
              <w:bottom w:val="single" w:sz="12" w:space="0" w:color="125A52"/>
              <w:right w:val="none"/>
              <w:insideH w:val="none"/>
              <w:insideV w:val="none"/>
            </w:tcBorders>
          </w:tcPr>
          <w:p>
            <w:pPr>
              <w:spacing w:before="40" w:after="40"/>
            </w:pPr>
            <w:r>
              <w:rPr>
                <w:rFonts w:ascii="Poppins" w:hAnsi="Poppins"/>
                <w:b/>
                <w:color w:val="FFFFFF"/>
                <w:sz w:val="20"/>
              </w:rPr>
              <w:t>Detected Verification Asset</w:t>
            </w:r>
          </w:p>
        </w:tc>
        <w:tc>
          <w:tcPr>
            <w:tcW w:type="dxa" w:w="3600"/>
            <w:shd w:fill="1A7A6E"/>
            <w:tcMar>
              <w:top w:w="120" w:type="dxa"/>
              <w:bottom w:w="120" w:type="dxa"/>
              <w:left w:w="150" w:type="dxa"/>
              <w:right w:w="150" w:type="dxa"/>
            </w:tcMar>
            <w:tcBorders>
              <w:top w:val="none"/>
              <w:left w:val="none"/>
              <w:bottom w:val="single" w:sz="12" w:space="0" w:color="125A52"/>
              <w:right w:val="none"/>
              <w:insideH w:val="none"/>
              <w:insideV w:val="none"/>
            </w:tcBorders>
          </w:tcPr>
          <w:p>
            <w:pPr>
              <w:spacing w:before="40" w:after="40"/>
            </w:pPr>
            <w:r>
              <w:rPr>
                <w:rFonts w:ascii="Poppins" w:hAnsi="Poppins"/>
                <w:b/>
                <w:color w:val="FFFFFF"/>
                <w:sz w:val="20"/>
              </w:rPr>
              <w:t>Architectural Integration Status</w:t>
            </w:r>
          </w:p>
        </w:tc>
      </w:tr>
      <w:tr>
        <w:tc>
          <w:tcPr>
            <w:tcW w:type="dxa" w:w="2592"/>
            <w:shd w:fill="FFFFFF"/>
            <w:tcMar>
              <w:top w:w="100" w:type="dxa"/>
              <w:bottom w:w="100" w:type="dxa"/>
              <w:left w:w="150" w:type="dxa"/>
              <w:right w:w="150" w:type="dxa"/>
            </w:tcMar>
            <w:tcBorders>
              <w:top w:val="none"/>
              <w:left w:val="none"/>
              <w:bottom w:val="single" w:sz="4" w:space="0" w:color="D0D0D0"/>
              <w:right w:val="none"/>
              <w:insideH w:val="none"/>
              <w:insideV w:val="none"/>
            </w:tcBorders>
          </w:tcPr>
          <w:p>
            <w:pPr>
              <w:spacing w:before="40" w:after="40"/>
            </w:pPr>
            <w:r>
              <w:rPr>
                <w:rFonts w:ascii="Poppins" w:hAnsi="Poppins"/>
                <w:b/>
                <w:color w:val="2C2C2C"/>
                <w:sz w:val="20"/>
              </w:rPr>
              <w:t>Flutter Application Subsystem</w:t>
            </w:r>
          </w:p>
        </w:tc>
        <w:tc>
          <w:tcPr>
            <w:tcW w:type="dxa" w:w="3168"/>
            <w:shd w:fill="FFFFFF"/>
            <w:tcMar>
              <w:top w:w="100" w:type="dxa"/>
              <w:bottom w:w="100" w:type="dxa"/>
              <w:left w:w="150" w:type="dxa"/>
              <w:right w:w="150" w:type="dxa"/>
            </w:tcMar>
            <w:tcBorders>
              <w:top w:val="none"/>
              <w:left w:val="none"/>
              <w:bottom w:val="single" w:sz="4" w:space="0" w:color="D0D0D0"/>
              <w:right w:val="none"/>
              <w:insideH w:val="none"/>
              <w:insideV w:val="none"/>
            </w:tcBorders>
          </w:tcPr>
          <w:p>
            <w:pPr>
              <w:spacing w:before="40" w:after="40"/>
            </w:pPr>
            <w:r>
              <w:rPr>
                <w:rFonts w:ascii="Poppins" w:hAnsi="Poppins"/>
                <w:b w:val="0"/>
                <w:color w:val="2C2C2C"/>
                <w:sz w:val="20"/>
              </w:rPr>
              <w:t>Verified Live in Source</w:t>
            </w:r>
          </w:p>
        </w:tc>
        <w:tc>
          <w:tcPr>
            <w:tcW w:type="dxa" w:w="3600"/>
            <w:shd w:fill="FFFFFF"/>
            <w:tcMar>
              <w:top w:w="100" w:type="dxa"/>
              <w:bottom w:w="100" w:type="dxa"/>
              <w:left w:w="150" w:type="dxa"/>
              <w:right w:w="150" w:type="dxa"/>
            </w:tcMar>
            <w:tcBorders>
              <w:top w:val="none"/>
              <w:left w:val="none"/>
              <w:bottom w:val="single" w:sz="4" w:space="0" w:color="D0D0D0"/>
              <w:right w:val="none"/>
              <w:insideH w:val="none"/>
              <w:insideV w:val="none"/>
            </w:tcBorders>
          </w:tcPr>
          <w:p>
            <w:pPr>
              <w:spacing w:before="40" w:after="40"/>
            </w:pPr>
            <w:r>
              <w:rPr>
                <w:rFonts w:ascii="Poppins" w:hAnsi="Poppins"/>
                <w:b w:val="0"/>
                <w:color w:val="2C2C2C"/>
                <w:sz w:val="20"/>
              </w:rPr>
              <w:t>Controls administrative state profiles, user logins, and operational views.</w:t>
            </w:r>
          </w:p>
        </w:tc>
      </w:tr>
      <w:tr>
        <w:tc>
          <w:tcPr>
            <w:tcW w:type="dxa" w:w="2592"/>
            <w:shd w:fill="F2F2F2"/>
            <w:tcMar>
              <w:top w:w="100" w:type="dxa"/>
              <w:bottom w:w="100" w:type="dxa"/>
              <w:left w:w="150" w:type="dxa"/>
              <w:right w:w="150" w:type="dxa"/>
            </w:tcMar>
            <w:tcBorders>
              <w:top w:val="none"/>
              <w:left w:val="none"/>
              <w:bottom w:val="single" w:sz="4" w:space="0" w:color="D0D0D0"/>
              <w:right w:val="none"/>
              <w:insideH w:val="none"/>
              <w:insideV w:val="none"/>
            </w:tcBorders>
          </w:tcPr>
          <w:p>
            <w:pPr>
              <w:spacing w:before="40" w:after="40"/>
            </w:pPr>
            <w:r>
              <w:rPr>
                <w:rFonts w:ascii="Poppins" w:hAnsi="Poppins"/>
                <w:b/>
                <w:color w:val="2C2C2C"/>
                <w:sz w:val="20"/>
              </w:rPr>
              <w:t>Embedded Unity Engine Layout</w:t>
            </w:r>
          </w:p>
        </w:tc>
        <w:tc>
          <w:tcPr>
            <w:tcW w:type="dxa" w:w="3168"/>
            <w:shd w:fill="F2F2F2"/>
            <w:tcMar>
              <w:top w:w="100" w:type="dxa"/>
              <w:bottom w:w="100" w:type="dxa"/>
              <w:left w:w="150" w:type="dxa"/>
              <w:right w:w="150" w:type="dxa"/>
            </w:tcMar>
            <w:tcBorders>
              <w:top w:val="none"/>
              <w:left w:val="none"/>
              <w:bottom w:val="single" w:sz="4" w:space="0" w:color="D0D0D0"/>
              <w:right w:val="none"/>
              <w:insideH w:val="none"/>
              <w:insideV w:val="none"/>
            </w:tcBorders>
          </w:tcPr>
          <w:p>
            <w:pPr>
              <w:spacing w:before="40" w:after="40"/>
            </w:pPr>
            <w:r>
              <w:rPr>
                <w:rFonts w:ascii="Poppins" w:hAnsi="Poppins"/>
                <w:b w:val="0"/>
                <w:color w:val="2C2C2C"/>
                <w:sz w:val="20"/>
              </w:rPr>
              <w:t>Verified Embedded in Process</w:t>
            </w:r>
          </w:p>
        </w:tc>
        <w:tc>
          <w:tcPr>
            <w:tcW w:type="dxa" w:w="3600"/>
            <w:shd w:fill="F2F2F2"/>
            <w:tcMar>
              <w:top w:w="100" w:type="dxa"/>
              <w:bottom w:w="100" w:type="dxa"/>
              <w:left w:w="150" w:type="dxa"/>
              <w:right w:w="150" w:type="dxa"/>
            </w:tcMar>
            <w:tcBorders>
              <w:top w:val="none"/>
              <w:left w:val="none"/>
              <w:bottom w:val="single" w:sz="4" w:space="0" w:color="D0D0D0"/>
              <w:right w:val="none"/>
              <w:insideH w:val="none"/>
              <w:insideV w:val="none"/>
            </w:tcBorders>
          </w:tcPr>
          <w:p>
            <w:pPr>
              <w:spacing w:before="40" w:after="40"/>
            </w:pPr>
            <w:r>
              <w:rPr>
                <w:rFonts w:ascii="Poppins" w:hAnsi="Poppins"/>
                <w:b w:val="0"/>
                <w:color w:val="2C2C2C"/>
                <w:sz w:val="20"/>
              </w:rPr>
              <w:t>Renders real-time 3D stereo viewports and coordinates gyro variables.</w:t>
            </w:r>
          </w:p>
        </w:tc>
      </w:tr>
      <w:tr>
        <w:tc>
          <w:tcPr>
            <w:tcW w:type="dxa" w:w="2592"/>
            <w:shd w:fill="FFFFFF"/>
            <w:tcMar>
              <w:top w:w="100" w:type="dxa"/>
              <w:bottom w:w="100" w:type="dxa"/>
              <w:left w:w="150" w:type="dxa"/>
              <w:right w:w="150" w:type="dxa"/>
            </w:tcMar>
            <w:tcBorders>
              <w:top w:val="none"/>
              <w:left w:val="none"/>
              <w:bottom w:val="single" w:sz="4" w:space="0" w:color="D0D0D0"/>
              <w:right w:val="none"/>
              <w:insideH w:val="none"/>
              <w:insideV w:val="none"/>
            </w:tcBorders>
          </w:tcPr>
          <w:p>
            <w:pPr>
              <w:spacing w:before="40" w:after="40"/>
            </w:pPr>
            <w:r>
              <w:rPr>
                <w:rFonts w:ascii="Poppins" w:hAnsi="Poppins"/>
                <w:b/>
                <w:color w:val="2C2C2C"/>
                <w:sz w:val="20"/>
              </w:rPr>
              <w:t>JSON Communication Bridge</w:t>
            </w:r>
          </w:p>
        </w:tc>
        <w:tc>
          <w:tcPr>
            <w:tcW w:type="dxa" w:w="3168"/>
            <w:shd w:fill="FFFFFF"/>
            <w:tcMar>
              <w:top w:w="100" w:type="dxa"/>
              <w:bottom w:w="100" w:type="dxa"/>
              <w:left w:w="150" w:type="dxa"/>
              <w:right w:w="150" w:type="dxa"/>
            </w:tcMar>
            <w:tcBorders>
              <w:top w:val="none"/>
              <w:left w:val="none"/>
              <w:bottom w:val="single" w:sz="4" w:space="0" w:color="D0D0D0"/>
              <w:right w:val="none"/>
              <w:insideH w:val="none"/>
              <w:insideV w:val="none"/>
            </w:tcBorders>
          </w:tcPr>
          <w:p>
            <w:pPr>
              <w:spacing w:before="40" w:after="40"/>
            </w:pPr>
            <w:r>
              <w:rPr>
                <w:rFonts w:ascii="Poppins" w:hAnsi="Poppins"/>
                <w:b w:val="0"/>
                <w:color w:val="2C2C2C"/>
                <w:sz w:val="20"/>
              </w:rPr>
              <w:t>Standard Envelope Protocol</w:t>
            </w:r>
          </w:p>
        </w:tc>
        <w:tc>
          <w:tcPr>
            <w:tcW w:type="dxa" w:w="3600"/>
            <w:shd w:fill="FFFFFF"/>
            <w:tcMar>
              <w:top w:w="100" w:type="dxa"/>
              <w:bottom w:w="100" w:type="dxa"/>
              <w:left w:w="150" w:type="dxa"/>
              <w:right w:w="150" w:type="dxa"/>
            </w:tcMar>
            <w:tcBorders>
              <w:top w:val="none"/>
              <w:left w:val="none"/>
              <w:bottom w:val="single" w:sz="4" w:space="0" w:color="D0D0D0"/>
              <w:right w:val="none"/>
              <w:insideH w:val="none"/>
              <w:insideV w:val="none"/>
            </w:tcBorders>
          </w:tcPr>
          <w:p>
            <w:pPr>
              <w:spacing w:before="40" w:after="40"/>
            </w:pPr>
            <w:r>
              <w:rPr>
                <w:rFonts w:ascii="Poppins" w:hAnsi="Poppins"/>
                <w:b w:val="0"/>
                <w:color w:val="2C2C2C"/>
                <w:sz w:val="20"/>
              </w:rPr>
              <w:t>Enforces bidirectional message serialization via string matrices across runtimes.</w:t>
            </w:r>
          </w:p>
        </w:tc>
      </w:tr>
      <w:tr>
        <w:tc>
          <w:tcPr>
            <w:tcW w:type="dxa" w:w="2592"/>
            <w:shd w:fill="F2F2F2"/>
            <w:tcMar>
              <w:top w:w="100" w:type="dxa"/>
              <w:bottom w:w="100" w:type="dxa"/>
              <w:left w:w="150" w:type="dxa"/>
              <w:right w:w="150" w:type="dxa"/>
            </w:tcMar>
            <w:tcBorders>
              <w:top w:val="none"/>
              <w:left w:val="none"/>
              <w:bottom w:val="single" w:sz="4" w:space="0" w:color="D0D0D0"/>
              <w:right w:val="none"/>
              <w:insideH w:val="none"/>
              <w:insideV w:val="none"/>
            </w:tcBorders>
          </w:tcPr>
          <w:p>
            <w:pPr>
              <w:spacing w:before="40" w:after="40"/>
            </w:pPr>
            <w:r>
              <w:rPr>
                <w:rFonts w:ascii="Poppins" w:hAnsi="Poppins"/>
                <w:b/>
                <w:color w:val="2C2C2C"/>
                <w:sz w:val="20"/>
              </w:rPr>
              <w:t>Firebase Service Layer</w:t>
            </w:r>
          </w:p>
        </w:tc>
        <w:tc>
          <w:tcPr>
            <w:tcW w:type="dxa" w:w="3168"/>
            <w:shd w:fill="F2F2F2"/>
            <w:tcMar>
              <w:top w:w="100" w:type="dxa"/>
              <w:bottom w:w="100" w:type="dxa"/>
              <w:left w:w="150" w:type="dxa"/>
              <w:right w:w="150" w:type="dxa"/>
            </w:tcMar>
            <w:tcBorders>
              <w:top w:val="none"/>
              <w:left w:val="none"/>
              <w:bottom w:val="single" w:sz="4" w:space="0" w:color="D0D0D0"/>
              <w:right w:val="none"/>
              <w:insideH w:val="none"/>
              <w:insideV w:val="none"/>
            </w:tcBorders>
          </w:tcPr>
          <w:p>
            <w:pPr>
              <w:spacing w:before="40" w:after="40"/>
            </w:pPr>
            <w:r>
              <w:rPr>
                <w:rFonts w:ascii="Poppins" w:hAnsi="Poppins"/>
                <w:b w:val="0"/>
                <w:color w:val="2C2C2C"/>
                <w:sz w:val="20"/>
              </w:rPr>
              <w:t>Firestore &amp; Storage Clients</w:t>
            </w:r>
          </w:p>
        </w:tc>
        <w:tc>
          <w:tcPr>
            <w:tcW w:type="dxa" w:w="3600"/>
            <w:shd w:fill="F2F2F2"/>
            <w:tcMar>
              <w:top w:w="100" w:type="dxa"/>
              <w:bottom w:w="100" w:type="dxa"/>
              <w:left w:w="150" w:type="dxa"/>
              <w:right w:w="150" w:type="dxa"/>
            </w:tcMar>
            <w:tcBorders>
              <w:top w:val="none"/>
              <w:left w:val="none"/>
              <w:bottom w:val="single" w:sz="4" w:space="0" w:color="D0D0D0"/>
              <w:right w:val="none"/>
              <w:insideH w:val="none"/>
              <w:insideV w:val="none"/>
            </w:tcBorders>
          </w:tcPr>
          <w:p>
            <w:pPr>
              <w:spacing w:before="40" w:after="40"/>
            </w:pPr>
            <w:r>
              <w:rPr>
                <w:rFonts w:ascii="Poppins" w:hAnsi="Poppins"/>
                <w:b w:val="0"/>
                <w:color w:val="2C2C2C"/>
                <w:sz w:val="20"/>
              </w:rPr>
              <w:t>Acts as the authoritative, shared cloud database backend ecosystem.</w:t>
            </w:r>
          </w:p>
        </w:tc>
      </w:tr>
    </w:tbl>
    <w:p>
      <w:pPr>
        <w:pStyle w:val="Heading1"/>
        <w:keepNext/>
        <w:spacing w:before="360" w:after="240"/>
      </w:pPr>
      <w:r>
        <w:rPr>
          <w:rFonts w:ascii="Poppins" w:hAnsi="Poppins"/>
          <w:b/>
          <w:color w:val="1A7A6E"/>
          <w:sz w:val="36"/>
        </w:rPr>
        <w:t>Chapter 3 — Front-End Scaling &amp; Form Factor Audit</w:t>
      </w:r>
    </w:p>
    <w:p>
      <w:r>
        <w:t>The client interface parses visual variables using the Poppins typography system mapped across structural components. To eliminate layout drift on small devices, sizes adapt dynamically using a scaling factor computed from the width of the display. Active forms and buttons enforce strict touch target compliance, securing a minimum 44x44px boundary shell across the interface.</w:t>
      </w:r>
    </w:p>
    <w:p>
      <w:pPr>
        <w:pStyle w:val="Heading1"/>
        <w:keepNext/>
        <w:spacing w:before="360" w:after="240"/>
      </w:pPr>
      <w:r>
        <w:rPr>
          <w:rFonts w:ascii="Poppins" w:hAnsi="Poppins"/>
          <w:b/>
          <w:color w:val="1A7A6E"/>
          <w:sz w:val="36"/>
        </w:rPr>
        <w:t>Chapter 4 — Speech Capture &amp; AI Analysis Integration</w:t>
      </w:r>
    </w:p>
    <w:p>
      <w:r>
        <w:t>Voice messages are captured via uncompressed 16kHz mono audio blocks, which upload immediately to storage before triggering metadata updates. Patient conversation structures route directly to Gemini 1.5 Flash models using a low temperature configuration (0.1) to generate stable interpretations. This system provides continuous mood updates to the clinician dashboard without manual refreshes.</w:t>
      </w:r>
    </w:p>
    <w:p>
      <w:pPr>
        <w:pStyle w:val="Heading1"/>
        <w:keepNext/>
        <w:spacing w:before="360" w:after="240"/>
      </w:pPr>
      <w:r>
        <w:rPr>
          <w:rFonts w:ascii="Poppins" w:hAnsi="Poppins"/>
          <w:b/>
          <w:color w:val="1A7A6E"/>
          <w:sz w:val="36"/>
        </w:rPr>
        <w:t>Chapter 5 — Native Compilation &amp; Module Gradle Packaging</w:t>
      </w:r>
    </w:p>
    <w:p>
      <w:r>
        <w:t>Compiling the two runtime contexts inside a single process requires advanced build configurations. The 3D assets are packed as an Android library, and dependencies are synchronized across modules by locking the workspace to AGP 8.10.0. The final build process optimizes manifests to strip duplicate launcher tags, yielding a single, stable release APK package.</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00" w:lineRule="auto" w:after="160"/>
    </w:pPr>
    <w:rPr>
      <w:rFonts w:ascii="Poppins" w:hAnsi="Poppins"/>
      <w:color w:val="595959"/>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