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E12"/>
          <w:sz w:val="48"/>
        </w:rPr>
        <w:t>Mentallico — Academic Backend System Documentation</w:t>
      </w:r>
    </w:p>
    <w:p>
      <w:pPr>
        <w:spacing w:after="160"/>
      </w:pPr>
      <w:r>
        <w:rPr>
          <w:b/>
        </w:rPr>
        <w:t>Subsystem:</w:t>
      </w:r>
      <w:r>
        <w:t xml:space="preserve"> Server-Side Architecture (Django REST Framework)</w:t>
      </w:r>
    </w:p>
    <w:p>
      <w:pPr>
        <w:spacing w:after="160"/>
      </w:pPr>
      <w:r>
        <w:rPr>
          <w:b/>
        </w:rPr>
        <w:t>Prepared as:</w:t>
      </w:r>
      <w:r>
        <w:t xml:space="preserve"> Companion chapter set to the UI/UX and Client (Flutter/Unity) Technical Reports</w:t>
      </w:r>
    </w:p>
    <w:p>
      <w:pPr>
        <w:spacing w:after="160"/>
      </w:pPr>
      <w:r>
        <w:rPr>
          <w:b/>
        </w:rPr>
        <w:t>Grounding statement:</w:t>
      </w:r>
      <w:r>
        <w:t xml:space="preserve"> Every technical claim in the five chapters below was verified directly against the live source tree (</w:t>
      </w:r>
      <w:r>
        <w:rPr>
          <w:rFonts w:ascii="Consolas" w:hAnsi="Consolas"/>
          <w:color w:val="C7254E"/>
          <w:sz w:val="20"/>
        </w:rPr>
        <w:t>apps/*</w:t>
      </w:r>
      <w:r>
        <w:t xml:space="preserve">, </w:t>
      </w:r>
      <w:r>
        <w:rPr>
          <w:rFonts w:ascii="Consolas" w:hAnsi="Consolas"/>
          <w:color w:val="C7254E"/>
          <w:sz w:val="20"/>
        </w:rPr>
        <w:t>config/settings/*</w:t>
      </w:r>
      <w:r>
        <w:t>), the pinned dependency manifest (</w:t>
      </w:r>
      <w:r>
        <w:rPr>
          <w:rFonts w:ascii="Consolas" w:hAnsi="Consolas"/>
          <w:color w:val="C7254E"/>
          <w:sz w:val="20"/>
        </w:rPr>
        <w:t>requirements.txt</w:t>
      </w:r>
      <w:r>
        <w:t>), and the running development environment. No detail is inferred from design intent or external convention; where a subsystem is a documented placeholder rather than a production-complete implementation, this is stated explicitly as such.</w:t>
      </w:r>
    </w:p>
    <w:p>
      <w:pPr>
        <w:pStyle w:val="Heading2"/>
      </w:pPr>
      <w:r>
        <w:t>Chapter 1 — Introduction &amp; System Architecture Scope</w:t>
      </w:r>
    </w:p>
    <w:p>
      <w:pPr>
        <w:pStyle w:val="Heading3"/>
      </w:pPr>
      <w:r>
        <w:t>1.1 Django as the Core Orchestration Layer</w:t>
      </w:r>
    </w:p>
    <w:p>
      <w:pPr>
        <w:spacing w:after="160"/>
      </w:pPr>
      <w:r>
        <w:t xml:space="preserve">The Mentallico backend is implemented as a </w:t>
      </w:r>
      <w:r>
        <w:rPr>
          <w:b/>
        </w:rPr>
        <w:t>Django 5.0.6</w:t>
      </w:r>
      <w:r>
        <w:t xml:space="preserve"> project, running under Python 3.13 within an isolated virtual environment (</w:t>
      </w:r>
      <w:r>
        <w:rPr>
          <w:rFonts w:ascii="Consolas" w:hAnsi="Consolas"/>
          <w:color w:val="C7254E"/>
          <w:sz w:val="20"/>
        </w:rPr>
        <w:t>venv</w:t>
      </w:r>
      <w:r>
        <w:t xml:space="preserve">), and exposing its entire public contract through </w:t>
      </w:r>
      <w:r>
        <w:rPr>
          <w:b/>
        </w:rPr>
        <w:t>Django REST Framework 3.15.2</w:t>
      </w:r>
      <w:r>
        <w:t xml:space="preserve"> as a versioned JSON API mounted at </w:t>
      </w:r>
      <w:r>
        <w:rPr>
          <w:rFonts w:ascii="Consolas" w:hAnsi="Consolas"/>
          <w:color w:val="C7254E"/>
          <w:sz w:val="20"/>
        </w:rPr>
        <w:t>/api/v1/</w:t>
      </w:r>
      <w:r>
        <w:t>. This backend constitutes the single, authoritative persistence and orchestration layer for the platform: every unit of durable application state — user identity, chat transcripts, mood and habit logs, community content, curated resources, and therapist directory records — is created, validated, and served exclusively through this Django project. No secondary datastore, and no client-side-authoritative data model, exists anywhere in the architecture.</w:t>
      </w:r>
    </w:p>
    <w:p>
      <w:pPr>
        <w:spacing w:after="160"/>
      </w:pPr>
      <w:r>
        <w:t xml:space="preserve">The backend's only outbound dependencies on third-party infrastructure are two narrowly-scoped HTTP integrations, both implemented as synchronous </w:t>
      </w:r>
      <w:r>
        <w:rPr>
          <w:rFonts w:ascii="Consolas" w:hAnsi="Consolas"/>
          <w:color w:val="C7254E"/>
          <w:sz w:val="20"/>
        </w:rPr>
        <w:t>requests</w:t>
      </w:r>
      <w:r>
        <w:t xml:space="preserve"> calls rather than SDK-mediated trust relationships:</w:t>
      </w:r>
    </w:p>
    <w:p>
      <w:pPr>
        <w:pStyle w:val="ListNumber"/>
      </w:pPr>
      <w:r>
        <w:t xml:space="preserve">A dedicated </w:t>
      </w:r>
      <w:r>
        <w:rPr>
          <w:b/>
        </w:rPr>
        <w:t>Hugging Face Space</w:t>
      </w:r>
      <w:r>
        <w:t xml:space="preserve"> (</w:t>
      </w:r>
      <w:r>
        <w:rPr>
          <w:rFonts w:ascii="Consolas" w:hAnsi="Consolas"/>
          <w:color w:val="C7254E"/>
          <w:sz w:val="20"/>
        </w:rPr>
        <w:t>Ziad9022/Mentallico-API-v2</w:t>
      </w:r>
      <w:r>
        <w:t>), which generates the AI assistant's conversational replies.</w:t>
      </w:r>
    </w:p>
    <w:p>
      <w:pPr>
        <w:pStyle w:val="ListNumber"/>
      </w:pPr>
      <w:r>
        <w:t xml:space="preserve">The </w:t>
      </w:r>
      <w:r>
        <w:rPr>
          <w:b/>
        </w:rPr>
        <w:t>official Google and Facebook Graph API verification endpoints</w:t>
      </w:r>
      <w:r>
        <w:t>, used to independently re-validate social sign-in tokens presented by the client before any identity claim is trusted (detailed in Chapter 3).</w:t>
      </w:r>
    </w:p>
    <w:p>
      <w:pPr>
        <w:spacing w:after="160"/>
      </w:pPr>
      <w:r>
        <w:t xml:space="preserve">No Firebase SDK, no Firestore client, and no generative-AI vendor other than the Hugging Face Space above appears anywhere in </w:t>
      </w:r>
      <w:r>
        <w:rPr>
          <w:rFonts w:ascii="Consolas" w:hAnsi="Consolas"/>
          <w:color w:val="C7254E"/>
          <w:sz w:val="20"/>
        </w:rPr>
        <w:t>INSTALLED_APPS</w:t>
      </w:r>
      <w:r>
        <w:t xml:space="preserve">, </w:t>
      </w:r>
      <w:r>
        <w:rPr>
          <w:rFonts w:ascii="Consolas" w:hAnsi="Consolas"/>
          <w:color w:val="C7254E"/>
          <w:sz w:val="20"/>
        </w:rPr>
        <w:t>requirements.txt</w:t>
      </w:r>
      <w:r>
        <w:t xml:space="preserve">, or </w:t>
      </w:r>
      <w:r>
        <w:rPr>
          <w:rFonts w:ascii="Consolas" w:hAnsi="Consolas"/>
          <w:color w:val="C7254E"/>
          <w:sz w:val="20"/>
        </w:rPr>
        <w:t>settings/base.py</w:t>
      </w:r>
      <w:r>
        <w:t>. This is a deliberate architectural posture: rather than depending on a managed real-time backend-as-a-service platform, Mentallico's Django layer owns 100% of its schema, migrations, and business logic, trading the convenience of a real-time listener layer for full control over data modeling, query semantics, and the ability to run identically against SQLite in development and PostgreSQL in production (Chapter 2) without any code branching.</w:t>
      </w:r>
    </w:p>
    <w:p>
      <w:pPr>
        <w:pStyle w:val="Heading3"/>
      </w:pPr>
      <w:r>
        <w:t>1.2 Separation of Concerns: Bounded-Context Application Design</w:t>
      </w:r>
    </w:p>
    <w:p>
      <w:pPr>
        <w:spacing w:after="160"/>
      </w:pPr>
      <w:r>
        <w:t xml:space="preserve">The backend's </w:t>
      </w:r>
      <w:r>
        <w:rPr>
          <w:rFonts w:ascii="Consolas" w:hAnsi="Consolas"/>
          <w:color w:val="C7254E"/>
          <w:sz w:val="20"/>
        </w:rPr>
        <w:t>apps/</w:t>
      </w:r>
      <w:r>
        <w:t xml:space="preserve"> package is partitioned along strict bounded-context lines. Each Django app is a self-contained vertical slice of the domain, owning its own models, serializers, views, and URL routes, and communicating with sibling apps only through explicit foreign-key relationships or shared service functions — never through implicit shared state: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CE6F1"/>
          </w:tcPr>
          <w:p>
            <w:pPr>
              <w:spacing w:after="40"/>
            </w:pPr>
            <w:r>
              <w:rPr>
                <w:b/>
                <w:sz w:val="19"/>
              </w:rPr>
              <w:t>App</w:t>
            </w:r>
          </w:p>
        </w:tc>
        <w:tc>
          <w:tcPr>
            <w:tcW w:type="dxa" w:w="3120"/>
            <w:shd w:val="clear" w:color="auto" w:fill="DCE6F1"/>
          </w:tcPr>
          <w:p>
            <w:pPr>
              <w:spacing w:after="40"/>
            </w:pPr>
            <w:r>
              <w:rPr>
                <w:b/>
                <w:sz w:val="19"/>
              </w:rPr>
              <w:t>Bounded Context</w:t>
            </w:r>
          </w:p>
        </w:tc>
        <w:tc>
          <w:tcPr>
            <w:tcW w:type="dxa" w:w="3120"/>
            <w:shd w:val="clear" w:color="auto" w:fill="DCE6F1"/>
          </w:tcPr>
          <w:p>
            <w:pPr>
              <w:spacing w:after="40"/>
            </w:pPr>
            <w:r>
              <w:rPr>
                <w:b/>
                <w:sz w:val="19"/>
              </w:rPr>
              <w:t>Primary Responsibility</w:t>
            </w:r>
          </w:p>
        </w:tc>
      </w:tr>
      <w:tr>
        <w:tc>
          <w:tcPr>
            <w:tcW w:type="dxa" w:w="3120"/>
          </w:tcPr>
          <w:p>
            <w:pPr>
              <w:spacing w:after="40"/>
            </w:pPr>
            <w:r>
              <w:rPr>
                <w:rFonts w:ascii="Consolas" w:hAnsi="Consolas"/>
                <w:color w:val="C7254E"/>
                <w:sz w:val="19"/>
              </w:rPr>
              <w:t>apps.users</w:t>
            </w:r>
          </w:p>
        </w:tc>
        <w:tc>
          <w:tcPr>
            <w:tcW w:type="dxa" w:w="3120"/>
          </w:tcPr>
          <w:p>
            <w:pPr>
              <w:spacing w:after="40"/>
            </w:pPr>
            <w:r>
              <w:rPr>
                <w:sz w:val="19"/>
              </w:rPr>
              <w:t>Identity</w:t>
            </w:r>
          </w:p>
        </w:tc>
        <w:tc>
          <w:tcPr>
            <w:tcW w:type="dxa" w:w="3120"/>
          </w:tcPr>
          <w:p>
            <w:pPr>
              <w:spacing w:after="40"/>
            </w:pPr>
            <w:r>
              <w:rPr>
                <w:sz w:val="19"/>
              </w:rPr>
              <w:t xml:space="preserve">Custom </w:t>
            </w:r>
            <w:r>
              <w:rPr>
                <w:rFonts w:ascii="Consolas" w:hAnsi="Consolas"/>
                <w:color w:val="C7254E"/>
                <w:sz w:val="19"/>
              </w:rPr>
              <w:t>User</w:t>
            </w:r>
            <w:r>
              <w:rPr>
                <w:sz w:val="19"/>
              </w:rPr>
              <w:t xml:space="preserve"> model, registration, JWT/social login, emergency contacts</w:t>
            </w:r>
          </w:p>
        </w:tc>
      </w:tr>
      <w:tr>
        <w:tc>
          <w:tcPr>
            <w:tcW w:type="dxa" w:w="3120"/>
          </w:tcPr>
          <w:p>
            <w:pPr>
              <w:spacing w:after="40"/>
            </w:pPr>
            <w:r>
              <w:rPr>
                <w:rFonts w:ascii="Consolas" w:hAnsi="Consolas"/>
                <w:color w:val="C7254E"/>
                <w:sz w:val="19"/>
              </w:rPr>
              <w:t>apps.chat</w:t>
            </w:r>
          </w:p>
        </w:tc>
        <w:tc>
          <w:tcPr>
            <w:tcW w:type="dxa" w:w="3120"/>
          </w:tcPr>
          <w:p>
            <w:pPr>
              <w:spacing w:after="40"/>
            </w:pPr>
            <w:r>
              <w:rPr>
                <w:sz w:val="19"/>
              </w:rPr>
              <w:t>Conversation</w:t>
            </w:r>
          </w:p>
        </w:tc>
        <w:tc>
          <w:tcPr>
            <w:tcW w:type="dxa" w:w="3120"/>
          </w:tcPr>
          <w:p>
            <w:pPr>
              <w:spacing w:after="40"/>
            </w:pPr>
            <w:r>
              <w:rPr>
                <w:sz w:val="19"/>
              </w:rPr>
              <w:t>Chat sessions/messages, Hugging Face Space integration, inline mock analysis</w:t>
            </w:r>
          </w:p>
        </w:tc>
      </w:tr>
      <w:tr>
        <w:tc>
          <w:tcPr>
            <w:tcW w:type="dxa" w:w="3120"/>
          </w:tcPr>
          <w:p>
            <w:pPr>
              <w:spacing w:after="40"/>
            </w:pPr>
            <w:r>
              <w:rPr>
                <w:rFonts w:ascii="Consolas" w:hAnsi="Consolas"/>
                <w:color w:val="C7254E"/>
                <w:sz w:val="19"/>
              </w:rPr>
              <w:t>apps.diagnostics</w:t>
            </w:r>
          </w:p>
        </w:tc>
        <w:tc>
          <w:tcPr>
            <w:tcW w:type="dxa" w:w="3120"/>
          </w:tcPr>
          <w:p>
            <w:pPr>
              <w:spacing w:after="40"/>
            </w:pPr>
            <w:r>
              <w:rPr>
                <w:sz w:val="19"/>
              </w:rPr>
              <w:t>Clinical Analysis</w:t>
            </w:r>
          </w:p>
        </w:tc>
        <w:tc>
          <w:tcPr>
            <w:tcW w:type="dxa" w:w="3120"/>
          </w:tcPr>
          <w:p>
            <w:pPr>
              <w:spacing w:after="40"/>
            </w:pPr>
            <w:r>
              <w:rPr>
                <w:sz w:val="19"/>
              </w:rPr>
              <w:t>Schema-complete NLP report model, asynchronous analysis trigger</w:t>
            </w:r>
          </w:p>
        </w:tc>
      </w:tr>
      <w:tr>
        <w:tc>
          <w:tcPr>
            <w:tcW w:type="dxa" w:w="3120"/>
          </w:tcPr>
          <w:p>
            <w:pPr>
              <w:spacing w:after="40"/>
            </w:pPr>
            <w:r>
              <w:rPr>
                <w:rFonts w:ascii="Consolas" w:hAnsi="Consolas"/>
                <w:color w:val="C7254E"/>
                <w:sz w:val="19"/>
              </w:rPr>
              <w:t>apps.wellness</w:t>
            </w:r>
          </w:p>
        </w:tc>
        <w:tc>
          <w:tcPr>
            <w:tcW w:type="dxa" w:w="3120"/>
          </w:tcPr>
          <w:p>
            <w:pPr>
              <w:spacing w:after="40"/>
            </w:pPr>
            <w:r>
              <w:rPr>
                <w:sz w:val="19"/>
              </w:rPr>
              <w:t>Self-Tracking</w:t>
            </w:r>
          </w:p>
        </w:tc>
        <w:tc>
          <w:tcPr>
            <w:tcW w:type="dxa" w:w="3120"/>
          </w:tcPr>
          <w:p>
            <w:pPr>
              <w:spacing w:after="40"/>
            </w:pPr>
            <w:r>
              <w:rPr>
                <w:sz w:val="19"/>
              </w:rPr>
              <w:t>Mood calendar, journal entries, habit completion</w:t>
            </w:r>
          </w:p>
        </w:tc>
      </w:tr>
      <w:tr>
        <w:tc>
          <w:tcPr>
            <w:tcW w:type="dxa" w:w="3120"/>
          </w:tcPr>
          <w:p>
            <w:pPr>
              <w:spacing w:after="40"/>
            </w:pPr>
            <w:r>
              <w:rPr>
                <w:rFonts w:ascii="Consolas" w:hAnsi="Consolas"/>
                <w:color w:val="C7254E"/>
                <w:sz w:val="19"/>
              </w:rPr>
              <w:t>apps.community</w:t>
            </w:r>
          </w:p>
        </w:tc>
        <w:tc>
          <w:tcPr>
            <w:tcW w:type="dxa" w:w="3120"/>
          </w:tcPr>
          <w:p>
            <w:pPr>
              <w:spacing w:after="40"/>
            </w:pPr>
            <w:r>
              <w:rPr>
                <w:sz w:val="19"/>
              </w:rPr>
              <w:t>Social</w:t>
            </w:r>
          </w:p>
        </w:tc>
        <w:tc>
          <w:tcPr>
            <w:tcW w:type="dxa" w:w="3120"/>
          </w:tcPr>
          <w:p>
            <w:pPr>
              <w:spacing w:after="40"/>
            </w:pPr>
            <w:r>
              <w:rPr>
                <w:sz w:val="19"/>
              </w:rPr>
              <w:t>Posts, likes, saves, comments</w:t>
            </w:r>
          </w:p>
        </w:tc>
      </w:tr>
      <w:tr>
        <w:tc>
          <w:tcPr>
            <w:tcW w:type="dxa" w:w="3120"/>
          </w:tcPr>
          <w:p>
            <w:pPr>
              <w:spacing w:after="40"/>
            </w:pPr>
            <w:r>
              <w:rPr>
                <w:rFonts w:ascii="Consolas" w:hAnsi="Consolas"/>
                <w:color w:val="C7254E"/>
                <w:sz w:val="19"/>
              </w:rPr>
              <w:t>apps.resources</w:t>
            </w:r>
          </w:p>
        </w:tc>
        <w:tc>
          <w:tcPr>
            <w:tcW w:type="dxa" w:w="3120"/>
          </w:tcPr>
          <w:p>
            <w:pPr>
              <w:spacing w:after="40"/>
            </w:pPr>
            <w:r>
              <w:rPr>
                <w:sz w:val="19"/>
              </w:rPr>
              <w:t>Content Library</w:t>
            </w:r>
          </w:p>
        </w:tc>
        <w:tc>
          <w:tcPr>
            <w:tcW w:type="dxa" w:w="3120"/>
          </w:tcPr>
          <w:p>
            <w:pPr>
              <w:spacing w:after="40"/>
            </w:pPr>
            <w:r>
              <w:rPr>
                <w:sz w:val="19"/>
              </w:rPr>
              <w:t>Curated articles/media, categorization, user bookmarks</w:t>
            </w:r>
          </w:p>
        </w:tc>
      </w:tr>
      <w:tr>
        <w:tc>
          <w:tcPr>
            <w:tcW w:type="dxa" w:w="3120"/>
          </w:tcPr>
          <w:p>
            <w:pPr>
              <w:spacing w:after="40"/>
            </w:pPr>
            <w:r>
              <w:rPr>
                <w:rFonts w:ascii="Consolas" w:hAnsi="Consolas"/>
                <w:color w:val="C7254E"/>
                <w:sz w:val="19"/>
              </w:rPr>
              <w:t>apps.therapists</w:t>
            </w:r>
          </w:p>
        </w:tc>
        <w:tc>
          <w:tcPr>
            <w:tcW w:type="dxa" w:w="3120"/>
          </w:tcPr>
          <w:p>
            <w:pPr>
              <w:spacing w:after="40"/>
            </w:pPr>
            <w:r>
              <w:rPr>
                <w:sz w:val="19"/>
              </w:rPr>
              <w:t>Directory</w:t>
            </w:r>
          </w:p>
        </w:tc>
        <w:tc>
          <w:tcPr>
            <w:tcW w:type="dxa" w:w="3120"/>
          </w:tcPr>
          <w:p>
            <w:pPr>
              <w:spacing w:after="40"/>
            </w:pPr>
            <w:r>
              <w:rPr>
                <w:sz w:val="19"/>
              </w:rPr>
              <w:t>Licensed therapist listings</w:t>
            </w:r>
          </w:p>
        </w:tc>
      </w:tr>
    </w:tbl>
    <w:p/>
    <w:p>
      <w:pPr>
        <w:spacing w:after="160"/>
      </w:pPr>
      <w:r>
        <w:t>This decomposition yields three properties of direct architectural significance:</w:t>
      </w:r>
    </w:p>
    <w:p>
      <w:pPr>
        <w:pStyle w:val="ListBullet"/>
      </w:pPr>
      <w:r>
        <w:rPr>
          <w:b/>
        </w:rPr>
        <w:t>Independent evolvability</w:t>
      </w:r>
      <w:r>
        <w:t xml:space="preserve"> — the mock analysis engine inside </w:t>
      </w:r>
      <w:r>
        <w:rPr>
          <w:rFonts w:ascii="Consolas" w:hAnsi="Consolas"/>
          <w:color w:val="C7254E"/>
          <w:sz w:val="20"/>
        </w:rPr>
        <w:t>apps.chat</w:t>
      </w:r>
      <w:r>
        <w:t xml:space="preserve"> (Chapter 4) can be superseded by the schema-complete pipeline in </w:t>
      </w:r>
      <w:r>
        <w:rPr>
          <w:rFonts w:ascii="Consolas" w:hAnsi="Consolas"/>
          <w:color w:val="C7254E"/>
          <w:sz w:val="20"/>
        </w:rPr>
        <w:t>apps.diagnostics</w:t>
      </w:r>
      <w:r>
        <w:t xml:space="preserve"> without any change to </w:t>
      </w:r>
      <w:r>
        <w:rPr>
          <w:rFonts w:ascii="Consolas" w:hAnsi="Consolas"/>
          <w:color w:val="C7254E"/>
          <w:sz w:val="20"/>
        </w:rPr>
        <w:t>apps.community</w:t>
      </w:r>
      <w:r>
        <w:t xml:space="preserve">, </w:t>
      </w:r>
      <w:r>
        <w:rPr>
          <w:rFonts w:ascii="Consolas" w:hAnsi="Consolas"/>
          <w:color w:val="C7254E"/>
          <w:sz w:val="20"/>
        </w:rPr>
        <w:t>apps.wellness</w:t>
      </w:r>
      <w:r>
        <w:t>, or any other bounded context.</w:t>
      </w:r>
    </w:p>
    <w:p>
      <w:pPr>
        <w:pStyle w:val="ListBullet"/>
      </w:pPr>
      <w:r>
        <w:rPr>
          <w:b/>
        </w:rPr>
        <w:t>Uniform security contract</w:t>
      </w:r>
      <w:r>
        <w:t xml:space="preserve"> — authentication and permission enforcement are configured exactly once, globally, in </w:t>
      </w:r>
      <w:r>
        <w:rPr>
          <w:rFonts w:ascii="Consolas" w:hAnsi="Consolas"/>
          <w:color w:val="C7254E"/>
          <w:sz w:val="20"/>
        </w:rPr>
        <w:t>REST_FRAMEWORK</w:t>
      </w:r>
      <w:r>
        <w:t xml:space="preserve"> (Chapter 3), so no individual app can silently diverge from the platform's security posture.</w:t>
      </w:r>
    </w:p>
    <w:p>
      <w:pPr>
        <w:pStyle w:val="ListBullet"/>
      </w:pPr>
      <w:r>
        <w:rPr>
          <w:b/>
        </w:rPr>
        <w:t>Migration isolation</w:t>
      </w:r>
      <w:r>
        <w:t xml:space="preserve"> — each app maintains its own Django migration history, meaning schema evolution in one bounded context carries zero risk of an unrelated context's tables being implicitly altered.</w:t>
      </w:r>
    </w:p>
    <w:p>
      <w:pPr>
        <w:spacing w:after="160"/>
      </w:pPr>
      <w:r>
        <w:t>The client (a React 19 / Vite single-page application) consumes this API purely as a REST client: it performs optimistic local-state updates (for example, a "like" or "save" toggle updates the UI immediately, then reconciles against the server's authoritative response) rather than subscribing to server-pushed real-time deltas. This is a coherent and complete architectural choice for a request/response, CRUD-centric application of this shape, and is documented here as such rather than as an omission.</w:t>
      </w:r>
    </w:p>
    <w:p>
      <w:r>
        <w:br w:type="page"/>
      </w:r>
    </w:p>
    <w:p>
      <w:pPr>
        <w:pStyle w:val="Heading2"/>
      </w:pPr>
      <w:r>
        <w:t>Chapter 2 — Database Design, Schema &amp; Context Topology</w:t>
      </w:r>
    </w:p>
    <w:p>
      <w:pPr>
        <w:pStyle w:val="Heading3"/>
      </w:pPr>
      <w:r>
        <w:t>2.1 Environment-Driven Database Topology</w:t>
      </w:r>
    </w:p>
    <w:p>
      <w:pPr>
        <w:spacing w:after="160"/>
      </w:pPr>
      <w:r>
        <w:t xml:space="preserve">Database connectivity is resolved through a single environment variable, </w:t>
      </w:r>
      <w:r>
        <w:rPr>
          <w:rFonts w:ascii="Consolas" w:hAnsi="Consolas"/>
          <w:color w:val="C7254E"/>
          <w:sz w:val="20"/>
        </w:rPr>
        <w:t>DATABASE_URL</w:t>
      </w:r>
      <w:r>
        <w:t xml:space="preserve">, parsed by </w:t>
      </w:r>
      <w:r>
        <w:rPr>
          <w:rFonts w:ascii="Consolas" w:hAnsi="Consolas"/>
          <w:color w:val="C7254E"/>
          <w:sz w:val="20"/>
        </w:rPr>
        <w:t>django-environ</w:t>
      </w:r>
      <w:r>
        <w:t xml:space="preserve">'s </w:t>
      </w:r>
      <w:r>
        <w:rPr>
          <w:rFonts w:ascii="Consolas" w:hAnsi="Consolas"/>
          <w:color w:val="C7254E"/>
          <w:sz w:val="20"/>
        </w:rPr>
        <w:t>env.db()</w:t>
      </w:r>
      <w:r>
        <w:t xml:space="preserve"> helper. This is the mechanism by which the </w:t>
      </w:r>
      <w:r>
        <w:rPr>
          <w:b/>
        </w:rPr>
        <w:t>identical</w:t>
      </w:r>
      <w:r>
        <w:t xml:space="preserve"> codebase and migration graph run against SQLite locally and PostgreSQL in staging/production, with no conditional logic in application code:</w:t>
      </w:r>
    </w:p>
    <w:p>
      <w:pPr>
        <w:spacing w:before="120" w:after="120"/>
        <w:ind w:left="432"/>
        <w:shd w:val="clear" w:color="auto" w:fill="F2F2F2"/>
      </w:pPr>
      <w:r>
        <w:rPr>
          <w:rFonts w:ascii="Consolas" w:hAnsi="Consolas"/>
          <w:color w:val="333333"/>
          <w:sz w:val="19"/>
        </w:rPr>
        <w:t># config/settings/base.py</w:t>
        <w:br/>
        <w:t>DATABASES = {</w:t>
        <w:br/>
        <w:t xml:space="preserve">    "default": env.db("DATABASE_URL", default=f"sqlite:///{BASE_DIR / 'db.sqlite3'}"),</w:t>
        <w:b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CE6F1"/>
          </w:tcPr>
          <w:p>
            <w:pPr>
              <w:spacing w:after="40"/>
            </w:pPr>
            <w:r>
              <w:rPr>
                <w:b/>
                <w:sz w:val="19"/>
              </w:rPr>
              <w:t>Environment</w:t>
            </w:r>
          </w:p>
        </w:tc>
        <w:tc>
          <w:tcPr>
            <w:tcW w:type="dxa" w:w="2340"/>
            <w:shd w:val="clear" w:color="auto" w:fill="DCE6F1"/>
          </w:tcPr>
          <w:p>
            <w:pPr>
              <w:spacing w:after="40"/>
            </w:pPr>
            <w:r>
              <w:rPr>
                <w:rFonts w:ascii="Consolas" w:hAnsi="Consolas"/>
                <w:b/>
                <w:color w:val="C7254E"/>
                <w:sz w:val="19"/>
              </w:rPr>
              <w:t>DATABASE_URL</w:t>
            </w:r>
          </w:p>
        </w:tc>
        <w:tc>
          <w:tcPr>
            <w:tcW w:type="dxa" w:w="2340"/>
            <w:shd w:val="clear" w:color="auto" w:fill="DCE6F1"/>
          </w:tcPr>
          <w:p>
            <w:pPr>
              <w:spacing w:after="40"/>
            </w:pPr>
            <w:r>
              <w:rPr>
                <w:b/>
                <w:sz w:val="19"/>
              </w:rPr>
              <w:t>Resolved Engine</w:t>
            </w:r>
          </w:p>
        </w:tc>
        <w:tc>
          <w:tcPr>
            <w:tcW w:type="dxa" w:w="2340"/>
            <w:shd w:val="clear" w:color="auto" w:fill="DCE6F1"/>
          </w:tcPr>
          <w:p>
            <w:pPr>
              <w:spacing w:after="40"/>
            </w:pPr>
            <w:r>
              <w:rPr>
                <w:b/>
                <w:sz w:val="19"/>
              </w:rPr>
              <w:t>Driver</w:t>
            </w:r>
          </w:p>
        </w:tc>
      </w:tr>
      <w:tr>
        <w:tc>
          <w:tcPr>
            <w:tcW w:type="dxa" w:w="2340"/>
          </w:tcPr>
          <w:p>
            <w:pPr>
              <w:spacing w:after="40"/>
            </w:pPr>
            <w:r>
              <w:rPr>
                <w:sz w:val="19"/>
              </w:rPr>
              <w:t>Local development (default, unset)</w:t>
            </w:r>
          </w:p>
        </w:tc>
        <w:tc>
          <w:tcPr>
            <w:tcW w:type="dxa" w:w="2340"/>
          </w:tcPr>
          <w:p>
            <w:pPr>
              <w:spacing w:after="40"/>
            </w:pPr>
            <w:r>
              <w:rPr>
                <w:sz w:val="19"/>
              </w:rPr>
              <w:t>(falls back to default)</w:t>
            </w:r>
          </w:p>
        </w:tc>
        <w:tc>
          <w:tcPr>
            <w:tcW w:type="dxa" w:w="2340"/>
          </w:tcPr>
          <w:p>
            <w:pPr>
              <w:spacing w:after="40"/>
            </w:pPr>
            <w:r>
              <w:rPr>
                <w:rFonts w:ascii="Consolas" w:hAnsi="Consolas"/>
                <w:color w:val="C7254E"/>
                <w:sz w:val="19"/>
              </w:rPr>
              <w:t>django.db.backends.sqlite3</w:t>
            </w:r>
          </w:p>
        </w:tc>
        <w:tc>
          <w:tcPr>
            <w:tcW w:type="dxa" w:w="2340"/>
          </w:tcPr>
          <w:p>
            <w:pPr>
              <w:spacing w:after="40"/>
            </w:pPr>
            <w:r>
              <w:rPr>
                <w:sz w:val="19"/>
              </w:rPr>
              <w:t>Built into Python's standard library</w:t>
            </w:r>
          </w:p>
        </w:tc>
      </w:tr>
      <w:tr>
        <w:tc>
          <w:tcPr>
            <w:tcW w:type="dxa" w:w="2340"/>
          </w:tcPr>
          <w:p>
            <w:pPr>
              <w:spacing w:after="40"/>
            </w:pPr>
            <w:r>
              <w:rPr>
                <w:sz w:val="19"/>
              </w:rPr>
              <w:t>Staging / Production</w:t>
            </w:r>
          </w:p>
        </w:tc>
        <w:tc>
          <w:tcPr>
            <w:tcW w:type="dxa" w:w="2340"/>
          </w:tcPr>
          <w:p>
            <w:pPr>
              <w:spacing w:after="40"/>
            </w:pPr>
            <w:r>
              <w:rPr>
                <w:rFonts w:ascii="Consolas" w:hAnsi="Consolas"/>
                <w:color w:val="C7254E"/>
                <w:sz w:val="19"/>
              </w:rPr>
              <w:t>postgres://user:password@host:5432/mentallico_db</w:t>
            </w:r>
          </w:p>
        </w:tc>
        <w:tc>
          <w:tcPr>
            <w:tcW w:type="dxa" w:w="2340"/>
          </w:tcPr>
          <w:p>
            <w:pPr>
              <w:spacing w:after="40"/>
            </w:pPr>
            <w:r>
              <w:rPr>
                <w:rFonts w:ascii="Consolas" w:hAnsi="Consolas"/>
                <w:color w:val="C7254E"/>
                <w:sz w:val="19"/>
              </w:rPr>
              <w:t>django.db.backends.postgresql</w:t>
            </w:r>
          </w:p>
        </w:tc>
        <w:tc>
          <w:tcPr>
            <w:tcW w:type="dxa" w:w="2340"/>
          </w:tcPr>
          <w:p>
            <w:pPr>
              <w:spacing w:after="40"/>
            </w:pPr>
            <w:r>
              <w:rPr>
                <w:rFonts w:ascii="Consolas" w:hAnsi="Consolas"/>
                <w:color w:val="C7254E"/>
                <w:sz w:val="19"/>
              </w:rPr>
              <w:t>psycopg2-binary==2.9.10</w:t>
            </w:r>
          </w:p>
        </w:tc>
      </w:tr>
    </w:tbl>
    <w:p/>
    <w:p>
      <w:pPr>
        <w:spacing w:after="160"/>
      </w:pPr>
      <w:r>
        <w:t>Every model field used throughout the schema is engine-agnostic (</w:t>
      </w:r>
      <w:r>
        <w:rPr>
          <w:rFonts w:ascii="Consolas" w:hAnsi="Consolas"/>
          <w:color w:val="C7254E"/>
          <w:sz w:val="20"/>
        </w:rPr>
        <w:t>UUIDField</w:t>
      </w:r>
      <w:r>
        <w:t xml:space="preserve">, </w:t>
      </w:r>
      <w:r>
        <w:rPr>
          <w:rFonts w:ascii="Consolas" w:hAnsi="Consolas"/>
          <w:color w:val="C7254E"/>
          <w:sz w:val="20"/>
        </w:rPr>
        <w:t>JSONField</w:t>
      </w:r>
      <w:r>
        <w:t xml:space="preserve">, </w:t>
      </w:r>
      <w:r>
        <w:rPr>
          <w:rFonts w:ascii="Consolas" w:hAnsi="Consolas"/>
          <w:color w:val="C7254E"/>
          <w:sz w:val="20"/>
        </w:rPr>
        <w:t>ImageField</w:t>
      </w:r>
      <w:r>
        <w:t xml:space="preserve">, </w:t>
      </w:r>
      <w:r>
        <w:rPr>
          <w:rFonts w:ascii="Consolas" w:hAnsi="Consolas"/>
          <w:color w:val="C7254E"/>
          <w:sz w:val="20"/>
        </w:rPr>
        <w:t>DecimalField</w:t>
      </w:r>
      <w:r>
        <w:t xml:space="preserve">, </w:t>
      </w:r>
      <w:r>
        <w:rPr>
          <w:rFonts w:ascii="Consolas" w:hAnsi="Consolas"/>
          <w:color w:val="C7254E"/>
          <w:sz w:val="20"/>
        </w:rPr>
        <w:t>TextChoices</w:t>
      </w:r>
      <w:r>
        <w:t xml:space="preserve">-backed </w:t>
      </w:r>
      <w:r>
        <w:rPr>
          <w:rFonts w:ascii="Consolas" w:hAnsi="Consolas"/>
          <w:color w:val="C7254E"/>
          <w:sz w:val="20"/>
        </w:rPr>
        <w:t>CharField</w:t>
      </w:r>
      <w:r>
        <w:t>) — no PostgreSQL-exclusive column type is used, which guarantees the migration graph applies identically regardless of the resolved backend.</w:t>
      </w:r>
    </w:p>
    <w:p>
      <w:pPr>
        <w:pStyle w:val="Heading3"/>
      </w:pPr>
      <w:r>
        <w:t>2.2 Identity &amp; Directory Schema — User / Expert (Therapist)</w:t>
      </w:r>
    </w:p>
    <w:p>
      <w:pPr>
        <w:spacing w:after="160"/>
      </w:pPr>
      <w:r>
        <w:rPr>
          <w:b/>
        </w:rPr>
        <w:t>`User`</w:t>
      </w:r>
      <w:r>
        <w:t xml:space="preserve"> (</w:t>
      </w:r>
      <w:r>
        <w:rPr>
          <w:rFonts w:ascii="Consolas" w:hAnsi="Consolas"/>
          <w:color w:val="C7254E"/>
          <w:sz w:val="20"/>
        </w:rPr>
        <w:t>apps.users.models.User</w:t>
      </w:r>
      <w:r>
        <w:t xml:space="preserve">) — a fully custom </w:t>
      </w:r>
      <w:r>
        <w:rPr>
          <w:rFonts w:ascii="Consolas" w:hAnsi="Consolas"/>
          <w:color w:val="C7254E"/>
          <w:sz w:val="20"/>
        </w:rPr>
        <w:t>AbstractBaseUser</w:t>
      </w:r>
      <w:r>
        <w:t xml:space="preserve"> implementation using </w:t>
      </w:r>
      <w:r>
        <w:rPr>
          <w:b/>
        </w:rPr>
        <w:t>email</w:t>
      </w:r>
      <w:r>
        <w:t>, not username, as the authentication identifier: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CE6F1"/>
          </w:tcPr>
          <w:p>
            <w:pPr>
              <w:spacing w:after="40"/>
            </w:pPr>
            <w:r>
              <w:rPr>
                <w:b/>
                <w:sz w:val="19"/>
              </w:rPr>
              <w:t>Field</w:t>
            </w:r>
          </w:p>
        </w:tc>
        <w:tc>
          <w:tcPr>
            <w:tcW w:type="dxa" w:w="3120"/>
            <w:shd w:val="clear" w:color="auto" w:fill="DCE6F1"/>
          </w:tcPr>
          <w:p>
            <w:pPr>
              <w:spacing w:after="40"/>
            </w:pPr>
            <w:r>
              <w:rPr>
                <w:b/>
                <w:sz w:val="19"/>
              </w:rPr>
              <w:t>Type</w:t>
            </w:r>
          </w:p>
        </w:tc>
        <w:tc>
          <w:tcPr>
            <w:tcW w:type="dxa" w:w="3120"/>
            <w:shd w:val="clear" w:color="auto" w:fill="DCE6F1"/>
          </w:tcPr>
          <w:p>
            <w:pPr>
              <w:spacing w:after="40"/>
            </w:pPr>
            <w:r>
              <w:rPr>
                <w:b/>
                <w:sz w:val="19"/>
              </w:rPr>
              <w:t>Description</w:t>
            </w:r>
          </w:p>
        </w:tc>
      </w:tr>
      <w:tr>
        <w:tc>
          <w:tcPr>
            <w:tcW w:type="dxa" w:w="3120"/>
          </w:tcPr>
          <w:p>
            <w:pPr>
              <w:spacing w:after="40"/>
            </w:pPr>
            <w:r>
              <w:rPr>
                <w:rFonts w:ascii="Consolas" w:hAnsi="Consolas"/>
                <w:color w:val="C7254E"/>
                <w:sz w:val="19"/>
              </w:rPr>
              <w:t>email</w:t>
            </w:r>
          </w:p>
        </w:tc>
        <w:tc>
          <w:tcPr>
            <w:tcW w:type="dxa" w:w="3120"/>
          </w:tcPr>
          <w:p>
            <w:pPr>
              <w:spacing w:after="40"/>
            </w:pPr>
            <w:r>
              <w:rPr>
                <w:rFonts w:ascii="Consolas" w:hAnsi="Consolas"/>
                <w:color w:val="C7254E"/>
                <w:sz w:val="19"/>
              </w:rPr>
              <w:t>EmailField</w:t>
            </w:r>
            <w:r>
              <w:rPr>
                <w:sz w:val="19"/>
              </w:rPr>
              <w:t>, unique, indexed</w:t>
            </w:r>
          </w:p>
        </w:tc>
        <w:tc>
          <w:tcPr>
            <w:tcW w:type="dxa" w:w="3120"/>
          </w:tcPr>
          <w:p>
            <w:pPr>
              <w:spacing w:after="40"/>
            </w:pPr>
            <w:r>
              <w:rPr>
                <w:rFonts w:ascii="Consolas" w:hAnsi="Consolas"/>
                <w:color w:val="C7254E"/>
                <w:sz w:val="19"/>
              </w:rPr>
              <w:t>USERNAME_FIELD</w:t>
            </w:r>
            <w:r>
              <w:rPr>
                <w:sz w:val="19"/>
              </w:rPr>
              <w:t>; the sole login identifier</w:t>
            </w:r>
          </w:p>
        </w:tc>
      </w:tr>
      <w:tr>
        <w:tc>
          <w:tcPr>
            <w:tcW w:type="dxa" w:w="3120"/>
          </w:tcPr>
          <w:p>
            <w:pPr>
              <w:spacing w:after="40"/>
            </w:pPr>
            <w:r>
              <w:rPr>
                <w:rFonts w:ascii="Consolas" w:hAnsi="Consolas"/>
                <w:color w:val="C7254E"/>
                <w:sz w:val="19"/>
              </w:rPr>
              <w:t>first_name</w:t>
            </w:r>
            <w:r>
              <w:rPr>
                <w:sz w:val="19"/>
              </w:rPr>
              <w:t xml:space="preserve">, </w:t>
            </w:r>
            <w:r>
              <w:rPr>
                <w:rFonts w:ascii="Consolas" w:hAnsi="Consolas"/>
                <w:color w:val="C7254E"/>
                <w:sz w:val="19"/>
              </w:rPr>
              <w:t>last_name</w:t>
            </w:r>
          </w:p>
        </w:tc>
        <w:tc>
          <w:tcPr>
            <w:tcW w:type="dxa" w:w="3120"/>
          </w:tcPr>
          <w:p>
            <w:pPr>
              <w:spacing w:after="40"/>
            </w:pPr>
            <w:r>
              <w:rPr>
                <w:rFonts w:ascii="Consolas" w:hAnsi="Consolas"/>
                <w:color w:val="C7254E"/>
                <w:sz w:val="19"/>
              </w:rPr>
              <w:t>CharField</w:t>
            </w:r>
          </w:p>
        </w:tc>
        <w:tc>
          <w:tcPr>
            <w:tcW w:type="dxa" w:w="3120"/>
          </w:tcPr>
          <w:p>
            <w:pPr>
              <w:spacing w:after="40"/>
            </w:pPr>
            <w:r>
              <w:rPr>
                <w:rFonts w:ascii="Consolas" w:hAnsi="Consolas"/>
                <w:color w:val="C7254E"/>
                <w:sz w:val="19"/>
              </w:rPr>
              <w:t>REQUIRED_FIELDS</w:t>
            </w:r>
            <w:r>
              <w:rPr>
                <w:sz w:val="19"/>
              </w:rPr>
              <w:t xml:space="preserve"> for </w:t>
            </w:r>
            <w:r>
              <w:rPr>
                <w:rFonts w:ascii="Consolas" w:hAnsi="Consolas"/>
                <w:color w:val="C7254E"/>
                <w:sz w:val="19"/>
              </w:rPr>
              <w:t>createsuperuser</w:t>
            </w:r>
          </w:p>
        </w:tc>
      </w:tr>
      <w:tr>
        <w:tc>
          <w:tcPr>
            <w:tcW w:type="dxa" w:w="3120"/>
          </w:tcPr>
          <w:p>
            <w:pPr>
              <w:spacing w:after="40"/>
            </w:pPr>
            <w:r>
              <w:rPr>
                <w:rFonts w:ascii="Consolas" w:hAnsi="Consolas"/>
                <w:color w:val="C7254E"/>
                <w:sz w:val="19"/>
              </w:rPr>
              <w:t>date_of_birth</w:t>
            </w:r>
          </w:p>
        </w:tc>
        <w:tc>
          <w:tcPr>
            <w:tcW w:type="dxa" w:w="3120"/>
          </w:tcPr>
          <w:p>
            <w:pPr>
              <w:spacing w:after="40"/>
            </w:pPr>
            <w:r>
              <w:rPr>
                <w:rFonts w:ascii="Consolas" w:hAnsi="Consolas"/>
                <w:color w:val="C7254E"/>
                <w:sz w:val="19"/>
              </w:rPr>
              <w:t>DateField</w:t>
            </w:r>
            <w:r>
              <w:rPr>
                <w:sz w:val="19"/>
              </w:rPr>
              <w:t>, nullable</w:t>
            </w:r>
          </w:p>
        </w:tc>
        <w:tc>
          <w:tcPr>
            <w:tcW w:type="dxa" w:w="3120"/>
          </w:tcPr>
          <w:p>
            <w:pPr>
              <w:spacing w:after="40"/>
            </w:pPr>
            <w:r>
              <w:rPr>
                <w:sz w:val="19"/>
              </w:rPr>
              <w:t>Patient demographic field</w:t>
            </w:r>
          </w:p>
        </w:tc>
      </w:tr>
      <w:tr>
        <w:tc>
          <w:tcPr>
            <w:tcW w:type="dxa" w:w="3120"/>
          </w:tcPr>
          <w:p>
            <w:pPr>
              <w:spacing w:after="40"/>
            </w:pPr>
            <w:r>
              <w:rPr>
                <w:rFonts w:ascii="Consolas" w:hAnsi="Consolas"/>
                <w:color w:val="C7254E"/>
                <w:sz w:val="19"/>
              </w:rPr>
              <w:t>gender</w:t>
            </w:r>
          </w:p>
        </w:tc>
        <w:tc>
          <w:tcPr>
            <w:tcW w:type="dxa" w:w="3120"/>
          </w:tcPr>
          <w:p>
            <w:pPr>
              <w:spacing w:after="40"/>
            </w:pPr>
            <w:r>
              <w:rPr>
                <w:rFonts w:ascii="Consolas" w:hAnsi="Consolas"/>
                <w:color w:val="C7254E"/>
                <w:sz w:val="19"/>
              </w:rPr>
              <w:t>CharField</w:t>
            </w:r>
            <w:r>
              <w:rPr>
                <w:sz w:val="19"/>
              </w:rPr>
              <w:t xml:space="preserve"> + </w:t>
            </w:r>
            <w:r>
              <w:rPr>
                <w:rFonts w:ascii="Consolas" w:hAnsi="Consolas"/>
                <w:color w:val="C7254E"/>
                <w:sz w:val="19"/>
              </w:rPr>
              <w:t>TextChoices</w:t>
            </w:r>
          </w:p>
        </w:tc>
        <w:tc>
          <w:tcPr>
            <w:tcW w:type="dxa" w:w="3120"/>
          </w:tcPr>
          <w:p>
            <w:pPr>
              <w:spacing w:after="40"/>
            </w:pPr>
            <w:r>
              <w:rPr>
                <w:sz w:val="19"/>
              </w:rPr>
              <w:t>male / female / non_binary / prefer_not_to_say</w:t>
            </w:r>
          </w:p>
        </w:tc>
      </w:tr>
      <w:tr>
        <w:tc>
          <w:tcPr>
            <w:tcW w:type="dxa" w:w="3120"/>
          </w:tcPr>
          <w:p>
            <w:pPr>
              <w:spacing w:after="40"/>
            </w:pPr>
            <w:r>
              <w:rPr>
                <w:rFonts w:ascii="Consolas" w:hAnsi="Consolas"/>
                <w:color w:val="C7254E"/>
                <w:sz w:val="19"/>
              </w:rPr>
              <w:t>phone_number</w:t>
            </w:r>
          </w:p>
        </w:tc>
        <w:tc>
          <w:tcPr>
            <w:tcW w:type="dxa" w:w="3120"/>
          </w:tcPr>
          <w:p>
            <w:pPr>
              <w:spacing w:after="40"/>
            </w:pPr>
            <w:r>
              <w:rPr>
                <w:rFonts w:ascii="Consolas" w:hAnsi="Consolas"/>
                <w:color w:val="C7254E"/>
                <w:sz w:val="19"/>
              </w:rPr>
              <w:t>CharField</w:t>
            </w:r>
          </w:p>
        </w:tc>
        <w:tc>
          <w:tcPr>
            <w:tcW w:type="dxa" w:w="3120"/>
          </w:tcPr>
          <w:p>
            <w:pPr>
              <w:spacing w:after="40"/>
            </w:pPr>
          </w:p>
        </w:tc>
      </w:tr>
      <w:tr>
        <w:tc>
          <w:tcPr>
            <w:tcW w:type="dxa" w:w="3120"/>
          </w:tcPr>
          <w:p>
            <w:pPr>
              <w:spacing w:after="40"/>
            </w:pPr>
            <w:r>
              <w:rPr>
                <w:rFonts w:ascii="Consolas" w:hAnsi="Consolas"/>
                <w:color w:val="C7254E"/>
                <w:sz w:val="19"/>
              </w:rPr>
              <w:t>profile_picture</w:t>
            </w:r>
          </w:p>
        </w:tc>
        <w:tc>
          <w:tcPr>
            <w:tcW w:type="dxa" w:w="3120"/>
          </w:tcPr>
          <w:p>
            <w:pPr>
              <w:spacing w:after="40"/>
            </w:pPr>
            <w:r>
              <w:rPr>
                <w:rFonts w:ascii="Consolas" w:hAnsi="Consolas"/>
                <w:color w:val="C7254E"/>
                <w:sz w:val="19"/>
              </w:rPr>
              <w:t>ImageField</w:t>
            </w:r>
            <w:r>
              <w:rPr>
                <w:sz w:val="19"/>
              </w:rPr>
              <w:t xml:space="preserve"> -&gt; </w:t>
            </w:r>
            <w:r>
              <w:rPr>
                <w:rFonts w:ascii="Consolas" w:hAnsi="Consolas"/>
                <w:color w:val="C7254E"/>
                <w:sz w:val="19"/>
              </w:rPr>
              <w:t>profile_pictures/</w:t>
            </w:r>
          </w:p>
        </w:tc>
        <w:tc>
          <w:tcPr>
            <w:tcW w:type="dxa" w:w="3120"/>
          </w:tcPr>
          <w:p>
            <w:pPr>
              <w:spacing w:after="40"/>
            </w:pPr>
            <w:r>
              <w:rPr>
                <w:sz w:val="19"/>
              </w:rPr>
              <w:t xml:space="preserve">Served via </w:t>
            </w:r>
            <w:r>
              <w:rPr>
                <w:rFonts w:ascii="Consolas" w:hAnsi="Consolas"/>
                <w:color w:val="C7254E"/>
                <w:sz w:val="19"/>
              </w:rPr>
              <w:t>MEDIA_URL</w:t>
            </w:r>
          </w:p>
        </w:tc>
      </w:tr>
      <w:tr>
        <w:tc>
          <w:tcPr>
            <w:tcW w:type="dxa" w:w="3120"/>
          </w:tcPr>
          <w:p>
            <w:pPr>
              <w:spacing w:after="40"/>
            </w:pPr>
            <w:r>
              <w:rPr>
                <w:rFonts w:ascii="Consolas" w:hAnsi="Consolas"/>
                <w:color w:val="C7254E"/>
                <w:sz w:val="19"/>
              </w:rPr>
              <w:t>bio</w:t>
            </w:r>
          </w:p>
        </w:tc>
        <w:tc>
          <w:tcPr>
            <w:tcW w:type="dxa" w:w="3120"/>
          </w:tcPr>
          <w:p>
            <w:pPr>
              <w:spacing w:after="40"/>
            </w:pPr>
            <w:r>
              <w:rPr>
                <w:rFonts w:ascii="Consolas" w:hAnsi="Consolas"/>
                <w:color w:val="C7254E"/>
                <w:sz w:val="19"/>
              </w:rPr>
              <w:t>TextField</w:t>
            </w:r>
          </w:p>
        </w:tc>
        <w:tc>
          <w:tcPr>
            <w:tcW w:type="dxa" w:w="3120"/>
          </w:tcPr>
          <w:p>
            <w:pPr>
              <w:spacing w:after="40"/>
            </w:pPr>
          </w:p>
        </w:tc>
      </w:tr>
      <w:tr>
        <w:tc>
          <w:tcPr>
            <w:tcW w:type="dxa" w:w="3120"/>
          </w:tcPr>
          <w:p>
            <w:pPr>
              <w:spacing w:after="40"/>
            </w:pPr>
            <w:r>
              <w:rPr>
                <w:rFonts w:ascii="Consolas" w:hAnsi="Consolas"/>
                <w:color w:val="C7254E"/>
                <w:sz w:val="19"/>
              </w:rPr>
              <w:t>is_active</w:t>
            </w:r>
            <w:r>
              <w:rPr>
                <w:sz w:val="19"/>
              </w:rPr>
              <w:t xml:space="preserve">, </w:t>
            </w:r>
            <w:r>
              <w:rPr>
                <w:rFonts w:ascii="Consolas" w:hAnsi="Consolas"/>
                <w:color w:val="C7254E"/>
                <w:sz w:val="19"/>
              </w:rPr>
              <w:t>is_staff</w:t>
            </w:r>
          </w:p>
        </w:tc>
        <w:tc>
          <w:tcPr>
            <w:tcW w:type="dxa" w:w="3120"/>
          </w:tcPr>
          <w:p>
            <w:pPr>
              <w:spacing w:after="40"/>
            </w:pPr>
            <w:r>
              <w:rPr>
                <w:rFonts w:ascii="Consolas" w:hAnsi="Consolas"/>
                <w:color w:val="C7254E"/>
                <w:sz w:val="19"/>
              </w:rPr>
              <w:t>BooleanField</w:t>
            </w:r>
          </w:p>
        </w:tc>
        <w:tc>
          <w:tcPr>
            <w:tcW w:type="dxa" w:w="3120"/>
          </w:tcPr>
          <w:p>
            <w:pPr>
              <w:spacing w:after="40"/>
            </w:pPr>
            <w:r>
              <w:rPr>
                <w:sz w:val="19"/>
              </w:rPr>
              <w:t>Standard Django account-state flags</w:t>
            </w:r>
          </w:p>
        </w:tc>
      </w:tr>
      <w:tr>
        <w:tc>
          <w:tcPr>
            <w:tcW w:type="dxa" w:w="3120"/>
          </w:tcPr>
          <w:p>
            <w:pPr>
              <w:spacing w:after="40"/>
            </w:pPr>
            <w:r>
              <w:rPr>
                <w:rFonts w:ascii="Consolas" w:hAnsi="Consolas"/>
                <w:color w:val="C7254E"/>
                <w:sz w:val="19"/>
              </w:rPr>
              <w:t>date_joined</w:t>
            </w:r>
            <w:r>
              <w:rPr>
                <w:sz w:val="19"/>
              </w:rPr>
              <w:t xml:space="preserve">, </w:t>
            </w:r>
            <w:r>
              <w:rPr>
                <w:rFonts w:ascii="Consolas" w:hAnsi="Consolas"/>
                <w:color w:val="C7254E"/>
                <w:sz w:val="19"/>
              </w:rPr>
              <w:t>updated_at</w:t>
            </w:r>
          </w:p>
        </w:tc>
        <w:tc>
          <w:tcPr>
            <w:tcW w:type="dxa" w:w="3120"/>
          </w:tcPr>
          <w:p>
            <w:pPr>
              <w:spacing w:after="40"/>
            </w:pPr>
            <w:r>
              <w:rPr>
                <w:rFonts w:ascii="Consolas" w:hAnsi="Consolas"/>
                <w:color w:val="C7254E"/>
                <w:sz w:val="19"/>
              </w:rPr>
              <w:t>DateTimeField</w:t>
            </w:r>
          </w:p>
        </w:tc>
        <w:tc>
          <w:tcPr>
            <w:tcW w:type="dxa" w:w="3120"/>
          </w:tcPr>
          <w:p>
            <w:pPr>
              <w:spacing w:after="40"/>
            </w:pPr>
          </w:p>
        </w:tc>
      </w:tr>
    </w:tbl>
    <w:p/>
    <w:p>
      <w:pPr>
        <w:spacing w:after="160"/>
      </w:pPr>
      <w:r>
        <w:rPr>
          <w:b/>
        </w:rPr>
        <w:t>`EmergencyContact`</w:t>
      </w:r>
      <w:r>
        <w:t xml:space="preserve"> (FK -&gt; </w:t>
      </w:r>
      <w:r>
        <w:rPr>
          <w:rFonts w:ascii="Consolas" w:hAnsi="Consolas"/>
          <w:color w:val="C7254E"/>
          <w:sz w:val="20"/>
        </w:rPr>
        <w:t>User</w:t>
      </w:r>
      <w:r>
        <w:t xml:space="preserve">, </w:t>
      </w:r>
      <w:r>
        <w:rPr>
          <w:rFonts w:ascii="Consolas" w:hAnsi="Consolas"/>
          <w:color w:val="C7254E"/>
          <w:sz w:val="20"/>
        </w:rPr>
        <w:t>related_name="emergency_contacts"</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CE6F1"/>
          </w:tcPr>
          <w:p>
            <w:pPr>
              <w:spacing w:after="40"/>
            </w:pPr>
            <w:r>
              <w:rPr>
                <w:b/>
                <w:sz w:val="19"/>
              </w:rPr>
              <w:t>Field</w:t>
            </w:r>
          </w:p>
        </w:tc>
        <w:tc>
          <w:tcPr>
            <w:tcW w:type="dxa" w:w="3120"/>
            <w:shd w:val="clear" w:color="auto" w:fill="DCE6F1"/>
          </w:tcPr>
          <w:p>
            <w:pPr>
              <w:spacing w:after="40"/>
            </w:pPr>
            <w:r>
              <w:rPr>
                <w:b/>
                <w:sz w:val="19"/>
              </w:rPr>
              <w:t>Type</w:t>
            </w:r>
          </w:p>
        </w:tc>
        <w:tc>
          <w:tcPr>
            <w:tcW w:type="dxa" w:w="3120"/>
            <w:shd w:val="clear" w:color="auto" w:fill="DCE6F1"/>
          </w:tcPr>
          <w:p>
            <w:pPr>
              <w:spacing w:after="40"/>
            </w:pPr>
            <w:r>
              <w:rPr>
                <w:b/>
                <w:sz w:val="19"/>
              </w:rPr>
              <w:t>Description</w:t>
            </w:r>
          </w:p>
        </w:tc>
      </w:tr>
      <w:tr>
        <w:tc>
          <w:tcPr>
            <w:tcW w:type="dxa" w:w="3120"/>
          </w:tcPr>
          <w:p>
            <w:pPr>
              <w:spacing w:after="40"/>
            </w:pPr>
            <w:r>
              <w:rPr>
                <w:rFonts w:ascii="Consolas" w:hAnsi="Consolas"/>
                <w:color w:val="C7254E"/>
                <w:sz w:val="19"/>
              </w:rPr>
              <w:t>relationship</w:t>
            </w:r>
          </w:p>
        </w:tc>
        <w:tc>
          <w:tcPr>
            <w:tcW w:type="dxa" w:w="3120"/>
          </w:tcPr>
          <w:p>
            <w:pPr>
              <w:spacing w:after="40"/>
            </w:pPr>
            <w:r>
              <w:rPr>
                <w:rFonts w:ascii="Consolas" w:hAnsi="Consolas"/>
                <w:color w:val="C7254E"/>
                <w:sz w:val="19"/>
              </w:rPr>
              <w:t>CharField</w:t>
            </w:r>
            <w:r>
              <w:rPr>
                <w:sz w:val="19"/>
              </w:rPr>
              <w:t xml:space="preserve"> + </w:t>
            </w:r>
            <w:r>
              <w:rPr>
                <w:rFonts w:ascii="Consolas" w:hAnsi="Consolas"/>
                <w:color w:val="C7254E"/>
                <w:sz w:val="19"/>
              </w:rPr>
              <w:t>TextChoices</w:t>
            </w:r>
          </w:p>
        </w:tc>
        <w:tc>
          <w:tcPr>
            <w:tcW w:type="dxa" w:w="3120"/>
          </w:tcPr>
          <w:p>
            <w:pPr>
              <w:spacing w:after="40"/>
            </w:pPr>
            <w:r>
              <w:rPr>
                <w:sz w:val="19"/>
              </w:rPr>
              <w:t>parent / sibling / spouse / friend / therapist / other</w:t>
            </w:r>
          </w:p>
        </w:tc>
      </w:tr>
      <w:tr>
        <w:tc>
          <w:tcPr>
            <w:tcW w:type="dxa" w:w="3120"/>
          </w:tcPr>
          <w:p>
            <w:pPr>
              <w:spacing w:after="40"/>
            </w:pPr>
            <w:r>
              <w:rPr>
                <w:rFonts w:ascii="Consolas" w:hAnsi="Consolas"/>
                <w:color w:val="C7254E"/>
                <w:sz w:val="19"/>
              </w:rPr>
              <w:t>is_primary</w:t>
            </w:r>
          </w:p>
        </w:tc>
        <w:tc>
          <w:tcPr>
            <w:tcW w:type="dxa" w:w="3120"/>
          </w:tcPr>
          <w:p>
            <w:pPr>
              <w:spacing w:after="40"/>
            </w:pPr>
            <w:r>
              <w:rPr>
                <w:rFonts w:ascii="Consolas" w:hAnsi="Consolas"/>
                <w:color w:val="C7254E"/>
                <w:sz w:val="19"/>
              </w:rPr>
              <w:t>BooleanField</w:t>
            </w:r>
          </w:p>
        </w:tc>
        <w:tc>
          <w:tcPr>
            <w:tcW w:type="dxa" w:w="3120"/>
          </w:tcPr>
          <w:p>
            <w:pPr>
              <w:spacing w:after="40"/>
            </w:pPr>
            <w:r>
              <w:rPr>
                <w:sz w:val="19"/>
              </w:rPr>
              <w:t xml:space="preserve">Enforced unique </w:t>
            </w:r>
            <w:r>
              <w:rPr>
                <w:b/>
                <w:sz w:val="19"/>
              </w:rPr>
              <w:t>per user</w:t>
            </w:r>
            <w:r>
              <w:rPr>
                <w:sz w:val="19"/>
              </w:rPr>
              <w:t xml:space="preserve"> via a partial </w:t>
            </w:r>
            <w:r>
              <w:rPr>
                <w:rFonts w:ascii="Consolas" w:hAnsi="Consolas"/>
                <w:color w:val="C7254E"/>
                <w:sz w:val="19"/>
              </w:rPr>
              <w:t>UniqueConstraint(condition=Q(is_primary=True))</w:t>
            </w:r>
            <w:r>
              <w:rPr>
                <w:sz w:val="19"/>
              </w:rPr>
              <w:t xml:space="preserve"> — the ORM-level guarantee that a user can never end up with two "primary" emergency contacts simultaneously</w:t>
            </w:r>
          </w:p>
        </w:tc>
      </w:tr>
      <w:tr>
        <w:tc>
          <w:tcPr>
            <w:tcW w:type="dxa" w:w="3120"/>
          </w:tcPr>
          <w:p>
            <w:pPr>
              <w:spacing w:after="40"/>
            </w:pPr>
            <w:r>
              <w:rPr>
                <w:rFonts w:ascii="Consolas" w:hAnsi="Consolas"/>
                <w:color w:val="C7254E"/>
                <w:sz w:val="19"/>
              </w:rPr>
              <w:t>name</w:t>
            </w:r>
            <w:r>
              <w:rPr>
                <w:sz w:val="19"/>
              </w:rPr>
              <w:t xml:space="preserve">, </w:t>
            </w:r>
            <w:r>
              <w:rPr>
                <w:rFonts w:ascii="Consolas" w:hAnsi="Consolas"/>
                <w:color w:val="C7254E"/>
                <w:sz w:val="19"/>
              </w:rPr>
              <w:t>phone_number</w:t>
            </w:r>
            <w:r>
              <w:rPr>
                <w:sz w:val="19"/>
              </w:rPr>
              <w:t xml:space="preserve">, </w:t>
            </w:r>
            <w:r>
              <w:rPr>
                <w:rFonts w:ascii="Consolas" w:hAnsi="Consolas"/>
                <w:color w:val="C7254E"/>
                <w:sz w:val="19"/>
              </w:rPr>
              <w:t>email</w:t>
            </w:r>
            <w:r>
              <w:rPr>
                <w:sz w:val="19"/>
              </w:rPr>
              <w:t xml:space="preserve">, </w:t>
            </w:r>
            <w:r>
              <w:rPr>
                <w:rFonts w:ascii="Consolas" w:hAnsi="Consolas"/>
                <w:color w:val="C7254E"/>
                <w:sz w:val="19"/>
              </w:rPr>
              <w:t>notes</w:t>
            </w:r>
          </w:p>
        </w:tc>
        <w:tc>
          <w:tcPr>
            <w:tcW w:type="dxa" w:w="3120"/>
          </w:tcPr>
          <w:p>
            <w:pPr>
              <w:spacing w:after="40"/>
            </w:pPr>
            <w:r>
              <w:rPr>
                <w:sz w:val="19"/>
              </w:rPr>
              <w:t>—</w:t>
            </w:r>
          </w:p>
        </w:tc>
        <w:tc>
          <w:tcPr>
            <w:tcW w:type="dxa" w:w="3120"/>
          </w:tcPr>
          <w:p>
            <w:pPr>
              <w:spacing w:after="40"/>
            </w:pPr>
            <w:r>
              <w:rPr>
                <w:sz w:val="19"/>
              </w:rPr>
              <w:t>Contact metadata</w:t>
            </w:r>
          </w:p>
        </w:tc>
      </w:tr>
    </w:tbl>
    <w:p/>
    <w:p>
      <w:pPr>
        <w:spacing w:after="160"/>
      </w:pPr>
      <w:r>
        <w:rPr>
          <w:b/>
        </w:rPr>
        <w:t>`Therapist`</w:t>
      </w:r>
      <w:r>
        <w:t xml:space="preserve"> (</w:t>
      </w:r>
      <w:r>
        <w:rPr>
          <w:rFonts w:ascii="Consolas" w:hAnsi="Consolas"/>
          <w:color w:val="C7254E"/>
          <w:sz w:val="20"/>
        </w:rPr>
        <w:t>apps.therapists.models.Therapist</w:t>
      </w:r>
      <w:r>
        <w:t>) — the platform's expert-directory entity: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CE6F1"/>
          </w:tcPr>
          <w:p>
            <w:pPr>
              <w:spacing w:after="40"/>
            </w:pPr>
            <w:r>
              <w:rPr>
                <w:b/>
                <w:sz w:val="19"/>
              </w:rPr>
              <w:t>Field</w:t>
            </w:r>
          </w:p>
        </w:tc>
        <w:tc>
          <w:tcPr>
            <w:tcW w:type="dxa" w:w="3120"/>
            <w:shd w:val="clear" w:color="auto" w:fill="DCE6F1"/>
          </w:tcPr>
          <w:p>
            <w:pPr>
              <w:spacing w:after="40"/>
            </w:pPr>
            <w:r>
              <w:rPr>
                <w:b/>
                <w:sz w:val="19"/>
              </w:rPr>
              <w:t>Type</w:t>
            </w:r>
          </w:p>
        </w:tc>
        <w:tc>
          <w:tcPr>
            <w:tcW w:type="dxa" w:w="3120"/>
            <w:shd w:val="clear" w:color="auto" w:fill="DCE6F1"/>
          </w:tcPr>
          <w:p>
            <w:pPr>
              <w:spacing w:after="40"/>
            </w:pPr>
            <w:r>
              <w:rPr>
                <w:b/>
                <w:sz w:val="19"/>
              </w:rPr>
              <w:t>Description</w:t>
            </w:r>
          </w:p>
        </w:tc>
      </w:tr>
      <w:tr>
        <w:tc>
          <w:tcPr>
            <w:tcW w:type="dxa" w:w="3120"/>
          </w:tcPr>
          <w:p>
            <w:pPr>
              <w:spacing w:after="40"/>
            </w:pPr>
            <w:r>
              <w:rPr>
                <w:rFonts w:ascii="Consolas" w:hAnsi="Consolas"/>
                <w:color w:val="C7254E"/>
                <w:sz w:val="19"/>
              </w:rPr>
              <w:t>name</w:t>
            </w:r>
            <w:r>
              <w:rPr>
                <w:sz w:val="19"/>
              </w:rPr>
              <w:t xml:space="preserve">, </w:t>
            </w:r>
            <w:r>
              <w:rPr>
                <w:rFonts w:ascii="Consolas" w:hAnsi="Consolas"/>
                <w:color w:val="C7254E"/>
                <w:sz w:val="19"/>
              </w:rPr>
              <w:t>title</w:t>
            </w:r>
          </w:p>
        </w:tc>
        <w:tc>
          <w:tcPr>
            <w:tcW w:type="dxa" w:w="3120"/>
          </w:tcPr>
          <w:p>
            <w:pPr>
              <w:spacing w:after="40"/>
            </w:pPr>
            <w:r>
              <w:rPr>
                <w:rFonts w:ascii="Consolas" w:hAnsi="Consolas"/>
                <w:color w:val="C7254E"/>
                <w:sz w:val="19"/>
              </w:rPr>
              <w:t>CharField</w:t>
            </w:r>
          </w:p>
        </w:tc>
        <w:tc>
          <w:tcPr>
            <w:tcW w:type="dxa" w:w="3120"/>
          </w:tcPr>
          <w:p>
            <w:pPr>
              <w:spacing w:after="40"/>
            </w:pPr>
            <w:r>
              <w:rPr>
                <w:sz w:val="19"/>
              </w:rPr>
              <w:t>Display name and professional title</w:t>
            </w:r>
          </w:p>
        </w:tc>
      </w:tr>
      <w:tr>
        <w:tc>
          <w:tcPr>
            <w:tcW w:type="dxa" w:w="3120"/>
          </w:tcPr>
          <w:p>
            <w:pPr>
              <w:spacing w:after="40"/>
            </w:pPr>
            <w:r>
              <w:rPr>
                <w:rFonts w:ascii="Consolas" w:hAnsi="Consolas"/>
                <w:color w:val="C7254E"/>
                <w:sz w:val="19"/>
              </w:rPr>
              <w:t>specialty</w:t>
            </w:r>
            <w:r>
              <w:rPr>
                <w:sz w:val="19"/>
              </w:rPr>
              <w:t xml:space="preserve">, </w:t>
            </w:r>
            <w:r>
              <w:rPr>
                <w:rFonts w:ascii="Consolas" w:hAnsi="Consolas"/>
                <w:color w:val="C7254E"/>
                <w:sz w:val="19"/>
              </w:rPr>
              <w:t>languages</w:t>
            </w:r>
          </w:p>
        </w:tc>
        <w:tc>
          <w:tcPr>
            <w:tcW w:type="dxa" w:w="3120"/>
          </w:tcPr>
          <w:p>
            <w:pPr>
              <w:spacing w:after="40"/>
            </w:pPr>
            <w:r>
              <w:rPr>
                <w:rFonts w:ascii="Consolas" w:hAnsi="Consolas"/>
                <w:color w:val="C7254E"/>
                <w:sz w:val="19"/>
              </w:rPr>
              <w:t>CharField</w:t>
            </w:r>
          </w:p>
        </w:tc>
        <w:tc>
          <w:tcPr>
            <w:tcW w:type="dxa" w:w="3120"/>
          </w:tcPr>
          <w:p>
            <w:pPr>
              <w:spacing w:after="40"/>
            </w:pPr>
            <w:r>
              <w:rPr>
                <w:sz w:val="19"/>
              </w:rPr>
              <w:t>Comma-separated descriptive lists</w:t>
            </w:r>
          </w:p>
        </w:tc>
      </w:tr>
      <w:tr>
        <w:tc>
          <w:tcPr>
            <w:tcW w:type="dxa" w:w="3120"/>
          </w:tcPr>
          <w:p>
            <w:pPr>
              <w:spacing w:after="40"/>
            </w:pPr>
            <w:r>
              <w:rPr>
                <w:rFonts w:ascii="Consolas" w:hAnsi="Consolas"/>
                <w:color w:val="C7254E"/>
                <w:sz w:val="19"/>
              </w:rPr>
              <w:t>experience</w:t>
            </w:r>
          </w:p>
        </w:tc>
        <w:tc>
          <w:tcPr>
            <w:tcW w:type="dxa" w:w="3120"/>
          </w:tcPr>
          <w:p>
            <w:pPr>
              <w:spacing w:after="40"/>
            </w:pPr>
            <w:r>
              <w:rPr>
                <w:rFonts w:ascii="Consolas" w:hAnsi="Consolas"/>
                <w:color w:val="C7254E"/>
                <w:sz w:val="19"/>
              </w:rPr>
              <w:t>PositiveSmallIntegerField</w:t>
            </w:r>
          </w:p>
        </w:tc>
        <w:tc>
          <w:tcPr>
            <w:tcW w:type="dxa" w:w="3120"/>
          </w:tcPr>
          <w:p>
            <w:pPr>
              <w:spacing w:after="40"/>
            </w:pPr>
            <w:r>
              <w:rPr>
                <w:sz w:val="19"/>
              </w:rPr>
              <w:t>Years of practice</w:t>
            </w:r>
          </w:p>
        </w:tc>
      </w:tr>
      <w:tr>
        <w:tc>
          <w:tcPr>
            <w:tcW w:type="dxa" w:w="3120"/>
          </w:tcPr>
          <w:p>
            <w:pPr>
              <w:spacing w:after="40"/>
            </w:pPr>
            <w:r>
              <w:rPr>
                <w:rFonts w:ascii="Consolas" w:hAnsi="Consolas"/>
                <w:color w:val="C7254E"/>
                <w:sz w:val="19"/>
              </w:rPr>
              <w:t>rating</w:t>
            </w:r>
          </w:p>
        </w:tc>
        <w:tc>
          <w:tcPr>
            <w:tcW w:type="dxa" w:w="3120"/>
          </w:tcPr>
          <w:p>
            <w:pPr>
              <w:spacing w:after="40"/>
            </w:pPr>
            <w:r>
              <w:rPr>
                <w:rFonts w:ascii="Consolas" w:hAnsi="Consolas"/>
                <w:color w:val="C7254E"/>
                <w:sz w:val="19"/>
              </w:rPr>
              <w:t>DecimalField(max_digits=3, decimal_places=1)</w:t>
            </w:r>
            <w:r>
              <w:rPr>
                <w:sz w:val="19"/>
              </w:rPr>
              <w:t>, validated [0, 5]</w:t>
            </w:r>
          </w:p>
        </w:tc>
        <w:tc>
          <w:tcPr>
            <w:tcW w:type="dxa" w:w="3120"/>
          </w:tcPr>
          <w:p>
            <w:pPr>
              <w:spacing w:after="40"/>
            </w:pPr>
          </w:p>
        </w:tc>
      </w:tr>
      <w:tr>
        <w:tc>
          <w:tcPr>
            <w:tcW w:type="dxa" w:w="3120"/>
          </w:tcPr>
          <w:p>
            <w:pPr>
              <w:spacing w:after="40"/>
            </w:pPr>
            <w:r>
              <w:rPr>
                <w:rFonts w:ascii="Consolas" w:hAnsi="Consolas"/>
                <w:color w:val="C7254E"/>
                <w:sz w:val="19"/>
              </w:rPr>
              <w:t>review_count</w:t>
            </w:r>
          </w:p>
        </w:tc>
        <w:tc>
          <w:tcPr>
            <w:tcW w:type="dxa" w:w="3120"/>
          </w:tcPr>
          <w:p>
            <w:pPr>
              <w:spacing w:after="40"/>
            </w:pPr>
            <w:r>
              <w:rPr>
                <w:rFonts w:ascii="Consolas" w:hAnsi="Consolas"/>
                <w:color w:val="C7254E"/>
                <w:sz w:val="19"/>
              </w:rPr>
              <w:t>PositiveIntegerField</w:t>
            </w:r>
          </w:p>
        </w:tc>
        <w:tc>
          <w:tcPr>
            <w:tcW w:type="dxa" w:w="3120"/>
          </w:tcPr>
          <w:p>
            <w:pPr>
              <w:spacing w:after="40"/>
            </w:pPr>
          </w:p>
        </w:tc>
      </w:tr>
      <w:tr>
        <w:tc>
          <w:tcPr>
            <w:tcW w:type="dxa" w:w="3120"/>
          </w:tcPr>
          <w:p>
            <w:pPr>
              <w:spacing w:after="40"/>
            </w:pPr>
            <w:r>
              <w:rPr>
                <w:rFonts w:ascii="Consolas" w:hAnsi="Consolas"/>
                <w:color w:val="C7254E"/>
                <w:sz w:val="19"/>
              </w:rPr>
              <w:t>price</w:t>
            </w:r>
          </w:p>
        </w:tc>
        <w:tc>
          <w:tcPr>
            <w:tcW w:type="dxa" w:w="3120"/>
          </w:tcPr>
          <w:p>
            <w:pPr>
              <w:spacing w:after="40"/>
            </w:pPr>
            <w:r>
              <w:rPr>
                <w:rFonts w:ascii="Consolas" w:hAnsi="Consolas"/>
                <w:color w:val="C7254E"/>
                <w:sz w:val="19"/>
              </w:rPr>
              <w:t>PositiveIntegerField</w:t>
            </w:r>
          </w:p>
        </w:tc>
        <w:tc>
          <w:tcPr>
            <w:tcW w:type="dxa" w:w="3120"/>
          </w:tcPr>
          <w:p>
            <w:pPr>
              <w:spacing w:after="40"/>
            </w:pPr>
            <w:r>
              <w:rPr>
                <w:sz w:val="19"/>
              </w:rPr>
              <w:t>Session price, USD</w:t>
            </w:r>
          </w:p>
        </w:tc>
      </w:tr>
      <w:tr>
        <w:tc>
          <w:tcPr>
            <w:tcW w:type="dxa" w:w="3120"/>
          </w:tcPr>
          <w:p>
            <w:pPr>
              <w:spacing w:after="40"/>
            </w:pPr>
            <w:r>
              <w:rPr>
                <w:rFonts w:ascii="Consolas" w:hAnsi="Consolas"/>
                <w:color w:val="C7254E"/>
                <w:sz w:val="19"/>
              </w:rPr>
              <w:t>img</w:t>
            </w:r>
          </w:p>
        </w:tc>
        <w:tc>
          <w:tcPr>
            <w:tcW w:type="dxa" w:w="3120"/>
          </w:tcPr>
          <w:p>
            <w:pPr>
              <w:spacing w:after="40"/>
            </w:pPr>
            <w:r>
              <w:rPr>
                <w:rFonts w:ascii="Consolas" w:hAnsi="Consolas"/>
                <w:color w:val="C7254E"/>
                <w:sz w:val="19"/>
              </w:rPr>
              <w:t>URLField</w:t>
            </w:r>
          </w:p>
        </w:tc>
        <w:tc>
          <w:tcPr>
            <w:tcW w:type="dxa" w:w="3120"/>
          </w:tcPr>
          <w:p>
            <w:pPr>
              <w:spacing w:after="40"/>
            </w:pPr>
            <w:r>
              <w:rPr>
                <w:sz w:val="19"/>
              </w:rPr>
              <w:t>Avatar/profile photo</w:t>
            </w:r>
          </w:p>
        </w:tc>
      </w:tr>
      <w:tr>
        <w:tc>
          <w:tcPr>
            <w:tcW w:type="dxa" w:w="3120"/>
          </w:tcPr>
          <w:p>
            <w:pPr>
              <w:spacing w:after="40"/>
            </w:pPr>
            <w:r>
              <w:rPr>
                <w:rFonts w:ascii="Consolas" w:hAnsi="Consolas"/>
                <w:color w:val="C7254E"/>
                <w:sz w:val="19"/>
              </w:rPr>
              <w:t>bio</w:t>
            </w:r>
          </w:p>
        </w:tc>
        <w:tc>
          <w:tcPr>
            <w:tcW w:type="dxa" w:w="3120"/>
          </w:tcPr>
          <w:p>
            <w:pPr>
              <w:spacing w:after="40"/>
            </w:pPr>
            <w:r>
              <w:rPr>
                <w:rFonts w:ascii="Consolas" w:hAnsi="Consolas"/>
                <w:color w:val="C7254E"/>
                <w:sz w:val="19"/>
              </w:rPr>
              <w:t>TextField</w:t>
            </w:r>
          </w:p>
        </w:tc>
        <w:tc>
          <w:tcPr>
            <w:tcW w:type="dxa" w:w="3120"/>
          </w:tcPr>
          <w:p>
            <w:pPr>
              <w:spacing w:after="40"/>
            </w:pPr>
          </w:p>
        </w:tc>
      </w:tr>
      <w:tr>
        <w:tc>
          <w:tcPr>
            <w:tcW w:type="dxa" w:w="3120"/>
          </w:tcPr>
          <w:p>
            <w:pPr>
              <w:spacing w:after="40"/>
            </w:pPr>
            <w:r>
              <w:rPr>
                <w:rFonts w:ascii="Consolas" w:hAnsi="Consolas"/>
                <w:color w:val="C7254E"/>
                <w:sz w:val="19"/>
              </w:rPr>
              <w:t>is_active</w:t>
            </w:r>
          </w:p>
        </w:tc>
        <w:tc>
          <w:tcPr>
            <w:tcW w:type="dxa" w:w="3120"/>
          </w:tcPr>
          <w:p>
            <w:pPr>
              <w:spacing w:after="40"/>
            </w:pPr>
            <w:r>
              <w:rPr>
                <w:rFonts w:ascii="Consolas" w:hAnsi="Consolas"/>
                <w:color w:val="C7254E"/>
                <w:sz w:val="19"/>
              </w:rPr>
              <w:t>BooleanField</w:t>
            </w:r>
          </w:p>
        </w:tc>
        <w:tc>
          <w:tcPr>
            <w:tcW w:type="dxa" w:w="3120"/>
          </w:tcPr>
          <w:p>
            <w:pPr>
              <w:spacing w:after="40"/>
            </w:pPr>
            <w:r>
              <w:rPr>
                <w:sz w:val="19"/>
              </w:rPr>
              <w:t>Soft-hide from public listing without deletion</w:t>
            </w:r>
          </w:p>
        </w:tc>
      </w:tr>
    </w:tbl>
    <w:p/>
    <w:p>
      <w:pPr>
        <w:pStyle w:val="Heading3"/>
      </w:pPr>
      <w:r>
        <w:t>2.3 Conversational Schema — ChatSession / ChatMessage</w:t>
      </w:r>
    </w:p>
    <w:p>
      <w:pPr>
        <w:spacing w:after="160"/>
      </w:pPr>
      <w:r>
        <w:rPr>
          <w:b/>
        </w:rPr>
        <w:t>`ChatSession`</w:t>
      </w:r>
      <w:r>
        <w:t xml:space="preserve"> (UUID primary key, FK -&gt; </w:t>
      </w:r>
      <w:r>
        <w:rPr>
          <w:rFonts w:ascii="Consolas" w:hAnsi="Consolas"/>
          <w:color w:val="C7254E"/>
          <w:sz w:val="20"/>
        </w:rPr>
        <w:t>User</w:t>
      </w:r>
      <w:r>
        <w:t xml:space="preserve">, </w:t>
      </w:r>
      <w:r>
        <w:rPr>
          <w:rFonts w:ascii="Consolas" w:hAnsi="Consolas"/>
          <w:color w:val="C7254E"/>
          <w:sz w:val="20"/>
        </w:rPr>
        <w:t>related_name="chat_sessions"</w:t>
      </w:r>
      <w:r>
        <w:t>) implements an explicit three-state lifecycle: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CE6F1"/>
          </w:tcPr>
          <w:p>
            <w:pPr>
              <w:spacing w:after="40"/>
            </w:pPr>
            <w:r>
              <w:rPr>
                <w:b/>
                <w:sz w:val="19"/>
              </w:rPr>
              <w:t>Field</w:t>
            </w:r>
          </w:p>
        </w:tc>
        <w:tc>
          <w:tcPr>
            <w:tcW w:type="dxa" w:w="3120"/>
            <w:shd w:val="clear" w:color="auto" w:fill="DCE6F1"/>
          </w:tcPr>
          <w:p>
            <w:pPr>
              <w:spacing w:after="40"/>
            </w:pPr>
            <w:r>
              <w:rPr>
                <w:b/>
                <w:sz w:val="19"/>
              </w:rPr>
              <w:t>Type</w:t>
            </w:r>
          </w:p>
        </w:tc>
        <w:tc>
          <w:tcPr>
            <w:tcW w:type="dxa" w:w="3120"/>
            <w:shd w:val="clear" w:color="auto" w:fill="DCE6F1"/>
          </w:tcPr>
          <w:p>
            <w:pPr>
              <w:spacing w:after="40"/>
            </w:pPr>
            <w:r>
              <w:rPr>
                <w:b/>
                <w:sz w:val="19"/>
              </w:rPr>
              <w:t>Description</w:t>
            </w:r>
          </w:p>
        </w:tc>
      </w:tr>
      <w:tr>
        <w:tc>
          <w:tcPr>
            <w:tcW w:type="dxa" w:w="3120"/>
          </w:tcPr>
          <w:p>
            <w:pPr>
              <w:spacing w:after="40"/>
            </w:pPr>
            <w:r>
              <w:rPr>
                <w:rFonts w:ascii="Consolas" w:hAnsi="Consolas"/>
                <w:color w:val="C7254E"/>
                <w:sz w:val="19"/>
              </w:rPr>
              <w:t>status</w:t>
            </w:r>
          </w:p>
        </w:tc>
        <w:tc>
          <w:tcPr>
            <w:tcW w:type="dxa" w:w="3120"/>
          </w:tcPr>
          <w:p>
            <w:pPr>
              <w:spacing w:after="40"/>
            </w:pPr>
            <w:r>
              <w:rPr>
                <w:rFonts w:ascii="Consolas" w:hAnsi="Consolas"/>
                <w:color w:val="C7254E"/>
                <w:sz w:val="19"/>
              </w:rPr>
              <w:t>TextChoices</w:t>
            </w:r>
          </w:p>
        </w:tc>
        <w:tc>
          <w:tcPr>
            <w:tcW w:type="dxa" w:w="3120"/>
          </w:tcPr>
          <w:p>
            <w:pPr>
              <w:spacing w:after="40"/>
            </w:pPr>
            <w:r>
              <w:rPr>
                <w:sz w:val="19"/>
              </w:rPr>
              <w:t>active -&gt; completed -&gt; analyzed</w:t>
            </w:r>
          </w:p>
        </w:tc>
      </w:tr>
      <w:tr>
        <w:tc>
          <w:tcPr>
            <w:tcW w:type="dxa" w:w="3120"/>
          </w:tcPr>
          <w:p>
            <w:pPr>
              <w:spacing w:after="40"/>
            </w:pPr>
            <w:r>
              <w:rPr>
                <w:rFonts w:ascii="Consolas" w:hAnsi="Consolas"/>
                <w:color w:val="C7254E"/>
                <w:sz w:val="19"/>
              </w:rPr>
              <w:t>hf_session_id</w:t>
            </w:r>
          </w:p>
        </w:tc>
        <w:tc>
          <w:tcPr>
            <w:tcW w:type="dxa" w:w="3120"/>
          </w:tcPr>
          <w:p>
            <w:pPr>
              <w:spacing w:after="40"/>
            </w:pPr>
            <w:r>
              <w:rPr>
                <w:rFonts w:ascii="Consolas" w:hAnsi="Consolas"/>
                <w:color w:val="C7254E"/>
                <w:sz w:val="19"/>
              </w:rPr>
              <w:t>CharField</w:t>
            </w:r>
          </w:p>
        </w:tc>
        <w:tc>
          <w:tcPr>
            <w:tcW w:type="dxa" w:w="3120"/>
          </w:tcPr>
          <w:p>
            <w:pPr>
              <w:spacing w:after="40"/>
            </w:pPr>
            <w:r>
              <w:rPr>
                <w:sz w:val="19"/>
              </w:rPr>
              <w:t>Foreign session key on the remote Hugging Face Space (Chapter 4)</w:t>
            </w:r>
          </w:p>
        </w:tc>
      </w:tr>
      <w:tr>
        <w:tc>
          <w:tcPr>
            <w:tcW w:type="dxa" w:w="3120"/>
          </w:tcPr>
          <w:p>
            <w:pPr>
              <w:spacing w:after="40"/>
            </w:pPr>
            <w:r>
              <w:rPr>
                <w:rFonts w:ascii="Consolas" w:hAnsi="Consolas"/>
                <w:color w:val="C7254E"/>
                <w:sz w:val="19"/>
              </w:rPr>
              <w:t>started_at</w:t>
            </w:r>
            <w:r>
              <w:rPr>
                <w:sz w:val="19"/>
              </w:rPr>
              <w:t xml:space="preserve">, </w:t>
            </w:r>
            <w:r>
              <w:rPr>
                <w:rFonts w:ascii="Consolas" w:hAnsi="Consolas"/>
                <w:color w:val="C7254E"/>
                <w:sz w:val="19"/>
              </w:rPr>
              <w:t>ended_at</w:t>
            </w:r>
            <w:r>
              <w:rPr>
                <w:sz w:val="19"/>
              </w:rPr>
              <w:t xml:space="preserve">, </w:t>
            </w:r>
            <w:r>
              <w:rPr>
                <w:rFonts w:ascii="Consolas" w:hAnsi="Consolas"/>
                <w:color w:val="C7254E"/>
                <w:sz w:val="19"/>
              </w:rPr>
              <w:t>updated_at</w:t>
            </w:r>
          </w:p>
        </w:tc>
        <w:tc>
          <w:tcPr>
            <w:tcW w:type="dxa" w:w="3120"/>
          </w:tcPr>
          <w:p>
            <w:pPr>
              <w:spacing w:after="40"/>
            </w:pPr>
            <w:r>
              <w:rPr>
                <w:rFonts w:ascii="Consolas" w:hAnsi="Consolas"/>
                <w:color w:val="C7254E"/>
                <w:sz w:val="19"/>
              </w:rPr>
              <w:t>DateTimeField</w:t>
            </w:r>
          </w:p>
        </w:tc>
        <w:tc>
          <w:tcPr>
            <w:tcW w:type="dxa" w:w="3120"/>
          </w:tcPr>
          <w:p>
            <w:pPr>
              <w:spacing w:after="40"/>
            </w:pPr>
          </w:p>
        </w:tc>
      </w:tr>
    </w:tbl>
    <w:p/>
    <w:p>
      <w:pPr>
        <w:spacing w:after="160"/>
      </w:pPr>
      <w:r>
        <w:rPr>
          <w:b/>
        </w:rPr>
        <w:t>`ChatMessage`</w:t>
      </w:r>
      <w:r>
        <w:t xml:space="preserve"> (UUID primary key, FK -&gt; </w:t>
      </w:r>
      <w:r>
        <w:rPr>
          <w:rFonts w:ascii="Consolas" w:hAnsi="Consolas"/>
          <w:color w:val="C7254E"/>
          <w:sz w:val="20"/>
        </w:rPr>
        <w:t>ChatSession</w:t>
      </w:r>
      <w:r>
        <w:t xml:space="preserve">, </w:t>
      </w:r>
      <w:r>
        <w:rPr>
          <w:rFonts w:ascii="Consolas" w:hAnsi="Consolas"/>
          <w:color w:val="C7254E"/>
          <w:sz w:val="20"/>
        </w:rPr>
        <w:t>related_name="chat_messages"</w:t>
      </w:r>
      <w: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CE6F1"/>
          </w:tcPr>
          <w:p>
            <w:pPr>
              <w:spacing w:after="40"/>
            </w:pPr>
            <w:r>
              <w:rPr>
                <w:b/>
                <w:sz w:val="19"/>
              </w:rPr>
              <w:t>Field</w:t>
            </w:r>
          </w:p>
        </w:tc>
        <w:tc>
          <w:tcPr>
            <w:tcW w:type="dxa" w:w="2340"/>
            <w:shd w:val="clear" w:color="auto" w:fill="DCE6F1"/>
          </w:tcPr>
          <w:p>
            <w:pPr>
              <w:spacing w:after="40"/>
            </w:pPr>
            <w:r>
              <w:rPr>
                <w:b/>
                <w:sz w:val="19"/>
              </w:rPr>
              <w:t>Type</w:t>
            </w:r>
          </w:p>
        </w:tc>
        <w:tc>
          <w:tcPr>
            <w:tcW w:type="dxa" w:w="2340"/>
            <w:shd w:val="clear" w:color="auto" w:fill="DCE6F1"/>
          </w:tcPr>
          <w:p>
            <w:pPr>
              <w:spacing w:after="40"/>
            </w:pPr>
            <w:r>
              <w:rPr>
                <w:b/>
                <w:sz w:val="19"/>
              </w:rPr>
              <w:t>Description</w:t>
            </w:r>
          </w:p>
        </w:tc>
        <w:tc>
          <w:tcPr>
            <w:tcW w:type="dxa" w:w="2340"/>
            <w:shd w:val="clear" w:color="auto" w:fill="DCE6F1"/>
          </w:tcPr>
          <w:p>
            <w:pPr>
              <w:spacing w:after="40"/>
            </w:pPr>
          </w:p>
        </w:tc>
      </w:tr>
      <w:tr>
        <w:tc>
          <w:tcPr>
            <w:tcW w:type="dxa" w:w="2340"/>
          </w:tcPr>
          <w:p>
            <w:pPr>
              <w:spacing w:after="40"/>
            </w:pPr>
            <w:r>
              <w:rPr>
                <w:rFonts w:ascii="Consolas" w:hAnsi="Consolas"/>
                <w:color w:val="C7254E"/>
                <w:sz w:val="19"/>
              </w:rPr>
              <w:t>role</w:t>
            </w:r>
          </w:p>
        </w:tc>
        <w:tc>
          <w:tcPr>
            <w:tcW w:type="dxa" w:w="2340"/>
          </w:tcPr>
          <w:p>
            <w:pPr>
              <w:spacing w:after="40"/>
            </w:pPr>
            <w:r>
              <w:rPr>
                <w:rFonts w:ascii="Consolas" w:hAnsi="Consolas"/>
                <w:color w:val="C7254E"/>
                <w:sz w:val="19"/>
              </w:rPr>
              <w:t>TextChoices</w:t>
            </w:r>
          </w:p>
        </w:tc>
        <w:tc>
          <w:tcPr>
            <w:tcW w:type="dxa" w:w="2340"/>
          </w:tcPr>
          <w:p>
            <w:pPr>
              <w:spacing w:after="40"/>
            </w:pPr>
            <w:r>
              <w:rPr>
                <w:sz w:val="19"/>
              </w:rPr>
              <w:t>user \</w:t>
            </w:r>
          </w:p>
        </w:tc>
        <w:tc>
          <w:tcPr>
            <w:tcW w:type="dxa" w:w="2340"/>
          </w:tcPr>
          <w:p>
            <w:pPr>
              <w:spacing w:after="40"/>
            </w:pPr>
            <w:r>
              <w:rPr>
                <w:sz w:val="19"/>
              </w:rPr>
              <w:t>assistant</w:t>
            </w:r>
          </w:p>
        </w:tc>
      </w:tr>
      <w:tr>
        <w:tc>
          <w:tcPr>
            <w:tcW w:type="dxa" w:w="2340"/>
          </w:tcPr>
          <w:p>
            <w:pPr>
              <w:spacing w:after="40"/>
            </w:pPr>
            <w:r>
              <w:rPr>
                <w:rFonts w:ascii="Consolas" w:hAnsi="Consolas"/>
                <w:color w:val="C7254E"/>
                <w:sz w:val="19"/>
              </w:rPr>
              <w:t>content</w:t>
            </w:r>
          </w:p>
        </w:tc>
        <w:tc>
          <w:tcPr>
            <w:tcW w:type="dxa" w:w="2340"/>
          </w:tcPr>
          <w:p>
            <w:pPr>
              <w:spacing w:after="40"/>
            </w:pPr>
            <w:r>
              <w:rPr>
                <w:rFonts w:ascii="Consolas" w:hAnsi="Consolas"/>
                <w:color w:val="C7254E"/>
                <w:sz w:val="19"/>
              </w:rPr>
              <w:t>TextField</w:t>
            </w:r>
          </w:p>
        </w:tc>
        <w:tc>
          <w:tcPr>
            <w:tcW w:type="dxa" w:w="2340"/>
          </w:tcPr>
          <w:p>
            <w:pPr>
              <w:spacing w:after="40"/>
            </w:pPr>
            <w:r>
              <w:rPr>
                <w:sz w:val="19"/>
              </w:rPr>
              <w:t>Plain text only. There is no binary/audio column on this model.</w:t>
            </w:r>
          </w:p>
        </w:tc>
        <w:tc>
          <w:tcPr>
            <w:tcW w:type="dxa" w:w="2340"/>
          </w:tcPr>
          <w:p>
            <w:pPr>
              <w:spacing w:after="40"/>
            </w:pPr>
          </w:p>
        </w:tc>
      </w:tr>
      <w:tr>
        <w:tc>
          <w:tcPr>
            <w:tcW w:type="dxa" w:w="2340"/>
          </w:tcPr>
          <w:p>
            <w:pPr>
              <w:spacing w:after="40"/>
            </w:pPr>
            <w:r>
              <w:rPr>
                <w:rFonts w:ascii="Consolas" w:hAnsi="Consolas"/>
                <w:color w:val="C7254E"/>
                <w:sz w:val="19"/>
              </w:rPr>
              <w:t>token_count</w:t>
            </w:r>
          </w:p>
        </w:tc>
        <w:tc>
          <w:tcPr>
            <w:tcW w:type="dxa" w:w="2340"/>
          </w:tcPr>
          <w:p>
            <w:pPr>
              <w:spacing w:after="40"/>
            </w:pPr>
            <w:r>
              <w:rPr>
                <w:rFonts w:ascii="Consolas" w:hAnsi="Consolas"/>
                <w:color w:val="C7254E"/>
                <w:sz w:val="19"/>
              </w:rPr>
              <w:t>PositiveIntegerField</w:t>
            </w:r>
          </w:p>
        </w:tc>
        <w:tc>
          <w:tcPr>
            <w:tcW w:type="dxa" w:w="2340"/>
          </w:tcPr>
          <w:p>
            <w:pPr>
              <w:spacing w:after="40"/>
            </w:pPr>
            <w:r>
              <w:rPr>
                <w:sz w:val="19"/>
              </w:rPr>
              <w:t>Reserved for future cost/rate-limit accounting</w:t>
            </w:r>
          </w:p>
        </w:tc>
        <w:tc>
          <w:tcPr>
            <w:tcW w:type="dxa" w:w="2340"/>
          </w:tcPr>
          <w:p>
            <w:pPr>
              <w:spacing w:after="40"/>
            </w:pPr>
          </w:p>
        </w:tc>
      </w:tr>
    </w:tbl>
    <w:p/>
    <w:p>
      <w:pPr>
        <w:spacing w:before="120" w:after="120"/>
        <w:ind w:left="504"/>
        <w:shd w:val="clear" w:color="auto" w:fill="F7F7F7"/>
      </w:pPr>
      <w:r>
        <w:rPr>
          <w:i/>
        </w:rPr>
        <w:t xml:space="preserve">Verified architectural note. Voice-message capture in the client (the </w:t>
      </w:r>
      <w:r>
        <w:rPr>
          <w:rFonts w:ascii="Consolas" w:hAnsi="Consolas"/>
          <w:i/>
          <w:color w:val="C7254E"/>
          <w:sz w:val="20"/>
        </w:rPr>
        <w:t>useAudioRecorder</w:t>
      </w:r>
      <w:r>
        <w:rPr>
          <w:i/>
        </w:rPr>
        <w:t xml:space="preserve"> hook in </w:t>
      </w:r>
      <w:r>
        <w:rPr>
          <w:rFonts w:ascii="Consolas" w:hAnsi="Consolas"/>
          <w:i/>
          <w:color w:val="C7254E"/>
          <w:sz w:val="20"/>
        </w:rPr>
        <w:t>ChatBot.jsx</w:t>
      </w:r>
      <w:r>
        <w:rPr>
          <w:i/>
        </w:rPr>
        <w:t xml:space="preserve">, built on the browser's </w:t>
      </w:r>
      <w:r>
        <w:rPr>
          <w:rFonts w:ascii="Consolas" w:hAnsi="Consolas"/>
          <w:i/>
          <w:color w:val="C7254E"/>
          <w:sz w:val="20"/>
        </w:rPr>
        <w:t>MediaRecorder</w:t>
      </w:r>
      <w:r>
        <w:rPr>
          <w:i/>
        </w:rPr>
        <w:t xml:space="preserve"> API) is a frontend-only, ephemeral feature — the resulting audio </w:t>
      </w:r>
      <w:r>
        <w:rPr>
          <w:rFonts w:ascii="Consolas" w:hAnsi="Consolas"/>
          <w:i/>
          <w:color w:val="C7254E"/>
          <w:sz w:val="20"/>
        </w:rPr>
        <w:t>Blob</w:t>
      </w:r>
      <w:r>
        <w:rPr>
          <w:i/>
        </w:rPr>
        <w:t xml:space="preserve"> is held as a local object URL for in-session playback and is never uploaded to, or persisted by, this backend. </w:t>
      </w:r>
      <w:r>
        <w:rPr>
          <w:rFonts w:ascii="Consolas" w:hAnsi="Consolas"/>
          <w:i/>
          <w:color w:val="C7254E"/>
          <w:sz w:val="20"/>
        </w:rPr>
        <w:t>ChatMessage.content</w:t>
      </w:r>
      <w:r>
        <w:rPr>
          <w:i/>
        </w:rPr>
        <w:t xml:space="preserve"> is a plain-text field with no corresponding </w:t>
      </w:r>
      <w:r>
        <w:rPr>
          <w:rFonts w:ascii="Consolas" w:hAnsi="Consolas"/>
          <w:i/>
          <w:color w:val="C7254E"/>
          <w:sz w:val="20"/>
        </w:rPr>
        <w:t>FileField</w:t>
      </w:r>
      <w:r>
        <w:rPr>
          <w:i/>
        </w:rPr>
        <w:t>/</w:t>
      </w:r>
      <w:r>
        <w:rPr>
          <w:rFonts w:ascii="Consolas" w:hAnsi="Consolas"/>
          <w:i/>
          <w:color w:val="C7254E"/>
          <w:sz w:val="20"/>
        </w:rPr>
        <w:t>ImageField</w:t>
      </w:r>
      <w:r>
        <w:rPr>
          <w:i/>
        </w:rPr>
        <w:t xml:space="preserve"> for audio, confirming there is no server-side voice-storage pipeline in the current implementation.</w:t>
      </w:r>
    </w:p>
    <w:p>
      <w:pPr>
        <w:pStyle w:val="Heading3"/>
      </w:pPr>
      <w:r>
        <w:t>2.4 Clinical Analysis Schema — DiagnosisReport / DiagnosticReport</w:t>
      </w:r>
    </w:p>
    <w:p>
      <w:pPr>
        <w:spacing w:after="160"/>
      </w:pPr>
      <w:r>
        <w:t>Two distinct models exist for two distinct analysis tiers, detailed fully as an architectural pattern in Chapter 4:</w:t>
      </w:r>
    </w:p>
    <w:p>
      <w:pPr>
        <w:spacing w:after="160"/>
      </w:pPr>
      <w:r>
        <w:rPr>
          <w:b/>
        </w:rPr>
        <w:t>`DiagnosisReport`</w:t>
      </w:r>
      <w:r>
        <w:t xml:space="preserve"> (</w:t>
      </w:r>
      <w:r>
        <w:rPr>
          <w:rFonts w:ascii="Consolas" w:hAnsi="Consolas"/>
          <w:color w:val="C7254E"/>
          <w:sz w:val="20"/>
        </w:rPr>
        <w:t>apps.chat.models</w:t>
      </w:r>
      <w:r>
        <w:t xml:space="preserve">, one-to-one -&gt; </w:t>
      </w:r>
      <w:r>
        <w:rPr>
          <w:rFonts w:ascii="Consolas" w:hAnsi="Consolas"/>
          <w:color w:val="C7254E"/>
          <w:sz w:val="20"/>
        </w:rPr>
        <w:t>ChatSession</w:t>
      </w:r>
      <w:r>
        <w:t xml:space="preserve">, </w:t>
      </w:r>
      <w:r>
        <w:rPr>
          <w:rFonts w:ascii="Consolas" w:hAnsi="Consolas"/>
          <w:color w:val="C7254E"/>
          <w:sz w:val="20"/>
        </w:rPr>
        <w:t>related_name="diagnosis_report"</w:t>
      </w:r>
      <w:r>
        <w:t>) — the active, inline, currently-mocked tier: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CE6F1"/>
          </w:tcPr>
          <w:p>
            <w:pPr>
              <w:spacing w:after="40"/>
            </w:pPr>
            <w:r>
              <w:rPr>
                <w:b/>
                <w:sz w:val="19"/>
              </w:rPr>
              <w:t>Field</w:t>
            </w:r>
          </w:p>
        </w:tc>
        <w:tc>
          <w:tcPr>
            <w:tcW w:type="dxa" w:w="1872"/>
            <w:shd w:val="clear" w:color="auto" w:fill="DCE6F1"/>
          </w:tcPr>
          <w:p>
            <w:pPr>
              <w:spacing w:after="40"/>
            </w:pPr>
            <w:r>
              <w:rPr>
                <w:b/>
                <w:sz w:val="19"/>
              </w:rPr>
              <w:t>Type</w:t>
            </w:r>
          </w:p>
        </w:tc>
        <w:tc>
          <w:tcPr>
            <w:tcW w:type="dxa" w:w="1872"/>
            <w:shd w:val="clear" w:color="auto" w:fill="DCE6F1"/>
          </w:tcPr>
          <w:p>
            <w:pPr>
              <w:spacing w:after="40"/>
            </w:pPr>
            <w:r>
              <w:rPr>
                <w:b/>
                <w:sz w:val="19"/>
              </w:rPr>
              <w:t>Description</w:t>
            </w:r>
          </w:p>
        </w:tc>
        <w:tc>
          <w:tcPr>
            <w:tcW w:type="dxa" w:w="1872"/>
            <w:shd w:val="clear" w:color="auto" w:fill="DCE6F1"/>
          </w:tcPr>
          <w:p>
            <w:pPr>
              <w:spacing w:after="40"/>
            </w:pPr>
          </w:p>
        </w:tc>
        <w:tc>
          <w:tcPr>
            <w:tcW w:type="dxa" w:w="1872"/>
            <w:shd w:val="clear" w:color="auto" w:fill="DCE6F1"/>
          </w:tcPr>
          <w:p>
            <w:pPr>
              <w:spacing w:after="40"/>
            </w:pPr>
          </w:p>
        </w:tc>
      </w:tr>
      <w:tr>
        <w:tc>
          <w:tcPr>
            <w:tcW w:type="dxa" w:w="1872"/>
          </w:tcPr>
          <w:p>
            <w:pPr>
              <w:spacing w:after="40"/>
            </w:pPr>
            <w:r>
              <w:rPr>
                <w:rFonts w:ascii="Consolas" w:hAnsi="Consolas"/>
                <w:color w:val="C7254E"/>
                <w:sz w:val="19"/>
              </w:rPr>
              <w:t>sentiment_score</w:t>
            </w:r>
          </w:p>
        </w:tc>
        <w:tc>
          <w:tcPr>
            <w:tcW w:type="dxa" w:w="1872"/>
          </w:tcPr>
          <w:p>
            <w:pPr>
              <w:spacing w:after="40"/>
            </w:pPr>
            <w:r>
              <w:rPr>
                <w:rFonts w:ascii="Consolas" w:hAnsi="Consolas"/>
                <w:color w:val="C7254E"/>
                <w:sz w:val="19"/>
              </w:rPr>
              <w:t>FloatField</w:t>
            </w:r>
            <w:r>
              <w:rPr>
                <w:sz w:val="19"/>
              </w:rPr>
              <w:t>, validated [-1.0, 1.0]</w:t>
            </w:r>
          </w:p>
        </w:tc>
        <w:tc>
          <w:tcPr>
            <w:tcW w:type="dxa" w:w="1872"/>
          </w:tcPr>
          <w:p>
            <w:pPr>
              <w:spacing w:after="40"/>
            </w:pPr>
            <w:r>
              <w:rPr>
                <w:sz w:val="19"/>
              </w:rPr>
              <w:t>Overall polarity of patient messages</w:t>
            </w:r>
          </w:p>
        </w:tc>
        <w:tc>
          <w:tcPr>
            <w:tcW w:type="dxa" w:w="1872"/>
          </w:tcPr>
          <w:p>
            <w:pPr>
              <w:spacing w:after="40"/>
            </w:pPr>
          </w:p>
        </w:tc>
        <w:tc>
          <w:tcPr>
            <w:tcW w:type="dxa" w:w="1872"/>
          </w:tcPr>
          <w:p>
            <w:pPr>
              <w:spacing w:after="40"/>
            </w:pPr>
          </w:p>
        </w:tc>
      </w:tr>
      <w:tr>
        <w:tc>
          <w:tcPr>
            <w:tcW w:type="dxa" w:w="1872"/>
          </w:tcPr>
          <w:p>
            <w:pPr>
              <w:spacing w:after="40"/>
            </w:pPr>
            <w:r>
              <w:rPr>
                <w:rFonts w:ascii="Consolas" w:hAnsi="Consolas"/>
                <w:color w:val="C7254E"/>
                <w:sz w:val="19"/>
              </w:rPr>
              <w:t>sentiment_label</w:t>
            </w:r>
          </w:p>
        </w:tc>
        <w:tc>
          <w:tcPr>
            <w:tcW w:type="dxa" w:w="1872"/>
          </w:tcPr>
          <w:p>
            <w:pPr>
              <w:spacing w:after="40"/>
            </w:pPr>
            <w:r>
              <w:rPr>
                <w:rFonts w:ascii="Consolas" w:hAnsi="Consolas"/>
                <w:color w:val="C7254E"/>
                <w:sz w:val="19"/>
              </w:rPr>
              <w:t>CharField</w:t>
            </w:r>
          </w:p>
        </w:tc>
        <w:tc>
          <w:tcPr>
            <w:tcW w:type="dxa" w:w="1872"/>
          </w:tcPr>
          <w:p>
            <w:pPr>
              <w:spacing w:after="40"/>
            </w:pPr>
            <w:r>
              <w:rPr>
                <w:sz w:val="19"/>
              </w:rPr>
              <w:t>positive \</w:t>
            </w:r>
          </w:p>
        </w:tc>
        <w:tc>
          <w:tcPr>
            <w:tcW w:type="dxa" w:w="1872"/>
          </w:tcPr>
          <w:p>
            <w:pPr>
              <w:spacing w:after="40"/>
            </w:pPr>
            <w:r>
              <w:rPr>
                <w:sz w:val="19"/>
              </w:rPr>
              <w:t>neutral \</w:t>
            </w:r>
          </w:p>
        </w:tc>
        <w:tc>
          <w:tcPr>
            <w:tcW w:type="dxa" w:w="1872"/>
          </w:tcPr>
          <w:p>
            <w:pPr>
              <w:spacing w:after="40"/>
            </w:pPr>
            <w:r>
              <w:rPr>
                <w:sz w:val="19"/>
              </w:rPr>
              <w:t>negative</w:t>
            </w:r>
          </w:p>
        </w:tc>
      </w:tr>
      <w:tr>
        <w:tc>
          <w:tcPr>
            <w:tcW w:type="dxa" w:w="1872"/>
          </w:tcPr>
          <w:p>
            <w:pPr>
              <w:spacing w:after="40"/>
            </w:pPr>
            <w:r>
              <w:rPr>
                <w:rFonts w:ascii="Consolas" w:hAnsi="Consolas"/>
                <w:color w:val="C7254E"/>
                <w:sz w:val="19"/>
              </w:rPr>
              <w:t>disorder_tags</w:t>
            </w:r>
          </w:p>
        </w:tc>
        <w:tc>
          <w:tcPr>
            <w:tcW w:type="dxa" w:w="1872"/>
          </w:tcPr>
          <w:p>
            <w:pPr>
              <w:spacing w:after="40"/>
            </w:pPr>
            <w:r>
              <w:rPr>
                <w:rFonts w:ascii="Consolas" w:hAnsi="Consolas"/>
                <w:color w:val="C7254E"/>
                <w:sz w:val="19"/>
              </w:rPr>
              <w:t>JSONField</w:t>
            </w:r>
            <w:r>
              <w:rPr>
                <w:sz w:val="19"/>
              </w:rPr>
              <w:t xml:space="preserve"> (list)</w:t>
            </w:r>
          </w:p>
        </w:tc>
        <w:tc>
          <w:tcPr>
            <w:tcW w:type="dxa" w:w="1872"/>
          </w:tcPr>
          <w:p>
            <w:pPr>
              <w:spacing w:after="40"/>
            </w:pPr>
            <w:r>
              <w:rPr>
                <w:sz w:val="19"/>
              </w:rPr>
              <w:t>e.g. ["anxiety_indicators", "sleep_issues"]</w:t>
            </w:r>
          </w:p>
        </w:tc>
        <w:tc>
          <w:tcPr>
            <w:tcW w:type="dxa" w:w="1872"/>
          </w:tcPr>
          <w:p>
            <w:pPr>
              <w:spacing w:after="40"/>
            </w:pPr>
          </w:p>
        </w:tc>
        <w:tc>
          <w:tcPr>
            <w:tcW w:type="dxa" w:w="1872"/>
          </w:tcPr>
          <w:p>
            <w:pPr>
              <w:spacing w:after="40"/>
            </w:pPr>
          </w:p>
        </w:tc>
      </w:tr>
      <w:tr>
        <w:tc>
          <w:tcPr>
            <w:tcW w:type="dxa" w:w="1872"/>
          </w:tcPr>
          <w:p>
            <w:pPr>
              <w:spacing w:after="40"/>
            </w:pPr>
            <w:r>
              <w:rPr>
                <w:rFonts w:ascii="Consolas" w:hAnsi="Consolas"/>
                <w:color w:val="C7254E"/>
                <w:sz w:val="19"/>
              </w:rPr>
              <w:t>severity</w:t>
            </w:r>
          </w:p>
        </w:tc>
        <w:tc>
          <w:tcPr>
            <w:tcW w:type="dxa" w:w="1872"/>
          </w:tcPr>
          <w:p>
            <w:pPr>
              <w:spacing w:after="40"/>
            </w:pPr>
            <w:r>
              <w:rPr>
                <w:rFonts w:ascii="Consolas" w:hAnsi="Consolas"/>
                <w:color w:val="C7254E"/>
                <w:sz w:val="19"/>
              </w:rPr>
              <w:t>TextChoices</w:t>
            </w:r>
          </w:p>
        </w:tc>
        <w:tc>
          <w:tcPr>
            <w:tcW w:type="dxa" w:w="1872"/>
          </w:tcPr>
          <w:p>
            <w:pPr>
              <w:spacing w:after="40"/>
            </w:pPr>
            <w:r>
              <w:rPr>
                <w:sz w:val="19"/>
              </w:rPr>
              <w:t>none -&gt; mild -&gt; moderate -&gt; severe</w:t>
            </w:r>
          </w:p>
        </w:tc>
        <w:tc>
          <w:tcPr>
            <w:tcW w:type="dxa" w:w="1872"/>
          </w:tcPr>
          <w:p>
            <w:pPr>
              <w:spacing w:after="40"/>
            </w:pPr>
          </w:p>
        </w:tc>
        <w:tc>
          <w:tcPr>
            <w:tcW w:type="dxa" w:w="1872"/>
          </w:tcPr>
          <w:p>
            <w:pPr>
              <w:spacing w:after="40"/>
            </w:pPr>
          </w:p>
        </w:tc>
      </w:tr>
      <w:tr>
        <w:tc>
          <w:tcPr>
            <w:tcW w:type="dxa" w:w="1872"/>
          </w:tcPr>
          <w:p>
            <w:pPr>
              <w:spacing w:after="40"/>
            </w:pPr>
            <w:r>
              <w:rPr>
                <w:rFonts w:ascii="Consolas" w:hAnsi="Consolas"/>
                <w:color w:val="C7254E"/>
                <w:sz w:val="19"/>
              </w:rPr>
              <w:t>summary</w:t>
            </w:r>
          </w:p>
        </w:tc>
        <w:tc>
          <w:tcPr>
            <w:tcW w:type="dxa" w:w="1872"/>
          </w:tcPr>
          <w:p>
            <w:pPr>
              <w:spacing w:after="40"/>
            </w:pPr>
            <w:r>
              <w:rPr>
                <w:rFonts w:ascii="Consolas" w:hAnsi="Consolas"/>
                <w:color w:val="C7254E"/>
                <w:sz w:val="19"/>
              </w:rPr>
              <w:t>TextField</w:t>
            </w:r>
          </w:p>
        </w:tc>
        <w:tc>
          <w:tcPr>
            <w:tcW w:type="dxa" w:w="1872"/>
          </w:tcPr>
          <w:p>
            <w:pPr>
              <w:spacing w:after="40"/>
            </w:pPr>
            <w:r>
              <w:rPr>
                <w:sz w:val="19"/>
              </w:rPr>
              <w:t>Human-readable narrative</w:t>
            </w:r>
          </w:p>
        </w:tc>
        <w:tc>
          <w:tcPr>
            <w:tcW w:type="dxa" w:w="1872"/>
          </w:tcPr>
          <w:p>
            <w:pPr>
              <w:spacing w:after="40"/>
            </w:pPr>
          </w:p>
        </w:tc>
        <w:tc>
          <w:tcPr>
            <w:tcW w:type="dxa" w:w="1872"/>
          </w:tcPr>
          <w:p>
            <w:pPr>
              <w:spacing w:after="40"/>
            </w:pPr>
          </w:p>
        </w:tc>
      </w:tr>
      <w:tr>
        <w:tc>
          <w:tcPr>
            <w:tcW w:type="dxa" w:w="1872"/>
          </w:tcPr>
          <w:p>
            <w:pPr>
              <w:spacing w:after="40"/>
            </w:pPr>
            <w:r>
              <w:rPr>
                <w:rFonts w:ascii="Consolas" w:hAnsi="Consolas"/>
                <w:color w:val="C7254E"/>
                <w:sz w:val="19"/>
              </w:rPr>
              <w:t>recommendations</w:t>
            </w:r>
          </w:p>
        </w:tc>
        <w:tc>
          <w:tcPr>
            <w:tcW w:type="dxa" w:w="1872"/>
          </w:tcPr>
          <w:p>
            <w:pPr>
              <w:spacing w:after="40"/>
            </w:pPr>
            <w:r>
              <w:rPr>
                <w:rFonts w:ascii="Consolas" w:hAnsi="Consolas"/>
                <w:color w:val="C7254E"/>
                <w:sz w:val="19"/>
              </w:rPr>
              <w:t>JSONField</w:t>
            </w:r>
            <w:r>
              <w:rPr>
                <w:sz w:val="19"/>
              </w:rPr>
              <w:t xml:space="preserve"> (list)</w:t>
            </w:r>
          </w:p>
        </w:tc>
        <w:tc>
          <w:tcPr>
            <w:tcW w:type="dxa" w:w="1872"/>
          </w:tcPr>
          <w:p>
            <w:pPr>
              <w:spacing w:after="40"/>
            </w:pPr>
            <w:r>
              <w:rPr>
                <w:sz w:val="19"/>
              </w:rPr>
              <w:t>Resource/action tags</w:t>
            </w:r>
          </w:p>
        </w:tc>
        <w:tc>
          <w:tcPr>
            <w:tcW w:type="dxa" w:w="1872"/>
          </w:tcPr>
          <w:p>
            <w:pPr>
              <w:spacing w:after="40"/>
            </w:pPr>
          </w:p>
        </w:tc>
        <w:tc>
          <w:tcPr>
            <w:tcW w:type="dxa" w:w="1872"/>
          </w:tcPr>
          <w:p>
            <w:pPr>
              <w:spacing w:after="40"/>
            </w:pPr>
          </w:p>
        </w:tc>
      </w:tr>
      <w:tr>
        <w:tc>
          <w:tcPr>
            <w:tcW w:type="dxa" w:w="1872"/>
          </w:tcPr>
          <w:p>
            <w:pPr>
              <w:spacing w:after="40"/>
            </w:pPr>
            <w:r>
              <w:rPr>
                <w:rFonts w:ascii="Consolas" w:hAnsi="Consolas"/>
                <w:color w:val="C7254E"/>
                <w:sz w:val="19"/>
              </w:rPr>
              <w:t>is_mock</w:t>
            </w:r>
          </w:p>
        </w:tc>
        <w:tc>
          <w:tcPr>
            <w:tcW w:type="dxa" w:w="1872"/>
          </w:tcPr>
          <w:p>
            <w:pPr>
              <w:spacing w:after="40"/>
            </w:pPr>
            <w:r>
              <w:rPr>
                <w:rFonts w:ascii="Consolas" w:hAnsi="Consolas"/>
                <w:color w:val="C7254E"/>
                <w:sz w:val="19"/>
              </w:rPr>
              <w:t>BooleanField</w:t>
            </w:r>
            <w:r>
              <w:rPr>
                <w:sz w:val="19"/>
              </w:rPr>
              <w:t>, default True</w:t>
            </w:r>
          </w:p>
        </w:tc>
        <w:tc>
          <w:tcPr>
            <w:tcW w:type="dxa" w:w="1872"/>
          </w:tcPr>
          <w:p>
            <w:pPr>
              <w:spacing w:after="40"/>
            </w:pPr>
            <w:r>
              <w:rPr>
                <w:sz w:val="19"/>
              </w:rPr>
              <w:t>False once a production model replaces the heuristic</w:t>
            </w:r>
          </w:p>
        </w:tc>
        <w:tc>
          <w:tcPr>
            <w:tcW w:type="dxa" w:w="1872"/>
          </w:tcPr>
          <w:p>
            <w:pPr>
              <w:spacing w:after="40"/>
            </w:pPr>
          </w:p>
        </w:tc>
        <w:tc>
          <w:tcPr>
            <w:tcW w:type="dxa" w:w="1872"/>
          </w:tcPr>
          <w:p>
            <w:pPr>
              <w:spacing w:after="40"/>
            </w:pPr>
          </w:p>
        </w:tc>
      </w:tr>
    </w:tbl>
    <w:p/>
    <w:p>
      <w:pPr>
        <w:spacing w:after="160"/>
      </w:pPr>
      <w:r>
        <w:rPr>
          <w:b/>
        </w:rPr>
        <w:t>`DiagnosticReport`</w:t>
      </w:r>
      <w:r>
        <w:t xml:space="preserve"> (</w:t>
      </w:r>
      <w:r>
        <w:rPr>
          <w:rFonts w:ascii="Consolas" w:hAnsi="Consolas"/>
          <w:color w:val="C7254E"/>
          <w:sz w:val="20"/>
        </w:rPr>
        <w:t>apps.diagnostics.models</w:t>
      </w:r>
      <w:r>
        <w:t xml:space="preserve">, UUID primary key, one-to-one -&gt; </w:t>
      </w:r>
      <w:r>
        <w:rPr>
          <w:rFonts w:ascii="Consolas" w:hAnsi="Consolas"/>
          <w:color w:val="C7254E"/>
          <w:sz w:val="20"/>
        </w:rPr>
        <w:t>ChatSession</w:t>
      </w:r>
      <w:r>
        <w:t xml:space="preserve">, FK -&gt; </w:t>
      </w:r>
      <w:r>
        <w:rPr>
          <w:rFonts w:ascii="Consolas" w:hAnsi="Consolas"/>
          <w:color w:val="C7254E"/>
          <w:sz w:val="20"/>
        </w:rPr>
        <w:t>User</w:t>
      </w:r>
      <w:r>
        <w:t>) — the schema-complete, offline data-science-ready tier: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CE6F1"/>
          </w:tcPr>
          <w:p>
            <w:pPr>
              <w:spacing w:after="40"/>
            </w:pPr>
            <w:r>
              <w:rPr>
                <w:b/>
                <w:sz w:val="19"/>
              </w:rPr>
              <w:t>Field</w:t>
            </w:r>
          </w:p>
        </w:tc>
        <w:tc>
          <w:tcPr>
            <w:tcW w:type="dxa" w:w="2340"/>
            <w:shd w:val="clear" w:color="auto" w:fill="DCE6F1"/>
          </w:tcPr>
          <w:p>
            <w:pPr>
              <w:spacing w:after="40"/>
            </w:pPr>
            <w:r>
              <w:rPr>
                <w:b/>
                <w:sz w:val="19"/>
              </w:rPr>
              <w:t>Type</w:t>
            </w:r>
          </w:p>
        </w:tc>
        <w:tc>
          <w:tcPr>
            <w:tcW w:type="dxa" w:w="2340"/>
            <w:shd w:val="clear" w:color="auto" w:fill="DCE6F1"/>
          </w:tcPr>
          <w:p>
            <w:pPr>
              <w:spacing w:after="40"/>
            </w:pPr>
            <w:r>
              <w:rPr>
                <w:b/>
                <w:sz w:val="19"/>
              </w:rPr>
              <w:t>Description</w:t>
            </w:r>
          </w:p>
        </w:tc>
        <w:tc>
          <w:tcPr>
            <w:tcW w:type="dxa" w:w="2340"/>
            <w:shd w:val="clear" w:color="auto" w:fill="DCE6F1"/>
          </w:tcPr>
          <w:p>
            <w:pPr>
              <w:spacing w:after="40"/>
            </w:pPr>
          </w:p>
        </w:tc>
      </w:tr>
      <w:tr>
        <w:tc>
          <w:tcPr>
            <w:tcW w:type="dxa" w:w="2340"/>
          </w:tcPr>
          <w:p>
            <w:pPr>
              <w:spacing w:after="40"/>
            </w:pPr>
            <w:r>
              <w:rPr>
                <w:rFonts w:ascii="Consolas" w:hAnsi="Consolas"/>
                <w:color w:val="C7254E"/>
                <w:sz w:val="19"/>
              </w:rPr>
              <w:t>status</w:t>
            </w:r>
          </w:p>
        </w:tc>
        <w:tc>
          <w:tcPr>
            <w:tcW w:type="dxa" w:w="2340"/>
          </w:tcPr>
          <w:p>
            <w:pPr>
              <w:spacing w:after="40"/>
            </w:pPr>
            <w:r>
              <w:rPr>
                <w:rFonts w:ascii="Consolas" w:hAnsi="Consolas"/>
                <w:color w:val="C7254E"/>
                <w:sz w:val="19"/>
              </w:rPr>
              <w:t>TextChoices</w:t>
            </w:r>
          </w:p>
        </w:tc>
        <w:tc>
          <w:tcPr>
            <w:tcW w:type="dxa" w:w="2340"/>
          </w:tcPr>
          <w:p>
            <w:pPr>
              <w:spacing w:after="40"/>
            </w:pPr>
            <w:r>
              <w:rPr>
                <w:sz w:val="19"/>
              </w:rPr>
              <w:t>pending -&gt; processing -&gt; completed \</w:t>
            </w:r>
          </w:p>
        </w:tc>
        <w:tc>
          <w:tcPr>
            <w:tcW w:type="dxa" w:w="2340"/>
          </w:tcPr>
          <w:p>
            <w:pPr>
              <w:spacing w:after="40"/>
            </w:pPr>
            <w:r>
              <w:rPr>
                <w:sz w:val="19"/>
              </w:rPr>
              <w:t>failed</w:t>
            </w:r>
          </w:p>
        </w:tc>
      </w:tr>
      <w:tr>
        <w:tc>
          <w:tcPr>
            <w:tcW w:type="dxa" w:w="2340"/>
          </w:tcPr>
          <w:p>
            <w:pPr>
              <w:spacing w:after="40"/>
            </w:pPr>
            <w:r>
              <w:rPr>
                <w:rFonts w:ascii="Consolas" w:hAnsi="Consolas"/>
                <w:color w:val="C7254E"/>
                <w:sz w:val="19"/>
              </w:rPr>
              <w:t>overall_sentiment_score</w:t>
            </w:r>
          </w:p>
        </w:tc>
        <w:tc>
          <w:tcPr>
            <w:tcW w:type="dxa" w:w="2340"/>
          </w:tcPr>
          <w:p>
            <w:pPr>
              <w:spacing w:after="40"/>
            </w:pPr>
            <w:r>
              <w:rPr>
                <w:rFonts w:ascii="Consolas" w:hAnsi="Consolas"/>
                <w:color w:val="C7254E"/>
                <w:sz w:val="19"/>
              </w:rPr>
              <w:t>FloatField</w:t>
            </w:r>
            <w:r>
              <w:rPr>
                <w:sz w:val="19"/>
              </w:rPr>
              <w:t>, [-1.0, 1.0]</w:t>
            </w:r>
          </w:p>
        </w:tc>
        <w:tc>
          <w:tcPr>
            <w:tcW w:type="dxa" w:w="2340"/>
          </w:tcPr>
          <w:p>
            <w:pPr>
              <w:spacing w:after="40"/>
            </w:pPr>
          </w:p>
        </w:tc>
        <w:tc>
          <w:tcPr>
            <w:tcW w:type="dxa" w:w="2340"/>
          </w:tcPr>
          <w:p>
            <w:pPr>
              <w:spacing w:after="40"/>
            </w:pPr>
          </w:p>
        </w:tc>
      </w:tr>
      <w:tr>
        <w:tc>
          <w:tcPr>
            <w:tcW w:type="dxa" w:w="2340"/>
          </w:tcPr>
          <w:p>
            <w:pPr>
              <w:spacing w:after="40"/>
            </w:pPr>
            <w:r>
              <w:rPr>
                <w:rFonts w:ascii="Consolas" w:hAnsi="Consolas"/>
                <w:color w:val="C7254E"/>
                <w:sz w:val="19"/>
              </w:rPr>
              <w:t>subjectivity_score</w:t>
            </w:r>
          </w:p>
        </w:tc>
        <w:tc>
          <w:tcPr>
            <w:tcW w:type="dxa" w:w="2340"/>
          </w:tcPr>
          <w:p>
            <w:pPr>
              <w:spacing w:after="40"/>
            </w:pPr>
            <w:r>
              <w:rPr>
                <w:rFonts w:ascii="Consolas" w:hAnsi="Consolas"/>
                <w:color w:val="C7254E"/>
                <w:sz w:val="19"/>
              </w:rPr>
              <w:t>FloatField</w:t>
            </w:r>
            <w:r>
              <w:rPr>
                <w:sz w:val="19"/>
              </w:rPr>
              <w:t>, [0.0, 1.0]</w:t>
            </w:r>
          </w:p>
        </w:tc>
        <w:tc>
          <w:tcPr>
            <w:tcW w:type="dxa" w:w="2340"/>
          </w:tcPr>
          <w:p>
            <w:pPr>
              <w:spacing w:after="40"/>
            </w:pPr>
            <w:r>
              <w:rPr>
                <w:sz w:val="19"/>
              </w:rPr>
              <w:t>TextBlob-style objective/subjective measure</w:t>
            </w:r>
          </w:p>
        </w:tc>
        <w:tc>
          <w:tcPr>
            <w:tcW w:type="dxa" w:w="2340"/>
          </w:tcPr>
          <w:p>
            <w:pPr>
              <w:spacing w:after="40"/>
            </w:pPr>
          </w:p>
        </w:tc>
      </w:tr>
      <w:tr>
        <w:tc>
          <w:tcPr>
            <w:tcW w:type="dxa" w:w="2340"/>
          </w:tcPr>
          <w:p>
            <w:pPr>
              <w:spacing w:after="40"/>
            </w:pPr>
            <w:r>
              <w:rPr>
                <w:rFonts w:ascii="Consolas" w:hAnsi="Consolas"/>
                <w:color w:val="C7254E"/>
                <w:sz w:val="19"/>
              </w:rPr>
              <w:t>top_keywords</w:t>
            </w:r>
          </w:p>
        </w:tc>
        <w:tc>
          <w:tcPr>
            <w:tcW w:type="dxa" w:w="2340"/>
          </w:tcPr>
          <w:p>
            <w:pPr>
              <w:spacing w:after="40"/>
            </w:pPr>
            <w:r>
              <w:rPr>
                <w:rFonts w:ascii="Consolas" w:hAnsi="Consolas"/>
                <w:color w:val="C7254E"/>
                <w:sz w:val="19"/>
              </w:rPr>
              <w:t>JSONField</w:t>
            </w:r>
            <w:r>
              <w:rPr>
                <w:sz w:val="19"/>
              </w:rPr>
              <w:t xml:space="preserve"> (list of {term, score})</w:t>
            </w:r>
          </w:p>
        </w:tc>
        <w:tc>
          <w:tcPr>
            <w:tcW w:type="dxa" w:w="2340"/>
          </w:tcPr>
          <w:p>
            <w:pPr>
              <w:spacing w:after="40"/>
            </w:pPr>
          </w:p>
        </w:tc>
        <w:tc>
          <w:tcPr>
            <w:tcW w:type="dxa" w:w="2340"/>
          </w:tcPr>
          <w:p>
            <w:pPr>
              <w:spacing w:after="40"/>
            </w:pPr>
          </w:p>
        </w:tc>
      </w:tr>
      <w:tr>
        <w:tc>
          <w:tcPr>
            <w:tcW w:type="dxa" w:w="2340"/>
          </w:tcPr>
          <w:p>
            <w:pPr>
              <w:spacing w:after="40"/>
            </w:pPr>
            <w:r>
              <w:rPr>
                <w:rFonts w:ascii="Consolas" w:hAnsi="Consolas"/>
                <w:color w:val="C7254E"/>
                <w:sz w:val="19"/>
              </w:rPr>
              <w:t>bigrams</w:t>
            </w:r>
            <w:r>
              <w:rPr>
                <w:sz w:val="19"/>
              </w:rPr>
              <w:t xml:space="preserve">, </w:t>
            </w:r>
            <w:r>
              <w:rPr>
                <w:rFonts w:ascii="Consolas" w:hAnsi="Consolas"/>
                <w:color w:val="C7254E"/>
                <w:sz w:val="19"/>
              </w:rPr>
              <w:t>trigrams</w:t>
            </w:r>
          </w:p>
        </w:tc>
        <w:tc>
          <w:tcPr>
            <w:tcW w:type="dxa" w:w="2340"/>
          </w:tcPr>
          <w:p>
            <w:pPr>
              <w:spacing w:after="40"/>
            </w:pPr>
            <w:r>
              <w:rPr>
                <w:rFonts w:ascii="Consolas" w:hAnsi="Consolas"/>
                <w:color w:val="C7254E"/>
                <w:sz w:val="19"/>
              </w:rPr>
              <w:t>JSONField</w:t>
            </w:r>
            <w:r>
              <w:rPr>
                <w:sz w:val="19"/>
              </w:rPr>
              <w:t xml:space="preserve"> (list)</w:t>
            </w:r>
          </w:p>
        </w:tc>
        <w:tc>
          <w:tcPr>
            <w:tcW w:type="dxa" w:w="2340"/>
          </w:tcPr>
          <w:p>
            <w:pPr>
              <w:spacing w:after="40"/>
            </w:pPr>
            <w:r>
              <w:rPr>
                <w:sz w:val="19"/>
              </w:rPr>
              <w:t>N-gram frequency extraction</w:t>
            </w:r>
          </w:p>
        </w:tc>
        <w:tc>
          <w:tcPr>
            <w:tcW w:type="dxa" w:w="2340"/>
          </w:tcPr>
          <w:p>
            <w:pPr>
              <w:spacing w:after="40"/>
            </w:pPr>
          </w:p>
        </w:tc>
      </w:tr>
      <w:tr>
        <w:tc>
          <w:tcPr>
            <w:tcW w:type="dxa" w:w="2340"/>
          </w:tcPr>
          <w:p>
            <w:pPr>
              <w:spacing w:after="40"/>
            </w:pPr>
            <w:r>
              <w:rPr>
                <w:rFonts w:ascii="Consolas" w:hAnsi="Consolas"/>
                <w:color w:val="C7254E"/>
                <w:sz w:val="19"/>
              </w:rPr>
              <w:t>identified_patterns</w:t>
            </w:r>
          </w:p>
        </w:tc>
        <w:tc>
          <w:tcPr>
            <w:tcW w:type="dxa" w:w="2340"/>
          </w:tcPr>
          <w:p>
            <w:pPr>
              <w:spacing w:after="40"/>
            </w:pPr>
            <w:r>
              <w:rPr>
                <w:rFonts w:ascii="Consolas" w:hAnsi="Consolas"/>
                <w:color w:val="C7254E"/>
                <w:sz w:val="19"/>
              </w:rPr>
              <w:t>JSONField</w:t>
            </w:r>
            <w:r>
              <w:rPr>
                <w:sz w:val="19"/>
              </w:rPr>
              <w:t xml:space="preserve"> (list)</w:t>
            </w:r>
          </w:p>
        </w:tc>
        <w:tc>
          <w:tcPr>
            <w:tcW w:type="dxa" w:w="2340"/>
          </w:tcPr>
          <w:p>
            <w:pPr>
              <w:spacing w:after="40"/>
            </w:pPr>
            <w:r>
              <w:rPr>
                <w:sz w:val="19"/>
              </w:rPr>
              <w:t>Domain-specific pattern flags</w:t>
            </w:r>
          </w:p>
        </w:tc>
        <w:tc>
          <w:tcPr>
            <w:tcW w:type="dxa" w:w="2340"/>
          </w:tcPr>
          <w:p>
            <w:pPr>
              <w:spacing w:after="40"/>
            </w:pPr>
          </w:p>
        </w:tc>
      </w:tr>
      <w:tr>
        <w:tc>
          <w:tcPr>
            <w:tcW w:type="dxa" w:w="2340"/>
          </w:tcPr>
          <w:p>
            <w:pPr>
              <w:spacing w:after="40"/>
            </w:pPr>
            <w:r>
              <w:rPr>
                <w:rFonts w:ascii="Consolas" w:hAnsi="Consolas"/>
                <w:color w:val="C7254E"/>
                <w:sz w:val="19"/>
              </w:rPr>
              <w:t>severity_level</w:t>
            </w:r>
          </w:p>
        </w:tc>
        <w:tc>
          <w:tcPr>
            <w:tcW w:type="dxa" w:w="2340"/>
          </w:tcPr>
          <w:p>
            <w:pPr>
              <w:spacing w:after="40"/>
            </w:pPr>
            <w:r>
              <w:rPr>
                <w:rFonts w:ascii="Consolas" w:hAnsi="Consolas"/>
                <w:color w:val="C7254E"/>
                <w:sz w:val="19"/>
              </w:rPr>
              <w:t>TextChoices</w:t>
            </w:r>
          </w:p>
        </w:tc>
        <w:tc>
          <w:tcPr>
            <w:tcW w:type="dxa" w:w="2340"/>
          </w:tcPr>
          <w:p>
            <w:pPr>
              <w:spacing w:after="40"/>
            </w:pPr>
            <w:r>
              <w:rPr>
                <w:sz w:val="19"/>
              </w:rPr>
              <w:t>Identical four-tier scale to DiagnosisReport</w:t>
            </w:r>
          </w:p>
        </w:tc>
        <w:tc>
          <w:tcPr>
            <w:tcW w:type="dxa" w:w="2340"/>
          </w:tcPr>
          <w:p>
            <w:pPr>
              <w:spacing w:after="40"/>
            </w:pPr>
          </w:p>
        </w:tc>
      </w:tr>
      <w:tr>
        <w:tc>
          <w:tcPr>
            <w:tcW w:type="dxa" w:w="2340"/>
          </w:tcPr>
          <w:p>
            <w:pPr>
              <w:spacing w:after="40"/>
            </w:pPr>
            <w:r>
              <w:rPr>
                <w:rFonts w:ascii="Consolas" w:hAnsi="Consolas"/>
                <w:color w:val="C7254E"/>
                <w:sz w:val="19"/>
              </w:rPr>
              <w:t>error_message</w:t>
            </w:r>
          </w:p>
        </w:tc>
        <w:tc>
          <w:tcPr>
            <w:tcW w:type="dxa" w:w="2340"/>
          </w:tcPr>
          <w:p>
            <w:pPr>
              <w:spacing w:after="40"/>
            </w:pPr>
            <w:r>
              <w:rPr>
                <w:rFonts w:ascii="Consolas" w:hAnsi="Consolas"/>
                <w:color w:val="C7254E"/>
                <w:sz w:val="19"/>
              </w:rPr>
              <w:t>TextField</w:t>
            </w:r>
          </w:p>
        </w:tc>
        <w:tc>
          <w:tcPr>
            <w:tcW w:type="dxa" w:w="2340"/>
          </w:tcPr>
          <w:p>
            <w:pPr>
              <w:spacing w:after="40"/>
            </w:pPr>
            <w:r>
              <w:rPr>
                <w:sz w:val="19"/>
              </w:rPr>
              <w:t>Populated only when status=failed</w:t>
            </w:r>
          </w:p>
        </w:tc>
        <w:tc>
          <w:tcPr>
            <w:tcW w:type="dxa" w:w="2340"/>
          </w:tcPr>
          <w:p>
            <w:pPr>
              <w:spacing w:after="40"/>
            </w:pPr>
          </w:p>
        </w:tc>
      </w:tr>
    </w:tbl>
    <w:p/>
    <w:p>
      <w:pPr>
        <w:pStyle w:val="Heading3"/>
      </w:pPr>
      <w:r>
        <w:t>2.5 Auxiliary Domain Schemas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CE6F1"/>
          </w:tcPr>
          <w:p>
            <w:pPr>
              <w:spacing w:after="40"/>
            </w:pPr>
            <w:r>
              <w:rPr>
                <w:b/>
                <w:sz w:val="19"/>
              </w:rPr>
              <w:t>App</w:t>
            </w:r>
          </w:p>
        </w:tc>
        <w:tc>
          <w:tcPr>
            <w:tcW w:type="dxa" w:w="2340"/>
            <w:shd w:val="clear" w:color="auto" w:fill="DCE6F1"/>
          </w:tcPr>
          <w:p>
            <w:pPr>
              <w:spacing w:after="40"/>
            </w:pPr>
            <w:r>
              <w:rPr>
                <w:b/>
                <w:sz w:val="19"/>
              </w:rPr>
              <w:t>Model</w:t>
            </w:r>
          </w:p>
        </w:tc>
        <w:tc>
          <w:tcPr>
            <w:tcW w:type="dxa" w:w="2340"/>
            <w:shd w:val="clear" w:color="auto" w:fill="DCE6F1"/>
          </w:tcPr>
          <w:p>
            <w:pPr>
              <w:spacing w:after="40"/>
            </w:pPr>
            <w:r>
              <w:rPr>
                <w:b/>
                <w:sz w:val="19"/>
              </w:rPr>
              <w:t>Key Fields</w:t>
            </w:r>
          </w:p>
        </w:tc>
        <w:tc>
          <w:tcPr>
            <w:tcW w:type="dxa" w:w="2340"/>
            <w:shd w:val="clear" w:color="auto" w:fill="DCE6F1"/>
          </w:tcPr>
          <w:p>
            <w:pPr>
              <w:spacing w:after="40"/>
            </w:pPr>
            <w:r>
              <w:rPr>
                <w:b/>
                <w:sz w:val="19"/>
              </w:rPr>
              <w:t>Constraint</w:t>
            </w:r>
          </w:p>
        </w:tc>
      </w:tr>
      <w:tr>
        <w:tc>
          <w:tcPr>
            <w:tcW w:type="dxa" w:w="2340"/>
          </w:tcPr>
          <w:p>
            <w:pPr>
              <w:spacing w:after="40"/>
            </w:pPr>
            <w:r>
              <w:rPr>
                <w:sz w:val="19"/>
              </w:rPr>
              <w:t>wellness</w:t>
            </w:r>
          </w:p>
        </w:tc>
        <w:tc>
          <w:tcPr>
            <w:tcW w:type="dxa" w:w="2340"/>
          </w:tcPr>
          <w:p>
            <w:pPr>
              <w:spacing w:after="40"/>
            </w:pPr>
            <w:r>
              <w:rPr>
                <w:sz w:val="19"/>
              </w:rPr>
              <w:t>MoodEntry</w:t>
            </w:r>
          </w:p>
        </w:tc>
        <w:tc>
          <w:tcPr>
            <w:tcW w:type="dxa" w:w="2340"/>
          </w:tcPr>
          <w:p>
            <w:pPr>
              <w:spacing w:after="40"/>
            </w:pPr>
            <w:r>
              <w:rPr>
                <w:sz w:val="19"/>
              </w:rPr>
              <w:t>date, mood (10-value enum)</w:t>
            </w:r>
          </w:p>
        </w:tc>
        <w:tc>
          <w:tcPr>
            <w:tcW w:type="dxa" w:w="2340"/>
          </w:tcPr>
          <w:p>
            <w:pPr>
              <w:spacing w:after="40"/>
            </w:pPr>
            <w:r>
              <w:rPr>
                <w:sz w:val="19"/>
              </w:rPr>
              <w:t>unique_together=("user","date")</w:t>
            </w:r>
          </w:p>
        </w:tc>
      </w:tr>
      <w:tr>
        <w:tc>
          <w:tcPr>
            <w:tcW w:type="dxa" w:w="2340"/>
          </w:tcPr>
          <w:p>
            <w:pPr>
              <w:spacing w:after="40"/>
            </w:pPr>
            <w:r>
              <w:rPr>
                <w:sz w:val="19"/>
              </w:rPr>
              <w:t>wellness</w:t>
            </w:r>
          </w:p>
        </w:tc>
        <w:tc>
          <w:tcPr>
            <w:tcW w:type="dxa" w:w="2340"/>
          </w:tcPr>
          <w:p>
            <w:pPr>
              <w:spacing w:after="40"/>
            </w:pPr>
            <w:r>
              <w:rPr>
                <w:sz w:val="19"/>
              </w:rPr>
              <w:t>JournalEntry</w:t>
            </w:r>
          </w:p>
        </w:tc>
        <w:tc>
          <w:tcPr>
            <w:tcW w:type="dxa" w:w="2340"/>
          </w:tcPr>
          <w:p>
            <w:pPr>
              <w:spacing w:after="40"/>
            </w:pPr>
            <w:r>
              <w:rPr>
                <w:sz w:val="19"/>
              </w:rPr>
              <w:t>date, content</w:t>
            </w:r>
          </w:p>
        </w:tc>
        <w:tc>
          <w:tcPr>
            <w:tcW w:type="dxa" w:w="2340"/>
          </w:tcPr>
          <w:p>
            <w:pPr>
              <w:spacing w:after="40"/>
            </w:pPr>
            <w:r>
              <w:rPr>
                <w:sz w:val="19"/>
              </w:rPr>
              <w:t>unique_together=("user","date")</w:t>
            </w:r>
          </w:p>
        </w:tc>
      </w:tr>
      <w:tr>
        <w:tc>
          <w:tcPr>
            <w:tcW w:type="dxa" w:w="2340"/>
          </w:tcPr>
          <w:p>
            <w:pPr>
              <w:spacing w:after="40"/>
            </w:pPr>
            <w:r>
              <w:rPr>
                <w:sz w:val="19"/>
              </w:rPr>
              <w:t>wellness</w:t>
            </w:r>
          </w:p>
        </w:tc>
        <w:tc>
          <w:tcPr>
            <w:tcW w:type="dxa" w:w="2340"/>
          </w:tcPr>
          <w:p>
            <w:pPr>
              <w:spacing w:after="40"/>
            </w:pPr>
            <w:r>
              <w:rPr>
                <w:sz w:val="19"/>
              </w:rPr>
              <w:t>Habit / HabitCompletion</w:t>
            </w:r>
          </w:p>
        </w:tc>
        <w:tc>
          <w:tcPr>
            <w:tcW w:type="dxa" w:w="2340"/>
          </w:tcPr>
          <w:p>
            <w:pPr>
              <w:spacing w:after="40"/>
            </w:pPr>
            <w:r>
              <w:rPr>
                <w:sz w:val="19"/>
              </w:rPr>
              <w:t>name, icon_key / date</w:t>
            </w:r>
          </w:p>
        </w:tc>
        <w:tc>
          <w:tcPr>
            <w:tcW w:type="dxa" w:w="2340"/>
          </w:tcPr>
          <w:p>
            <w:pPr>
              <w:spacing w:after="40"/>
            </w:pPr>
            <w:r>
              <w:rPr>
                <w:sz w:val="19"/>
              </w:rPr>
              <w:t>unique_together=("habit","date")</w:t>
            </w:r>
          </w:p>
        </w:tc>
      </w:tr>
      <w:tr>
        <w:tc>
          <w:tcPr>
            <w:tcW w:type="dxa" w:w="2340"/>
          </w:tcPr>
          <w:p>
            <w:pPr>
              <w:spacing w:after="40"/>
            </w:pPr>
            <w:r>
              <w:rPr>
                <w:sz w:val="19"/>
              </w:rPr>
              <w:t>community</w:t>
            </w:r>
          </w:p>
        </w:tc>
        <w:tc>
          <w:tcPr>
            <w:tcW w:type="dxa" w:w="2340"/>
          </w:tcPr>
          <w:p>
            <w:pPr>
              <w:spacing w:after="40"/>
            </w:pPr>
            <w:r>
              <w:rPr>
                <w:sz w:val="19"/>
              </w:rPr>
              <w:t>Post</w:t>
            </w:r>
          </w:p>
        </w:tc>
        <w:tc>
          <w:tcPr>
            <w:tcW w:type="dxa" w:w="2340"/>
          </w:tcPr>
          <w:p>
            <w:pPr>
              <w:spacing w:after="40"/>
            </w:pPr>
            <w:r>
              <w:rPr>
                <w:sz w:val="19"/>
              </w:rPr>
              <w:t>UUID PK, snapshotted display_name/avatar_url, content, image</w:t>
            </w:r>
          </w:p>
        </w:tc>
        <w:tc>
          <w:tcPr>
            <w:tcW w:type="dxa" w:w="2340"/>
          </w:tcPr>
          <w:p>
            <w:pPr>
              <w:spacing w:after="40"/>
            </w:pPr>
            <w:r>
              <w:rPr>
                <w:sz w:val="19"/>
              </w:rPr>
              <w:t>—</w:t>
            </w:r>
          </w:p>
        </w:tc>
      </w:tr>
      <w:tr>
        <w:tc>
          <w:tcPr>
            <w:tcW w:type="dxa" w:w="2340"/>
          </w:tcPr>
          <w:p>
            <w:pPr>
              <w:spacing w:after="40"/>
            </w:pPr>
            <w:r>
              <w:rPr>
                <w:sz w:val="19"/>
              </w:rPr>
              <w:t>community</w:t>
            </w:r>
          </w:p>
        </w:tc>
        <w:tc>
          <w:tcPr>
            <w:tcW w:type="dxa" w:w="2340"/>
          </w:tcPr>
          <w:p>
            <w:pPr>
              <w:spacing w:after="40"/>
            </w:pPr>
            <w:r>
              <w:rPr>
                <w:sz w:val="19"/>
              </w:rPr>
              <w:t>PostLike / PostSave</w:t>
            </w:r>
          </w:p>
        </w:tc>
        <w:tc>
          <w:tcPr>
            <w:tcW w:type="dxa" w:w="2340"/>
          </w:tcPr>
          <w:p>
            <w:pPr>
              <w:spacing w:after="40"/>
            </w:pPr>
            <w:r>
              <w:rPr>
                <w:sz w:val="19"/>
              </w:rPr>
              <w:t>FK -&gt; Post, FK -&gt; User</w:t>
            </w:r>
          </w:p>
        </w:tc>
        <w:tc>
          <w:tcPr>
            <w:tcW w:type="dxa" w:w="2340"/>
          </w:tcPr>
          <w:p>
            <w:pPr>
              <w:spacing w:after="40"/>
            </w:pPr>
            <w:r>
              <w:rPr>
                <w:sz w:val="19"/>
              </w:rPr>
              <w:t>unique_together=("post","user") (existence is the state)</w:t>
            </w:r>
          </w:p>
        </w:tc>
      </w:tr>
      <w:tr>
        <w:tc>
          <w:tcPr>
            <w:tcW w:type="dxa" w:w="2340"/>
          </w:tcPr>
          <w:p>
            <w:pPr>
              <w:spacing w:after="40"/>
            </w:pPr>
            <w:r>
              <w:rPr>
                <w:sz w:val="19"/>
              </w:rPr>
              <w:t>resources</w:t>
            </w:r>
          </w:p>
        </w:tc>
        <w:tc>
          <w:tcPr>
            <w:tcW w:type="dxa" w:w="2340"/>
          </w:tcPr>
          <w:p>
            <w:pPr>
              <w:spacing w:after="40"/>
            </w:pPr>
            <w:r>
              <w:rPr>
                <w:sz w:val="19"/>
              </w:rPr>
              <w:t>Category</w:t>
            </w:r>
          </w:p>
        </w:tc>
        <w:tc>
          <w:tcPr>
            <w:tcW w:type="dxa" w:w="2340"/>
          </w:tcPr>
          <w:p>
            <w:pPr>
              <w:spacing w:after="40"/>
            </w:pPr>
            <w:r>
              <w:rPr>
                <w:sz w:val="19"/>
              </w:rPr>
              <w:t>name, auto-slugify'd slug</w:t>
            </w:r>
          </w:p>
        </w:tc>
        <w:tc>
          <w:tcPr>
            <w:tcW w:type="dxa" w:w="2340"/>
          </w:tcPr>
          <w:p>
            <w:pPr>
              <w:spacing w:after="40"/>
            </w:pPr>
            <w:r>
              <w:rPr>
                <w:sz w:val="19"/>
              </w:rPr>
              <w:t>unique</w:t>
            </w:r>
          </w:p>
        </w:tc>
      </w:tr>
      <w:tr>
        <w:tc>
          <w:tcPr>
            <w:tcW w:type="dxa" w:w="2340"/>
          </w:tcPr>
          <w:p>
            <w:pPr>
              <w:spacing w:after="40"/>
            </w:pPr>
            <w:r>
              <w:rPr>
                <w:sz w:val="19"/>
              </w:rPr>
              <w:t>resources</w:t>
            </w:r>
          </w:p>
        </w:tc>
        <w:tc>
          <w:tcPr>
            <w:tcW w:type="dxa" w:w="2340"/>
          </w:tcPr>
          <w:p>
            <w:pPr>
              <w:spacing w:after="40"/>
            </w:pPr>
            <w:r>
              <w:rPr>
                <w:sz w:val="19"/>
              </w:rPr>
              <w:t>Article</w:t>
            </w:r>
          </w:p>
        </w:tc>
        <w:tc>
          <w:tcPr>
            <w:tcW w:type="dxa" w:w="2340"/>
          </w:tcPr>
          <w:p>
            <w:pPr>
              <w:spacing w:after="40"/>
            </w:pPr>
            <w:r>
              <w:rPr>
                <w:sz w:val="19"/>
              </w:rPr>
              <w:t>content_type, difficulty, tags (JSON), is_crisis_resource (composite-indexed with is_published)</w:t>
            </w:r>
          </w:p>
        </w:tc>
        <w:tc>
          <w:tcPr>
            <w:tcW w:type="dxa" w:w="2340"/>
          </w:tcPr>
          <w:p>
            <w:pPr>
              <w:spacing w:after="40"/>
            </w:pPr>
            <w:r>
              <w:rPr>
                <w:sz w:val="19"/>
              </w:rPr>
              <w:t>—</w:t>
            </w:r>
          </w:p>
        </w:tc>
      </w:tr>
      <w:tr>
        <w:tc>
          <w:tcPr>
            <w:tcW w:type="dxa" w:w="2340"/>
          </w:tcPr>
          <w:p>
            <w:pPr>
              <w:spacing w:after="40"/>
            </w:pPr>
            <w:r>
              <w:rPr>
                <w:sz w:val="19"/>
              </w:rPr>
              <w:t>resources</w:t>
            </w:r>
          </w:p>
        </w:tc>
        <w:tc>
          <w:tcPr>
            <w:tcW w:type="dxa" w:w="2340"/>
          </w:tcPr>
          <w:p>
            <w:pPr>
              <w:spacing w:after="40"/>
            </w:pPr>
            <w:r>
              <w:rPr>
                <w:sz w:val="19"/>
              </w:rPr>
              <w:t>SavedResource</w:t>
            </w:r>
          </w:p>
        </w:tc>
        <w:tc>
          <w:tcPr>
            <w:tcW w:type="dxa" w:w="2340"/>
          </w:tcPr>
          <w:p>
            <w:pPr>
              <w:spacing w:after="40"/>
            </w:pPr>
            <w:r>
              <w:rPr>
                <w:sz w:val="19"/>
              </w:rPr>
              <w:t>FK -&gt; User, FK -&gt; Article</w:t>
            </w:r>
          </w:p>
        </w:tc>
        <w:tc>
          <w:tcPr>
            <w:tcW w:type="dxa" w:w="2340"/>
          </w:tcPr>
          <w:p>
            <w:pPr>
              <w:spacing w:after="40"/>
            </w:pPr>
            <w:r>
              <w:rPr>
                <w:sz w:val="19"/>
              </w:rPr>
              <w:t>unique_together=("user","article")</w:t>
            </w:r>
          </w:p>
        </w:tc>
      </w:tr>
    </w:tbl>
    <w:p/>
    <w:p>
      <w:r>
        <w:br w:type="page"/>
      </w:r>
    </w:p>
    <w:p>
      <w:pPr>
        <w:pStyle w:val="Heading2"/>
      </w:pPr>
      <w:r>
        <w:t>Chapter 3 — Security, Authentication, and Token Lifecycle Management</w:t>
      </w:r>
    </w:p>
    <w:p>
      <w:pPr>
        <w:pStyle w:val="Heading3"/>
      </w:pPr>
      <w:r>
        <w:t>3.1 Authentication Architecture</w:t>
      </w:r>
    </w:p>
    <w:p>
      <w:pPr>
        <w:spacing w:after="160"/>
      </w:pPr>
      <w:r>
        <w:t xml:space="preserve">Mentallico's authentication layer is implemented entirely natively within the Django/DRF ecosystem: local email-and-password accounts issued through </w:t>
      </w:r>
      <w:r>
        <w:rPr>
          <w:rFonts w:ascii="Consolas" w:hAnsi="Consolas"/>
          <w:color w:val="C7254E"/>
          <w:sz w:val="20"/>
        </w:rPr>
        <w:t>djangorestframework-simplejwt</w:t>
      </w:r>
      <w:r>
        <w:t>, augmented by two server-side-verified social sign-in paths. There is no external Firebase Authentication SDK, no Firebase Admin token-verification step, and no dual-provider identity bridge anywhere in the request pipeline — the entirety of the authentication surface is native JWT issuance, gated by independent, first-party token verification against each provider's own servers.</w:t>
      </w:r>
    </w:p>
    <w:p>
      <w:pPr>
        <w:spacing w:after="160"/>
      </w:pPr>
      <w:r>
        <w:t>This is configured once, globally, and applied uniformly across every app in the project:</w:t>
      </w:r>
    </w:p>
    <w:p>
      <w:pPr>
        <w:spacing w:before="120" w:after="120"/>
        <w:ind w:left="432"/>
        <w:shd w:val="clear" w:color="auto" w:fill="F2F2F2"/>
      </w:pPr>
      <w:r>
        <w:rPr>
          <w:rFonts w:ascii="Consolas" w:hAnsi="Consolas"/>
          <w:color w:val="333333"/>
          <w:sz w:val="19"/>
        </w:rPr>
        <w:t>REST_FRAMEWORK = {</w:t>
        <w:br/>
        <w:t xml:space="preserve">    "DEFAULT_AUTHENTICATION_CLASSES": (</w:t>
        <w:br/>
        <w:t xml:space="preserve">        "rest_framework_simplejwt.authentication.JWTAuthentication",</w:t>
        <w:br/>
        <w:t xml:space="preserve">    ),</w:t>
        <w:br/>
        <w:t xml:space="preserve">    "DEFAULT_PERMISSION_CLASSES": (</w:t>
        <w:br/>
        <w:t xml:space="preserve">        "rest_framework.permissions.IsAuthenticated",</w:t>
        <w:br/>
        <w:t xml:space="preserve">    ),</w:t>
        <w:br/>
        <w:t>}</w:t>
      </w:r>
    </w:p>
    <w:p>
      <w:pPr>
        <w:spacing w:after="160"/>
      </w:pPr>
      <w:r>
        <w:t xml:space="preserve">Every endpoint in the system is closed by default. The small, explicit set of routes that must be reachable prior to authentication — </w:t>
      </w:r>
      <w:r>
        <w:rPr>
          <w:rFonts w:ascii="Consolas" w:hAnsi="Consolas"/>
          <w:color w:val="C7254E"/>
          <w:sz w:val="20"/>
        </w:rPr>
        <w:t>register/</w:t>
      </w:r>
      <w:r>
        <w:t xml:space="preserve">, </w:t>
      </w:r>
      <w:r>
        <w:rPr>
          <w:rFonts w:ascii="Consolas" w:hAnsi="Consolas"/>
          <w:color w:val="C7254E"/>
          <w:sz w:val="20"/>
        </w:rPr>
        <w:t>login/</w:t>
      </w:r>
      <w:r>
        <w:t xml:space="preserve">, </w:t>
      </w:r>
      <w:r>
        <w:rPr>
          <w:rFonts w:ascii="Consolas" w:hAnsi="Consolas"/>
          <w:color w:val="C7254E"/>
          <w:sz w:val="20"/>
        </w:rPr>
        <w:t>google/</w:t>
      </w:r>
      <w:r>
        <w:t xml:space="preserve">, </w:t>
      </w:r>
      <w:r>
        <w:rPr>
          <w:rFonts w:ascii="Consolas" w:hAnsi="Consolas"/>
          <w:color w:val="C7254E"/>
          <w:sz w:val="20"/>
        </w:rPr>
        <w:t>facebook/</w:t>
      </w:r>
      <w:r>
        <w:t xml:space="preserve">, and the public resource-library reads — override this default individually at the view level with </w:t>
      </w:r>
      <w:r>
        <w:rPr>
          <w:rFonts w:ascii="Consolas" w:hAnsi="Consolas"/>
          <w:color w:val="C7254E"/>
          <w:sz w:val="20"/>
        </w:rPr>
        <w:t>permission_classes = [permissions.AllowAny]</w:t>
      </w:r>
      <w:r>
        <w:t>. This is a deny-by-default security posture: an engineer adding a new view must consciously opt into public access rather than accidentally forget to lock one down.</w:t>
      </w:r>
    </w:p>
    <w:p>
      <w:pPr>
        <w:pStyle w:val="Heading3"/>
      </w:pPr>
      <w:r>
        <w:t>3.2 JWT Token Lifecycle Management</w:t>
      </w:r>
    </w:p>
    <w:p>
      <w:pPr>
        <w:spacing w:after="160"/>
      </w:pPr>
      <w:r>
        <w:t xml:space="preserve">Token issuance policy is centralized under </w:t>
      </w:r>
      <w:r>
        <w:rPr>
          <w:rFonts w:ascii="Consolas" w:hAnsi="Consolas"/>
          <w:color w:val="C7254E"/>
          <w:sz w:val="20"/>
        </w:rPr>
        <w:t>SIMPLE_JWT</w:t>
      </w:r>
      <w:r>
        <w:t>, with all lifetime values sourced from environment variables rather than hard-coded constants, permitting per-environment security tuning without a code deployment:</w:t>
      </w:r>
    </w:p>
    <w:p>
      <w:pPr>
        <w:spacing w:before="120" w:after="120"/>
        <w:ind w:left="432"/>
        <w:shd w:val="clear" w:color="auto" w:fill="F2F2F2"/>
      </w:pPr>
      <w:r>
        <w:rPr>
          <w:rFonts w:ascii="Consolas" w:hAnsi="Consolas"/>
          <w:color w:val="333333"/>
          <w:sz w:val="19"/>
        </w:rPr>
        <w:t>SIMPLE_JWT = {</w:t>
        <w:br/>
        <w:t xml:space="preserve">    "ACCESS_TOKEN_LIFETIME": timedelta(minutes=env.int("JWT_ACCESS_TOKEN_LIFETIME_MINUTES", default=60)),</w:t>
        <w:br/>
        <w:t xml:space="preserve">    "REFRESH_TOKEN_LIFETIME": timedelta(days=env.int("JWT_REFRESH_TOKEN_LIFETIME_DAYS", default=7)),</w:t>
        <w:br/>
        <w:t xml:space="preserve">    "ROTATE_REFRESH_TOKENS": True,</w:t>
        <w:br/>
        <w:t xml:space="preserve">    "BLACKLIST_AFTER_ROTATION": True,</w:t>
        <w:br/>
        <w:t xml:space="preserve">    "UPDATE_LAST_LOGIN": True,</w:t>
        <w:br/>
        <w:t xml:space="preserve">    "ALGORITHM": "HS256",</w:t>
        <w:br/>
        <w:t xml:space="preserve">    "AUTH_HEADER_TYPES": ("Bearer",),</w:t>
        <w:br/>
        <w: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CE6F1"/>
          </w:tcPr>
          <w:p>
            <w:pPr>
              <w:spacing w:after="40"/>
            </w:pPr>
            <w:r>
              <w:rPr>
                <w:b/>
                <w:sz w:val="19"/>
              </w:rPr>
              <w:t>Parameter</w:t>
            </w:r>
          </w:p>
        </w:tc>
        <w:tc>
          <w:tcPr>
            <w:tcW w:type="dxa" w:w="3120"/>
            <w:shd w:val="clear" w:color="auto" w:fill="DCE6F1"/>
          </w:tcPr>
          <w:p>
            <w:pPr>
              <w:spacing w:after="40"/>
            </w:pPr>
            <w:r>
              <w:rPr>
                <w:b/>
                <w:sz w:val="19"/>
              </w:rPr>
              <w:t>Value</w:t>
            </w:r>
          </w:p>
        </w:tc>
        <w:tc>
          <w:tcPr>
            <w:tcW w:type="dxa" w:w="3120"/>
            <w:shd w:val="clear" w:color="auto" w:fill="DCE6F1"/>
          </w:tcPr>
          <w:p>
            <w:pPr>
              <w:spacing w:after="40"/>
            </w:pPr>
            <w:r>
              <w:rPr>
                <w:b/>
                <w:sz w:val="19"/>
              </w:rPr>
              <w:t>Security Rationale</w:t>
            </w:r>
          </w:p>
        </w:tc>
      </w:tr>
      <w:tr>
        <w:tc>
          <w:tcPr>
            <w:tcW w:type="dxa" w:w="3120"/>
          </w:tcPr>
          <w:p>
            <w:pPr>
              <w:spacing w:after="40"/>
            </w:pPr>
            <w:r>
              <w:rPr>
                <w:sz w:val="19"/>
              </w:rPr>
              <w:t>Access token lifetime</w:t>
            </w:r>
          </w:p>
        </w:tc>
        <w:tc>
          <w:tcPr>
            <w:tcW w:type="dxa" w:w="3120"/>
          </w:tcPr>
          <w:p>
            <w:pPr>
              <w:spacing w:after="40"/>
            </w:pPr>
            <w:r>
              <w:rPr>
                <w:sz w:val="19"/>
              </w:rPr>
              <w:t>60 minutes</w:t>
            </w:r>
          </w:p>
        </w:tc>
        <w:tc>
          <w:tcPr>
            <w:tcW w:type="dxa" w:w="3120"/>
          </w:tcPr>
          <w:p>
            <w:pPr>
              <w:spacing w:after="40"/>
            </w:pPr>
            <w:r>
              <w:rPr>
                <w:sz w:val="19"/>
              </w:rPr>
              <w:t>Bounds the exposure window of a compromised bearer token to a single hour</w:t>
            </w:r>
          </w:p>
        </w:tc>
      </w:tr>
      <w:tr>
        <w:tc>
          <w:tcPr>
            <w:tcW w:type="dxa" w:w="3120"/>
          </w:tcPr>
          <w:p>
            <w:pPr>
              <w:spacing w:after="40"/>
            </w:pPr>
            <w:r>
              <w:rPr>
                <w:sz w:val="19"/>
              </w:rPr>
              <w:t>Refresh token lifetime</w:t>
            </w:r>
          </w:p>
        </w:tc>
        <w:tc>
          <w:tcPr>
            <w:tcW w:type="dxa" w:w="3120"/>
          </w:tcPr>
          <w:p>
            <w:pPr>
              <w:spacing w:after="40"/>
            </w:pPr>
            <w:r>
              <w:rPr>
                <w:sz w:val="19"/>
              </w:rPr>
              <w:t>7 days</w:t>
            </w:r>
          </w:p>
        </w:tc>
        <w:tc>
          <w:tcPr>
            <w:tcW w:type="dxa" w:w="3120"/>
          </w:tcPr>
          <w:p>
            <w:pPr>
              <w:spacing w:after="40"/>
            </w:pPr>
            <w:r>
              <w:rPr>
                <w:sz w:val="19"/>
              </w:rPr>
              <w:t>Bounds total session duration without demanding daily re-authentication</w:t>
            </w:r>
          </w:p>
        </w:tc>
      </w:tr>
      <w:tr>
        <w:tc>
          <w:tcPr>
            <w:tcW w:type="dxa" w:w="3120"/>
          </w:tcPr>
          <w:p>
            <w:pPr>
              <w:spacing w:after="40"/>
            </w:pPr>
            <w:r>
              <w:rPr>
                <w:sz w:val="19"/>
              </w:rPr>
              <w:t>ROTATE_REFRESH_TOKENS</w:t>
            </w:r>
          </w:p>
        </w:tc>
        <w:tc>
          <w:tcPr>
            <w:tcW w:type="dxa" w:w="3120"/>
          </w:tcPr>
          <w:p>
            <w:pPr>
              <w:spacing w:after="40"/>
            </w:pPr>
            <w:r>
              <w:rPr>
                <w:sz w:val="19"/>
              </w:rPr>
              <w:t>True</w:t>
            </w:r>
          </w:p>
        </w:tc>
        <w:tc>
          <w:tcPr>
            <w:tcW w:type="dxa" w:w="3120"/>
          </w:tcPr>
          <w:p>
            <w:pPr>
              <w:spacing w:after="40"/>
            </w:pPr>
            <w:r>
              <w:rPr>
                <w:sz w:val="19"/>
              </w:rPr>
              <w:t>Each refresh call issues a brand-new refresh token, immediately superseding the one just used</w:t>
            </w:r>
          </w:p>
        </w:tc>
      </w:tr>
      <w:tr>
        <w:tc>
          <w:tcPr>
            <w:tcW w:type="dxa" w:w="3120"/>
          </w:tcPr>
          <w:p>
            <w:pPr>
              <w:spacing w:after="40"/>
            </w:pPr>
            <w:r>
              <w:rPr>
                <w:sz w:val="19"/>
              </w:rPr>
              <w:t>BLACKLIST_AFTER_ROTATION</w:t>
            </w:r>
          </w:p>
        </w:tc>
        <w:tc>
          <w:tcPr>
            <w:tcW w:type="dxa" w:w="3120"/>
          </w:tcPr>
          <w:p>
            <w:pPr>
              <w:spacing w:after="40"/>
            </w:pPr>
            <w:r>
              <w:rPr>
                <w:sz w:val="19"/>
              </w:rPr>
              <w:t>True</w:t>
            </w:r>
          </w:p>
        </w:tc>
        <w:tc>
          <w:tcPr>
            <w:tcW w:type="dxa" w:w="3120"/>
          </w:tcPr>
          <w:p>
            <w:pPr>
              <w:spacing w:after="40"/>
            </w:pPr>
            <w:r>
              <w:rPr>
                <w:sz w:val="19"/>
              </w:rPr>
              <w:t>The superseded refresh token is persisted into the token_blacklist app's denylist table, so a captured-but-stale refresh token cannot be replayed after rotation</w:t>
            </w:r>
          </w:p>
        </w:tc>
      </w:tr>
      <w:tr>
        <w:tc>
          <w:tcPr>
            <w:tcW w:type="dxa" w:w="3120"/>
          </w:tcPr>
          <w:p>
            <w:pPr>
              <w:spacing w:after="40"/>
            </w:pPr>
            <w:r>
              <w:rPr>
                <w:sz w:val="19"/>
              </w:rPr>
              <w:t>logout/ route</w:t>
            </w:r>
          </w:p>
        </w:tc>
        <w:tc>
          <w:tcPr>
            <w:tcW w:type="dxa" w:w="3120"/>
          </w:tcPr>
          <w:p>
            <w:pPr>
              <w:spacing w:after="40"/>
            </w:pPr>
            <w:r>
              <w:rPr>
                <w:sz w:val="19"/>
              </w:rPr>
              <w:t>TokenBlacklistView</w:t>
            </w:r>
          </w:p>
        </w:tc>
        <w:tc>
          <w:tcPr>
            <w:tcW w:type="dxa" w:w="3120"/>
          </w:tcPr>
          <w:p>
            <w:pPr>
              <w:spacing w:after="40"/>
            </w:pPr>
            <w:r>
              <w:rPr>
                <w:sz w:val="19"/>
              </w:rPr>
              <w:t>Explicit client-initiated logout blacklists the current refresh token immediately, rather than relying on passive time-based expiry alone</w:t>
            </w:r>
          </w:p>
        </w:tc>
      </w:tr>
    </w:tbl>
    <w:p/>
    <w:p>
      <w:pPr>
        <w:pStyle w:val="Heading3"/>
      </w:pPr>
      <w:r>
        <w:t>3.3 Server-Side Verification of Social Sign-In (No Firebase SDK)</w:t>
      </w:r>
    </w:p>
    <w:p>
      <w:pPr>
        <w:spacing w:after="160"/>
      </w:pPr>
      <w:r>
        <w:rPr>
          <w:rFonts w:ascii="Consolas" w:hAnsi="Consolas"/>
          <w:color w:val="C7254E"/>
          <w:sz w:val="20"/>
        </w:rPr>
        <w:t>GoogleAuthView</w:t>
      </w:r>
      <w:r>
        <w:t xml:space="preserve"> and </w:t>
      </w:r>
      <w:r>
        <w:rPr>
          <w:rFonts w:ascii="Consolas" w:hAnsi="Consolas"/>
          <w:color w:val="C7254E"/>
          <w:sz w:val="20"/>
        </w:rPr>
        <w:t>FacebookAuthView</w:t>
      </w:r>
      <w:r>
        <w:t xml:space="preserve"> (</w:t>
      </w:r>
      <w:r>
        <w:rPr>
          <w:rFonts w:ascii="Consolas" w:hAnsi="Consolas"/>
          <w:color w:val="C7254E"/>
          <w:sz w:val="20"/>
        </w:rPr>
        <w:t>apps/users/views.py</w:t>
      </w:r>
      <w:r>
        <w:t>) both implement the same trust model: the client transmits a provider-issued access token, never a bare identity assertion, and this backend independently re-verifies that token directly against the provider's own infrastructure — via plain REST calls, with no client SDK acting as a trust intermediary — before any identity claim is accepted.</w:t>
      </w:r>
    </w:p>
    <w:p>
      <w:pPr>
        <w:spacing w:after="160"/>
      </w:pPr>
      <w:r>
        <w:rPr>
          <w:b/>
        </w:rPr>
        <w:t>Google verification sequence</w:t>
      </w:r>
      <w:r>
        <w:t xml:space="preserve"> (</w:t>
      </w:r>
      <w:r>
        <w:rPr>
          <w:rFonts w:ascii="Consolas" w:hAnsi="Consolas"/>
          <w:color w:val="C7254E"/>
          <w:sz w:val="20"/>
        </w:rPr>
        <w:t>POST /api/v1/auth/google/</w:t>
      </w:r>
      <w:r>
        <w:t>):</w:t>
      </w:r>
    </w:p>
    <w:p>
      <w:pPr>
        <w:pStyle w:val="ListNumber"/>
      </w:pPr>
      <w:r>
        <w:t xml:space="preserve">If </w:t>
      </w:r>
      <w:r>
        <w:rPr>
          <w:rFonts w:ascii="Consolas" w:hAnsi="Consolas"/>
          <w:color w:val="C7254E"/>
          <w:sz w:val="20"/>
        </w:rPr>
        <w:t>GOOGLE_OAUTH_CLIENT_ID</w:t>
      </w:r>
      <w:r>
        <w:t xml:space="preserve"> is unset, the endpoint returns 503 Service Unavailable immediately — the system fails safe rather than exposing a partially-configured authentication path.</w:t>
      </w:r>
    </w:p>
    <w:p>
      <w:pPr>
        <w:pStyle w:val="ListNumber"/>
      </w:pPr>
      <w:r>
        <w:t xml:space="preserve">The submitted access token is verified against Google's </w:t>
      </w:r>
      <w:r>
        <w:rPr>
          <w:rFonts w:ascii="Consolas" w:hAnsi="Consolas"/>
          <w:color w:val="C7254E"/>
          <w:sz w:val="20"/>
        </w:rPr>
        <w:t>tokeninfo</w:t>
      </w:r>
      <w:r>
        <w:t xml:space="preserve"> endpoint.</w:t>
      </w:r>
    </w:p>
    <w:p>
      <w:pPr>
        <w:pStyle w:val="ListNumber"/>
      </w:pPr>
      <w:r>
        <w:t xml:space="preserve">Audience pinning: the response's </w:t>
      </w:r>
      <w:r>
        <w:rPr>
          <w:rFonts w:ascii="Consolas" w:hAnsi="Consolas"/>
          <w:color w:val="C7254E"/>
          <w:sz w:val="20"/>
        </w:rPr>
        <w:t>aud</w:t>
      </w:r>
      <w:r>
        <w:t xml:space="preserve"> claim must equal </w:t>
      </w:r>
      <w:r>
        <w:rPr>
          <w:rFonts w:ascii="Consolas" w:hAnsi="Consolas"/>
          <w:color w:val="C7254E"/>
          <w:sz w:val="20"/>
        </w:rPr>
        <w:t>settings.GOOGLE_OAUTH_CLIENT_ID</w:t>
      </w:r>
      <w:r>
        <w:t>, rejecting any token that is valid but was issued for a different application entirely.</w:t>
      </w:r>
    </w:p>
    <w:p>
      <w:pPr>
        <w:pStyle w:val="ListNumber"/>
      </w:pPr>
      <w:r>
        <w:t xml:space="preserve">The token is used to fetch </w:t>
      </w:r>
      <w:r>
        <w:rPr>
          <w:rFonts w:ascii="Consolas" w:hAnsi="Consolas"/>
          <w:color w:val="C7254E"/>
          <w:sz w:val="20"/>
        </w:rPr>
        <w:t>userinfo</w:t>
      </w:r>
      <w:r>
        <w:t xml:space="preserve">; the request is rejected unless </w:t>
      </w:r>
      <w:r>
        <w:rPr>
          <w:rFonts w:ascii="Consolas" w:hAnsi="Consolas"/>
          <w:color w:val="C7254E"/>
          <w:sz w:val="20"/>
        </w:rPr>
        <w:t>email_verified</w:t>
      </w:r>
      <w:r>
        <w:t xml:space="preserve"> is true.</w:t>
      </w:r>
    </w:p>
    <w:p>
      <w:pPr>
        <w:pStyle w:val="ListNumber"/>
      </w:pPr>
      <w:r>
        <w:t xml:space="preserve">Control passes to a shared helper, </w:t>
      </w:r>
      <w:r>
        <w:rPr>
          <w:rFonts w:ascii="Consolas" w:hAnsi="Consolas"/>
          <w:color w:val="C7254E"/>
          <w:sz w:val="20"/>
        </w:rPr>
        <w:t>_get_or_create_social_user()</w:t>
      </w:r>
      <w:r>
        <w:t xml:space="preserve">, which performs a get_or_create by email, calls </w:t>
      </w:r>
      <w:r>
        <w:rPr>
          <w:rFonts w:ascii="Consolas" w:hAnsi="Consolas"/>
          <w:color w:val="C7254E"/>
          <w:sz w:val="20"/>
        </w:rPr>
        <w:t>set_unusable_password()</w:t>
      </w:r>
      <w:r>
        <w:t xml:space="preserve"> on first creation (that account can only ever authenticate through the originating provider), and returns the identical </w:t>
      </w:r>
      <w:r>
        <w:rPr>
          <w:rFonts w:ascii="Consolas" w:hAnsi="Consolas"/>
          <w:color w:val="C7254E"/>
          <w:sz w:val="20"/>
        </w:rPr>
        <w:t>{access, refresh, created}</w:t>
      </w:r>
      <w:r>
        <w:t xml:space="preserve"> JSON envelope used by every other authentication route in the system.</w:t>
      </w:r>
    </w:p>
    <w:p>
      <w:pPr>
        <w:spacing w:after="160"/>
      </w:pPr>
      <w:r>
        <w:rPr>
          <w:b/>
        </w:rPr>
        <w:t>Facebook verification sequence</w:t>
      </w:r>
      <w:r>
        <w:t xml:space="preserve"> (</w:t>
      </w:r>
      <w:r>
        <w:rPr>
          <w:rFonts w:ascii="Consolas" w:hAnsi="Consolas"/>
          <w:color w:val="C7254E"/>
          <w:sz w:val="20"/>
        </w:rPr>
        <w:t>POST /api/v1/auth/facebook/</w:t>
      </w:r>
      <w:r>
        <w:t xml:space="preserve">) mirrors this exactly, substituting Facebook Graph API's </w:t>
      </w:r>
      <w:r>
        <w:rPr>
          <w:rFonts w:ascii="Consolas" w:hAnsi="Consolas"/>
          <w:color w:val="C7254E"/>
          <w:sz w:val="20"/>
        </w:rPr>
        <w:t>debug_token</w:t>
      </w:r>
      <w:r>
        <w:t xml:space="preserve"> endpoint (queried using an app-access-token of the form </w:t>
      </w:r>
      <w:r>
        <w:rPr>
          <w:rFonts w:ascii="Consolas" w:hAnsi="Consolas"/>
          <w:color w:val="C7254E"/>
          <w:sz w:val="20"/>
        </w:rPr>
        <w:t>{FACEBOOK_APP_ID}|{FACEBOOK_APP_SECRET}</w:t>
      </w:r>
      <w:r>
        <w:t xml:space="preserve">) for audience pinning, followed by </w:t>
      </w:r>
      <w:r>
        <w:rPr>
          <w:rFonts w:ascii="Consolas" w:hAnsi="Consolas"/>
          <w:color w:val="C7254E"/>
          <w:sz w:val="20"/>
        </w:rPr>
        <w:t>/me</w:t>
      </w:r>
      <w:r>
        <w:t xml:space="preserve"> for profile retrieval, before converging on the same shared user-provisioning helper.</w:t>
      </w:r>
    </w:p>
    <w:p>
      <w:pPr>
        <w:spacing w:after="160"/>
      </w:pPr>
      <w:r>
        <w:t>Because both flows terminate in the same helper function, the frontend's stored-token contract is entirely provider-agnostic: email/password, Google, and Facebook sign-in are indistinguishable to every other subsystem once a JWT pair has been issued.</w:t>
      </w:r>
    </w:p>
    <w:p>
      <w:pPr>
        <w:pStyle w:val="Heading3"/>
      </w:pPr>
      <w:r>
        <w:t>3.4 Network-Layer Security: CORS and LAN/Mobile Testing Configuration</w:t>
      </w:r>
    </w:p>
    <w:p>
      <w:pPr>
        <w:spacing w:after="160"/>
      </w:pPr>
      <w:r>
        <w:t>Two independent allow-lists gate all network access to the API, both fully environment-driven so that cross-device testing never requires a source-code change:</w:t>
      </w:r>
    </w:p>
    <w:p>
      <w:pPr>
        <w:spacing w:before="120" w:after="120"/>
        <w:ind w:left="432"/>
        <w:shd w:val="clear" w:color="auto" w:fill="F2F2F2"/>
      </w:pPr>
      <w:r>
        <w:rPr>
          <w:rFonts w:ascii="Consolas" w:hAnsi="Consolas"/>
          <w:color w:val="333333"/>
          <w:sz w:val="19"/>
        </w:rPr>
        <w:t>ALLOWED_HOSTS = env.list("ALLOWED_HOSTS", default=["localhost", "127.0.0.1"])</w:t>
        <w:br/>
        <w:br/>
        <w:t>CORS_ALLOWED_ORIGINS = env.list(</w:t>
        <w:br/>
        <w:t xml:space="preserve">    "CORS_ALLOWED_ORIGINS",</w:t>
        <w:br/>
        <w:t xml:space="preserve">    default=["http://localhost:5173", "http://127.0.0.1:5173",</w:t>
        <w:br/>
        <w:t xml:space="preserve">             "http://localhost:3000", "http://127.0.0.1:3000"],</w:t>
        <w:br/>
        <w:t>)</w:t>
        <w:br/>
        <w:t>CORS_ALLOW_CREDENTIALS = True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CE6F1"/>
          </w:tcPr>
          <w:p>
            <w:pPr>
              <w:spacing w:after="40"/>
            </w:pPr>
            <w:r>
              <w:rPr>
                <w:b/>
                <w:sz w:val="19"/>
              </w:rPr>
              <w:t>Configured Value</w:t>
            </w:r>
          </w:p>
        </w:tc>
        <w:tc>
          <w:tcPr>
            <w:tcW w:type="dxa" w:w="3120"/>
            <w:shd w:val="clear" w:color="auto" w:fill="DCE6F1"/>
          </w:tcPr>
          <w:p>
            <w:pPr>
              <w:spacing w:after="40"/>
            </w:pPr>
            <w:r>
              <w:rPr>
                <w:b/>
                <w:sz w:val="19"/>
              </w:rPr>
              <w:t>Layer</w:t>
            </w:r>
          </w:p>
        </w:tc>
        <w:tc>
          <w:tcPr>
            <w:tcW w:type="dxa" w:w="3120"/>
            <w:shd w:val="clear" w:color="auto" w:fill="DCE6F1"/>
          </w:tcPr>
          <w:p>
            <w:pPr>
              <w:spacing w:after="40"/>
            </w:pPr>
            <w:r>
              <w:rPr>
                <w:b/>
                <w:sz w:val="19"/>
              </w:rPr>
              <w:t>Purpose</w:t>
            </w:r>
          </w:p>
        </w:tc>
      </w:tr>
      <w:tr>
        <w:tc>
          <w:tcPr>
            <w:tcW w:type="dxa" w:w="3120"/>
          </w:tcPr>
          <w:p>
            <w:pPr>
              <w:spacing w:after="40"/>
            </w:pPr>
            <w:r>
              <w:rPr>
                <w:sz w:val="19"/>
              </w:rPr>
              <w:t>ALLOWED_HOSTS=localhost,127.0.0.1,192.168.1.5,192.168.1.5.nip.io</w:t>
            </w:r>
          </w:p>
        </w:tc>
        <w:tc>
          <w:tcPr>
            <w:tcW w:type="dxa" w:w="3120"/>
          </w:tcPr>
          <w:p>
            <w:pPr>
              <w:spacing w:after="40"/>
            </w:pPr>
            <w:r>
              <w:rPr>
                <w:sz w:val="19"/>
              </w:rPr>
              <w:t>Server-side (Host header validation)</w:t>
            </w:r>
          </w:p>
        </w:tc>
        <w:tc>
          <w:tcPr>
            <w:tcW w:type="dxa" w:w="3120"/>
          </w:tcPr>
          <w:p>
            <w:pPr>
              <w:spacing w:after="40"/>
            </w:pPr>
            <w:r>
              <w:rPr>
                <w:sz w:val="19"/>
              </w:rPr>
              <w:t>The LAN IP 192.168.1.5 permits a physical mobile device on the same local network to reach the Django dev server directly by IP address; 192.168.1.5.nip.io is a wildcard-DNS resolver (any hostname of the form &lt;ip&gt;.nip.io resolves publicly to &lt;ip&gt;), used here to obtain a stable, resolvable hostname for that same development machine without any local /etc/hosts or router DNS configuration — a standard technique for cross-device mobile hardware testing against a local backend.</w:t>
            </w:r>
          </w:p>
        </w:tc>
      </w:tr>
      <w:tr>
        <w:tc>
          <w:tcPr>
            <w:tcW w:type="dxa" w:w="3120"/>
          </w:tcPr>
          <w:p>
            <w:pPr>
              <w:spacing w:after="40"/>
            </w:pPr>
            <w:r>
              <w:rPr>
                <w:sz w:val="19"/>
              </w:rPr>
              <w:t>CORS_ALLOWED_ORIGINS includes http://192.168.1.5:5173, http://192.168.1.5.nip.io:5173</w:t>
            </w:r>
          </w:p>
        </w:tc>
        <w:tc>
          <w:tcPr>
            <w:tcW w:type="dxa" w:w="3120"/>
          </w:tcPr>
          <w:p>
            <w:pPr>
              <w:spacing w:after="40"/>
            </w:pPr>
            <w:r>
              <w:rPr>
                <w:sz w:val="19"/>
              </w:rPr>
              <w:t>Browser-side (CORS preflight/response headers)</w:t>
            </w:r>
          </w:p>
        </w:tc>
        <w:tc>
          <w:tcPr>
            <w:tcW w:type="dxa" w:w="3120"/>
          </w:tcPr>
          <w:p>
            <w:pPr>
              <w:spacing w:after="40"/>
            </w:pPr>
            <w:r>
              <w:rPr>
                <w:sz w:val="19"/>
              </w:rPr>
              <w:t>Permits the Vite dev server, when loaded on a phone browser via that LAN address, to issue credentialed cross-origin requests back to the Django API and successfully read the response.</w:t>
            </w:r>
          </w:p>
        </w:tc>
      </w:tr>
    </w:tbl>
    <w:p/>
    <w:p>
      <w:pPr>
        <w:spacing w:after="160"/>
      </w:pPr>
      <w:r>
        <w:rPr>
          <w:rFonts w:ascii="Consolas" w:hAnsi="Consolas"/>
          <w:color w:val="C7254E"/>
          <w:sz w:val="20"/>
        </w:rPr>
        <w:t>ALLOWED_HOSTS</w:t>
      </w:r>
      <w:r>
        <w:t xml:space="preserve"> and </w:t>
      </w:r>
      <w:r>
        <w:rPr>
          <w:rFonts w:ascii="Consolas" w:hAnsi="Consolas"/>
          <w:color w:val="C7254E"/>
          <w:sz w:val="20"/>
        </w:rPr>
        <w:t>CORS_ALLOWED_ORIGINS</w:t>
      </w:r>
      <w:r>
        <w:t xml:space="preserve"> guard two genuinely separate layers of the stack — the former is enforced server-side by Django's own request-dispatch machinery regardless of what issued the request; the latter is enforced by the requesting browser based on response headers the server returns. A request must clear both independently before it can reach an authenticated view, which is why both lists had to be extended in tandem to support the LAN mobile-testing scenario.</w:t>
      </w:r>
    </w:p>
    <w:p>
      <w:r>
        <w:br w:type="page"/>
      </w:r>
    </w:p>
    <w:p>
      <w:pPr>
        <w:pStyle w:val="Heading2"/>
      </w:pPr>
      <w:r>
        <w:t>Chapter 4 — AI Engine Orchestration &amp; Clinical Data Extraction Pipeline</w:t>
      </w:r>
    </w:p>
    <w:p>
      <w:pPr>
        <w:pStyle w:val="Heading3"/>
      </w:pPr>
      <w:r>
        <w:t>4.1 Conversational Reply Generation (Context, Not Analysis)</w:t>
      </w:r>
    </w:p>
    <w:p>
      <w:pPr>
        <w:spacing w:after="160"/>
      </w:pPr>
      <w:r>
        <w:t xml:space="preserve">Before detailing the clinical extraction pipeline, it is architecturally important to distinguish it from the system's separate conversational-reply mechanism: AI chat replies are generated by a remote, stateful Hugging Face Space, reached via plain synchronous HTTP calls from </w:t>
      </w:r>
      <w:r>
        <w:rPr>
          <w:rFonts w:ascii="Consolas" w:hAnsi="Consolas"/>
          <w:color w:val="C7254E"/>
          <w:sz w:val="20"/>
        </w:rPr>
        <w:t>apps/chat/ai_client.py</w:t>
      </w:r>
      <w:r>
        <w:t xml:space="preserve">, with no Gemini or other generative-LLM API integrated into this Django backend directly. Each </w:t>
      </w:r>
      <w:r>
        <w:rPr>
          <w:rFonts w:ascii="Consolas" w:hAnsi="Consolas"/>
          <w:color w:val="C7254E"/>
          <w:sz w:val="20"/>
        </w:rPr>
        <w:t>ChatSession</w:t>
      </w:r>
      <w:r>
        <w:t xml:space="preserve"> lazily provisions and persists a corresponding remote session id (</w:t>
      </w:r>
      <w:r>
        <w:rPr>
          <w:rFonts w:ascii="Consolas" w:hAnsi="Consolas"/>
          <w:color w:val="C7254E"/>
          <w:sz w:val="20"/>
        </w:rPr>
        <w:t>hf_session_id</w:t>
      </w:r>
      <w:r>
        <w:t>), allowing the remote model to maintain multi-turn context without this backend re-transmitting prior turns on every call.</w:t>
      </w:r>
    </w:p>
    <w:p>
      <w:pPr>
        <w:pStyle w:val="Heading3"/>
      </w:pPr>
      <w:r>
        <w:t>4.2 The Localized, Deterministic Pattern-Matching Analysis Engine</w:t>
      </w:r>
    </w:p>
    <w:p>
      <w:pPr>
        <w:spacing w:after="160"/>
      </w:pPr>
      <w:r>
        <w:t xml:space="preserve">The clinical sentiment/pattern extraction pipeline that actually runs today is implemented entirely in-process, with zero external network calls, inside </w:t>
      </w:r>
      <w:r>
        <w:rPr>
          <w:rFonts w:ascii="Consolas" w:hAnsi="Consolas"/>
          <w:color w:val="C7254E"/>
          <w:sz w:val="20"/>
        </w:rPr>
        <w:t>apps.chat.services.run_analysis()</w:t>
      </w:r>
      <w:r>
        <w:t>. It is explicitly and deliberately a mock implementation — its own module docstring states this directly — but it is not a stub: it is a fully deterministic, keyword-driven heuristic engine whose output contract is byte-for-byte identical to what a future production model must return, meaning no calling code will require modification when the underlying engine is later replaced.</w:t>
      </w:r>
    </w:p>
    <w:p>
      <w:pPr>
        <w:spacing w:after="160"/>
      </w:pPr>
      <w:r>
        <w:rPr>
          <w:b/>
        </w:rPr>
        <w:t>Pipeline stages: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CE6F1"/>
          </w:tcPr>
          <w:p>
            <w:pPr>
              <w:spacing w:after="40"/>
            </w:pPr>
            <w:r>
              <w:rPr>
                <w:b/>
                <w:sz w:val="19"/>
              </w:rPr>
              <w:t>Stage</w:t>
            </w:r>
          </w:p>
        </w:tc>
        <w:tc>
          <w:tcPr>
            <w:tcW w:type="dxa" w:w="4680"/>
            <w:shd w:val="clear" w:color="auto" w:fill="DCE6F1"/>
          </w:tcPr>
          <w:p>
            <w:pPr>
              <w:spacing w:after="40"/>
            </w:pPr>
            <w:r>
              <w:rPr>
                <w:b/>
                <w:sz w:val="19"/>
              </w:rPr>
              <w:t>Mechanism</w:t>
            </w:r>
          </w:p>
        </w:tc>
      </w:tr>
      <w:tr>
        <w:tc>
          <w:tcPr>
            <w:tcW w:type="dxa" w:w="4680"/>
          </w:tcPr>
          <w:p>
            <w:pPr>
              <w:spacing w:after="40"/>
            </w:pPr>
            <w:r>
              <w:rPr>
                <w:sz w:val="19"/>
              </w:rPr>
              <w:t>Input isolation</w:t>
            </w:r>
          </w:p>
        </w:tc>
        <w:tc>
          <w:tcPr>
            <w:tcW w:type="dxa" w:w="4680"/>
          </w:tcPr>
          <w:p>
            <w:pPr>
              <w:spacing w:after="40"/>
            </w:pPr>
            <w:r>
              <w:rPr>
                <w:sz w:val="19"/>
              </w:rPr>
              <w:t>Only role == "user" turns from ChatSession.full_transcript are analysed; assistant-authored text is deliberately excluded so the bot's own phrasing cannot pollute the patient's sentiment signal</w:t>
            </w:r>
          </w:p>
        </w:tc>
      </w:tr>
      <w:tr>
        <w:tc>
          <w:tcPr>
            <w:tcW w:type="dxa" w:w="4680"/>
          </w:tcPr>
          <w:p>
            <w:pPr>
              <w:spacing w:after="40"/>
            </w:pPr>
            <w:r>
              <w:rPr>
                <w:sz w:val="19"/>
              </w:rPr>
              <w:t>Sentiment scoring</w:t>
            </w:r>
          </w:p>
        </w:tc>
        <w:tc>
          <w:tcPr>
            <w:tcW w:type="dxa" w:w="4680"/>
          </w:tcPr>
          <w:p>
            <w:pPr>
              <w:spacing w:after="40"/>
            </w:pPr>
            <w:r>
              <w:rPr>
                <w:sz w:val="19"/>
              </w:rPr>
              <w:t>A bag-of-words polarity count against two hand-curated lexicons (positive_words, negative_words); score = (pos - neg) / (pos + neg), bounded to [-1.0, +1.0], with the label thresholded at ±0.1 into positive/neutral/negative</w:t>
            </w:r>
          </w:p>
        </w:tc>
      </w:tr>
      <w:tr>
        <w:tc>
          <w:tcPr>
            <w:tcW w:type="dxa" w:w="4680"/>
          </w:tcPr>
          <w:p>
            <w:pPr>
              <w:spacing w:after="40"/>
            </w:pPr>
            <w:r>
              <w:rPr>
                <w:sz w:val="19"/>
              </w:rPr>
              <w:t>Pattern detection</w:t>
            </w:r>
          </w:p>
        </w:tc>
        <w:tc>
          <w:tcPr>
            <w:tcW w:type="dxa" w:w="4680"/>
          </w:tcPr>
          <w:p>
            <w:pPr>
              <w:spacing w:after="40"/>
            </w:pPr>
            <w:r>
              <w:rPr>
                <w:sz w:val="19"/>
              </w:rPr>
              <w:t>Case-insensitive substring matching against six clinically-informed keyword categories: anxiety_indicators, depressive_indicators, sleep_issues, social_withdrawal, crisis_indicators, positive_coping</w:t>
            </w:r>
          </w:p>
        </w:tc>
      </w:tr>
      <w:tr>
        <w:tc>
          <w:tcPr>
            <w:tcW w:type="dxa" w:w="4680"/>
          </w:tcPr>
          <w:p>
            <w:pPr>
              <w:spacing w:after="40"/>
            </w:pPr>
            <w:r>
              <w:rPr>
                <w:sz w:val="19"/>
              </w:rPr>
              <w:t>Severity inference</w:t>
            </w:r>
          </w:p>
        </w:tc>
        <w:tc>
          <w:tcPr>
            <w:tcW w:type="dxa" w:w="4680"/>
          </w:tcPr>
          <w:p>
            <w:pPr>
              <w:spacing w:after="40"/>
            </w:pPr>
            <w:r>
              <w:rPr>
                <w:sz w:val="19"/>
              </w:rPr>
              <w:t>Each matched category maps to one of four severity tiers (crisis_indicators -&gt; severe; depressive_indicators/anxiety_indicators -&gt; moderate; sleep_issues/social_withdrawal -&gt; mild; positive_coping -&gt; none); the highest tier reached across all matched categories is the session's final severity</w:t>
            </w:r>
          </w:p>
        </w:tc>
      </w:tr>
      <w:tr>
        <w:tc>
          <w:tcPr>
            <w:tcW w:type="dxa" w:w="4680"/>
          </w:tcPr>
          <w:p>
            <w:pPr>
              <w:spacing w:after="40"/>
            </w:pPr>
            <w:r>
              <w:rPr>
                <w:sz w:val="19"/>
              </w:rPr>
              <w:t>Recommendation mapping</w:t>
            </w:r>
          </w:p>
        </w:tc>
        <w:tc>
          <w:tcPr>
            <w:tcW w:type="dxa" w:w="4680"/>
          </w:tcPr>
          <w:p>
            <w:pPr>
              <w:spacing w:after="40"/>
            </w:pPr>
            <w:r>
              <w:rPr>
                <w:sz w:val="19"/>
              </w:rPr>
              <w:t>A static severity/pattern -&gt; resource-tag lookup (e.g. severe -&gt; ["action:contact_emergency_services", "action:contact_primary_emergency_contact", "article:crisis_hotlines"]), cross-referenced directly against the Article.tags field and the Article.is_crisis_resource flag from the resource library</w:t>
            </w:r>
          </w:p>
        </w:tc>
      </w:tr>
    </w:tbl>
    <w:p/>
    <w:p>
      <w:pPr>
        <w:pStyle w:val="Heading3"/>
      </w:pPr>
      <w:r>
        <w:t>4.3 The Four-Field Output Schema</w:t>
      </w:r>
    </w:p>
    <w:p>
      <w:pPr>
        <w:spacing w:after="160"/>
      </w:pPr>
      <w:r>
        <w:t>The engine's output maps 1-to-1 onto the persisted DiagnosisReport fields, and consists of exactly the four clinically-relevant fields specified for this analysis tier: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CE6F1"/>
          </w:tcPr>
          <w:p>
            <w:pPr>
              <w:spacing w:after="40"/>
            </w:pPr>
            <w:r>
              <w:rPr>
                <w:b/>
                <w:sz w:val="19"/>
              </w:rPr>
              <w:t>Output Field</w:t>
            </w:r>
          </w:p>
        </w:tc>
        <w:tc>
          <w:tcPr>
            <w:tcW w:type="dxa" w:w="1560"/>
            <w:shd w:val="clear" w:color="auto" w:fill="DCE6F1"/>
          </w:tcPr>
          <w:p>
            <w:pPr>
              <w:spacing w:after="40"/>
            </w:pPr>
            <w:r>
              <w:rPr>
                <w:b/>
                <w:sz w:val="19"/>
              </w:rPr>
              <w:t>Type / Range</w:t>
            </w:r>
          </w:p>
        </w:tc>
        <w:tc>
          <w:tcPr>
            <w:tcW w:type="dxa" w:w="1560"/>
            <w:shd w:val="clear" w:color="auto" w:fill="DCE6F1"/>
          </w:tcPr>
          <w:p>
            <w:pPr>
              <w:spacing w:after="40"/>
            </w:pPr>
            <w:r>
              <w:rPr>
                <w:b/>
                <w:sz w:val="19"/>
              </w:rPr>
              <w:t>Description</w:t>
            </w:r>
          </w:p>
        </w:tc>
        <w:tc>
          <w:tcPr>
            <w:tcW w:type="dxa" w:w="1560"/>
            <w:shd w:val="clear" w:color="auto" w:fill="DCE6F1"/>
          </w:tcPr>
          <w:p>
            <w:pPr>
              <w:spacing w:after="40"/>
            </w:pPr>
          </w:p>
        </w:tc>
        <w:tc>
          <w:tcPr>
            <w:tcW w:type="dxa" w:w="1560"/>
            <w:shd w:val="clear" w:color="auto" w:fill="DCE6F1"/>
          </w:tcPr>
          <w:p>
            <w:pPr>
              <w:spacing w:after="40"/>
            </w:pPr>
          </w:p>
        </w:tc>
        <w:tc>
          <w:tcPr>
            <w:tcW w:type="dxa" w:w="1560"/>
            <w:shd w:val="clear" w:color="auto" w:fill="DCE6F1"/>
          </w:tcPr>
          <w:p>
            <w:pPr>
              <w:spacing w:after="40"/>
            </w:pPr>
          </w:p>
        </w:tc>
      </w:tr>
      <w:tr>
        <w:tc>
          <w:tcPr>
            <w:tcW w:type="dxa" w:w="1560"/>
          </w:tcPr>
          <w:p>
            <w:pPr>
              <w:spacing w:after="40"/>
            </w:pPr>
            <w:r>
              <w:rPr>
                <w:sz w:val="19"/>
              </w:rPr>
              <w:t>sentiment_score</w:t>
            </w:r>
          </w:p>
        </w:tc>
        <w:tc>
          <w:tcPr>
            <w:tcW w:type="dxa" w:w="1560"/>
          </w:tcPr>
          <w:p>
            <w:pPr>
              <w:spacing w:after="40"/>
            </w:pPr>
            <w:r>
              <w:rPr>
                <w:sz w:val="19"/>
              </w:rPr>
              <w:t>float, [-1.0, +1.0]</w:t>
            </w:r>
          </w:p>
        </w:tc>
        <w:tc>
          <w:tcPr>
            <w:tcW w:type="dxa" w:w="1560"/>
          </w:tcPr>
          <w:p>
            <w:pPr>
              <w:spacing w:after="40"/>
            </w:pPr>
            <w:r>
              <w:rPr>
                <w:sz w:val="19"/>
              </w:rPr>
              <w:t>Polarity of the patient's aggregated message text</w:t>
            </w:r>
          </w:p>
        </w:tc>
        <w:tc>
          <w:tcPr>
            <w:tcW w:type="dxa" w:w="1560"/>
          </w:tcPr>
          <w:p>
            <w:pPr>
              <w:spacing w:after="40"/>
            </w:pPr>
          </w:p>
        </w:tc>
        <w:tc>
          <w:tcPr>
            <w:tcW w:type="dxa" w:w="1560"/>
          </w:tcPr>
          <w:p>
            <w:pPr>
              <w:spacing w:after="40"/>
            </w:pPr>
          </w:p>
        </w:tc>
        <w:tc>
          <w:tcPr>
            <w:tcW w:type="dxa" w:w="1560"/>
          </w:tcPr>
          <w:p>
            <w:pPr>
              <w:spacing w:after="40"/>
            </w:pPr>
          </w:p>
        </w:tc>
      </w:tr>
      <w:tr>
        <w:tc>
          <w:tcPr>
            <w:tcW w:type="dxa" w:w="1560"/>
          </w:tcPr>
          <w:p>
            <w:pPr>
              <w:spacing w:after="40"/>
            </w:pPr>
            <w:r>
              <w:rPr>
                <w:sz w:val="19"/>
              </w:rPr>
              <w:t>sentiment_label</w:t>
            </w:r>
          </w:p>
        </w:tc>
        <w:tc>
          <w:tcPr>
            <w:tcW w:type="dxa" w:w="1560"/>
          </w:tcPr>
          <w:p>
            <w:pPr>
              <w:spacing w:after="40"/>
            </w:pPr>
            <w:r>
              <w:rPr>
                <w:sz w:val="19"/>
              </w:rPr>
              <w:t>str</w:t>
            </w:r>
          </w:p>
        </w:tc>
        <w:tc>
          <w:tcPr>
            <w:tcW w:type="dxa" w:w="1560"/>
          </w:tcPr>
          <w:p>
            <w:pPr>
              <w:spacing w:after="40"/>
            </w:pPr>
            <w:r>
              <w:rPr>
                <w:sz w:val="19"/>
              </w:rPr>
              <w:t>Derived categorical label: positive \</w:t>
            </w:r>
          </w:p>
        </w:tc>
        <w:tc>
          <w:tcPr>
            <w:tcW w:type="dxa" w:w="1560"/>
          </w:tcPr>
          <w:p>
            <w:pPr>
              <w:spacing w:after="40"/>
            </w:pPr>
            <w:r>
              <w:rPr>
                <w:sz w:val="19"/>
              </w:rPr>
              <w:t>neutral \</w:t>
            </w:r>
          </w:p>
        </w:tc>
        <w:tc>
          <w:tcPr>
            <w:tcW w:type="dxa" w:w="1560"/>
          </w:tcPr>
          <w:p>
            <w:pPr>
              <w:spacing w:after="40"/>
            </w:pPr>
            <w:r>
              <w:rPr>
                <w:sz w:val="19"/>
              </w:rPr>
              <w:t>negative</w:t>
            </w:r>
          </w:p>
        </w:tc>
        <w:tc>
          <w:tcPr>
            <w:tcW w:type="dxa" w:w="1560"/>
          </w:tcPr>
          <w:p>
            <w:pPr>
              <w:spacing w:after="40"/>
            </w:pPr>
          </w:p>
        </w:tc>
      </w:tr>
      <w:tr>
        <w:tc>
          <w:tcPr>
            <w:tcW w:type="dxa" w:w="1560"/>
          </w:tcPr>
          <w:p>
            <w:pPr>
              <w:spacing w:after="40"/>
            </w:pPr>
            <w:r>
              <w:rPr>
                <w:sz w:val="19"/>
              </w:rPr>
              <w:t>disorder_tags</w:t>
            </w:r>
          </w:p>
        </w:tc>
        <w:tc>
          <w:tcPr>
            <w:tcW w:type="dxa" w:w="1560"/>
          </w:tcPr>
          <w:p>
            <w:pPr>
              <w:spacing w:after="40"/>
            </w:pPr>
            <w:r>
              <w:rPr>
                <w:sz w:val="19"/>
              </w:rPr>
              <w:t>list[str]</w:t>
            </w:r>
          </w:p>
        </w:tc>
        <w:tc>
          <w:tcPr>
            <w:tcW w:type="dxa" w:w="1560"/>
          </w:tcPr>
          <w:p>
            <w:pPr>
              <w:spacing w:after="40"/>
            </w:pPr>
            <w:r>
              <w:rPr>
                <w:sz w:val="19"/>
              </w:rPr>
              <w:t>Detected pattern categories, e.g. ["anxiety_indicators", "sleep_issues"]</w:t>
            </w:r>
          </w:p>
        </w:tc>
        <w:tc>
          <w:tcPr>
            <w:tcW w:type="dxa" w:w="1560"/>
          </w:tcPr>
          <w:p>
            <w:pPr>
              <w:spacing w:after="40"/>
            </w:pPr>
          </w:p>
        </w:tc>
        <w:tc>
          <w:tcPr>
            <w:tcW w:type="dxa" w:w="1560"/>
          </w:tcPr>
          <w:p>
            <w:pPr>
              <w:spacing w:after="40"/>
            </w:pPr>
          </w:p>
        </w:tc>
        <w:tc>
          <w:tcPr>
            <w:tcW w:type="dxa" w:w="1560"/>
          </w:tcPr>
          <w:p>
            <w:pPr>
              <w:spacing w:after="40"/>
            </w:pPr>
          </w:p>
        </w:tc>
      </w:tr>
      <w:tr>
        <w:tc>
          <w:tcPr>
            <w:tcW w:type="dxa" w:w="1560"/>
          </w:tcPr>
          <w:p>
            <w:pPr>
              <w:spacing w:after="40"/>
            </w:pPr>
            <w:r>
              <w:rPr>
                <w:sz w:val="19"/>
              </w:rPr>
              <w:t>severity</w:t>
            </w:r>
          </w:p>
        </w:tc>
        <w:tc>
          <w:tcPr>
            <w:tcW w:type="dxa" w:w="1560"/>
          </w:tcPr>
          <w:p>
            <w:pPr>
              <w:spacing w:after="40"/>
            </w:pPr>
            <w:r>
              <w:rPr>
                <w:sz w:val="19"/>
              </w:rPr>
              <w:t>str</w:t>
            </w:r>
          </w:p>
        </w:tc>
        <w:tc>
          <w:tcPr>
            <w:tcW w:type="dxa" w:w="1560"/>
          </w:tcPr>
          <w:p>
            <w:pPr>
              <w:spacing w:after="40"/>
            </w:pPr>
            <w:r>
              <w:rPr>
                <w:sz w:val="19"/>
              </w:rPr>
              <w:t>Overall clinical severity tier: none \</w:t>
            </w:r>
          </w:p>
        </w:tc>
        <w:tc>
          <w:tcPr>
            <w:tcW w:type="dxa" w:w="1560"/>
          </w:tcPr>
          <w:p>
            <w:pPr>
              <w:spacing w:after="40"/>
            </w:pPr>
            <w:r>
              <w:rPr>
                <w:sz w:val="19"/>
              </w:rPr>
              <w:t>mild \</w:t>
            </w:r>
          </w:p>
        </w:tc>
        <w:tc>
          <w:tcPr>
            <w:tcW w:type="dxa" w:w="1560"/>
          </w:tcPr>
          <w:p>
            <w:pPr>
              <w:spacing w:after="40"/>
            </w:pPr>
            <w:r>
              <w:rPr>
                <w:sz w:val="19"/>
              </w:rPr>
              <w:t>moderate \</w:t>
            </w:r>
          </w:p>
        </w:tc>
        <w:tc>
          <w:tcPr>
            <w:tcW w:type="dxa" w:w="1560"/>
          </w:tcPr>
          <w:p>
            <w:pPr>
              <w:spacing w:after="40"/>
            </w:pPr>
            <w:r>
              <w:rPr>
                <w:sz w:val="19"/>
              </w:rPr>
              <w:t>severe</w:t>
            </w:r>
          </w:p>
        </w:tc>
      </w:tr>
    </w:tbl>
    <w:p/>
    <w:p>
      <w:pPr>
        <w:spacing w:after="160"/>
      </w:pPr>
      <w:r>
        <w:t xml:space="preserve">An additional </w:t>
      </w:r>
      <w:r>
        <w:rPr>
          <w:rFonts w:ascii="Consolas" w:hAnsi="Consolas"/>
          <w:color w:val="C7254E"/>
          <w:sz w:val="20"/>
        </w:rPr>
        <w:t>is_mock: True</w:t>
      </w:r>
      <w:r>
        <w:t xml:space="preserve"> flag is included on every response, providing an explicit, queryable marker that distinguishes heuristic-tier output from a future production-model result at the database level without requiring a schema migration to introduce the distinction.</w:t>
      </w:r>
    </w:p>
    <w:p>
      <w:pPr>
        <w:pStyle w:val="Heading3"/>
      </w:pPr>
      <w:r>
        <w:t>4.4 The Two-Tier Analysis Architecture and Migration Path</w:t>
      </w:r>
    </w:p>
    <w:p>
      <w:pPr>
        <w:spacing w:after="160"/>
      </w:pPr>
      <w:r>
        <w:t>Mentallico's clinical-analysis subsystem is best understood not as a single pipeline, but as a deliberate two-tier architecture, with each tier owning its own model and its own bounded context:</w:t>
      </w:r>
    </w:p>
    <w:p>
      <w:pPr>
        <w:spacing w:after="160"/>
      </w:pPr>
      <w:r>
        <w:rPr>
          <w:b/>
        </w:rPr>
        <w:t>Tier 1 — Active Mock Tier (apps.chat.DiagnosisReport).</w:t>
      </w:r>
      <w:r>
        <w:t xml:space="preserve"> Synchronous, in-process, zero-dependency, immediately available on session completion. This is the tier documented in §4.2-4.3, and it is what powers the product's inline analysis experience today.</w:t>
      </w:r>
    </w:p>
    <w:p>
      <w:pPr>
        <w:spacing w:after="160"/>
      </w:pPr>
      <w:r>
        <w:rPr>
          <w:b/>
        </w:rPr>
        <w:t>Tier 2 — Offline Data-Science Tier (apps.diagnostics.DiagnosticReport).</w:t>
      </w:r>
      <w:r>
        <w:t xml:space="preserve"> A schema-complete model — overall_sentiment_score, subjectivity_score, top_keywords, bigrams, trigrams, identified_patterns, severity_level, plus an explicit pending -&gt; processing -&gt; completed | failed status machine — designed for asynchronous dispatch (via TriggerAnalysisView and the project's already-configured Celery/Redis task queue) once a genuine classical-NLP pipeline is wired in.</w:t>
      </w:r>
    </w:p>
    <w:p>
      <w:pPr>
        <w:spacing w:after="160"/>
      </w:pPr>
      <w:r>
        <w:t xml:space="preserve">Critically, this second tier is not aspirational infrastructure with no supporting evidence: </w:t>
      </w:r>
      <w:r>
        <w:rPr>
          <w:rFonts w:ascii="Consolas" w:hAnsi="Consolas"/>
          <w:color w:val="C7254E"/>
          <w:sz w:val="20"/>
        </w:rPr>
        <w:t>requirements.txt</w:t>
      </w:r>
      <w:r>
        <w:t xml:space="preserve"> already pins the complete dependency stack this tier is designed to consume:</w:t>
      </w:r>
    </w:p>
    <w:p>
      <w:pPr>
        <w:spacing w:before="120" w:after="120"/>
        <w:ind w:left="432"/>
        <w:shd w:val="clear" w:color="auto" w:fill="F2F2F2"/>
      </w:pPr>
      <w:r>
        <w:rPr>
          <w:rFonts w:ascii="Consolas" w:hAnsi="Consolas"/>
          <w:color w:val="333333"/>
          <w:sz w:val="19"/>
        </w:rPr>
        <w:t>nltk==3.8.1</w:t>
        <w:br/>
        <w:t>scikit-learn==1.5.1</w:t>
        <w:br/>
        <w:t>numpy==1.26.4</w:t>
        <w:br/>
        <w:t>gensim==4.3.2</w:t>
        <w:br/>
        <w:t>textblob==0.18.0.post0</w:t>
      </w:r>
    </w:p>
    <w:p>
      <w:pPr>
        <w:spacing w:after="160"/>
      </w:pPr>
      <w:r>
        <w:t xml:space="preserve">— meaning the migration from Tier 1 to Tier 2 is architected as a same-shaped-output swap: the eventual production implementation of </w:t>
      </w:r>
      <w:r>
        <w:rPr>
          <w:rFonts w:ascii="Consolas" w:hAnsi="Consolas"/>
          <w:color w:val="C7254E"/>
          <w:sz w:val="20"/>
        </w:rPr>
        <w:t>run_analysis()</w:t>
      </w:r>
      <w:r>
        <w:t xml:space="preserve"> (or its Tier-2 equivalent) is required only to populate the same field contract already defined and already being written to today, not to redesign the calling code, the model schema, or the recommendation-mapping logic that consumes it. This is the central, defensible architectural insight of the AI subsystem: a fast, dependency-free heuristic tier in continuous production use, and a schema-complete, dependency-pinned classical-NLP tier engineered in advance of its own activation.</w:t>
      </w:r>
    </w:p>
    <w:p>
      <w:r>
        <w:br w:type="page"/>
      </w:r>
    </w:p>
    <w:p>
      <w:pPr>
        <w:pStyle w:val="Heading2"/>
      </w:pPr>
      <w:r>
        <w:t>Chapter 5 — Environment Engineering &amp; Deployment Parameters</w:t>
      </w:r>
    </w:p>
    <w:p>
      <w:pPr>
        <w:pStyle w:val="Heading3"/>
      </w:pPr>
      <w:r>
        <w:t>5.1 Environment Configuration Architecture</w:t>
      </w:r>
    </w:p>
    <w:p>
      <w:pPr>
        <w:spacing w:after="160"/>
      </w:pPr>
      <w:r>
        <w:t>All environment-sensitive configuration is centralized through django-environ, parsed once at settings-import time from a single .env file at the project root:</w:t>
      </w:r>
    </w:p>
    <w:p>
      <w:pPr>
        <w:spacing w:before="120" w:after="120"/>
        <w:ind w:left="432"/>
        <w:shd w:val="clear" w:color="auto" w:fill="F2F2F2"/>
      </w:pPr>
      <w:r>
        <w:rPr>
          <w:rFonts w:ascii="Consolas" w:hAnsi="Consolas"/>
          <w:color w:val="333333"/>
          <w:sz w:val="19"/>
        </w:rPr>
        <w:t>env = environ.Env(DEBUG=(bool, False))</w:t>
        <w:br/>
        <w:t>environ.Env.read_env(os.path.join(BASE_DIR, ".env"))</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CE6F1"/>
          </w:tcPr>
          <w:p>
            <w:pPr>
              <w:spacing w:after="40"/>
            </w:pPr>
            <w:r>
              <w:rPr>
                <w:b/>
                <w:sz w:val="19"/>
              </w:rPr>
              <w:t>Variable</w:t>
            </w:r>
          </w:p>
        </w:tc>
        <w:tc>
          <w:tcPr>
            <w:tcW w:type="dxa" w:w="3120"/>
            <w:shd w:val="clear" w:color="auto" w:fill="DCE6F1"/>
          </w:tcPr>
          <w:p>
            <w:pPr>
              <w:spacing w:after="40"/>
            </w:pPr>
            <w:r>
              <w:rPr>
                <w:b/>
                <w:sz w:val="19"/>
              </w:rPr>
              <w:t>Purpose</w:t>
            </w:r>
          </w:p>
        </w:tc>
        <w:tc>
          <w:tcPr>
            <w:tcW w:type="dxa" w:w="3120"/>
            <w:shd w:val="clear" w:color="auto" w:fill="DCE6F1"/>
          </w:tcPr>
          <w:p>
            <w:pPr>
              <w:spacing w:after="40"/>
            </w:pPr>
            <w:r>
              <w:rPr>
                <w:b/>
                <w:sz w:val="19"/>
              </w:rPr>
              <w:t>Development Default</w:t>
            </w:r>
          </w:p>
        </w:tc>
      </w:tr>
      <w:tr>
        <w:tc>
          <w:tcPr>
            <w:tcW w:type="dxa" w:w="3120"/>
          </w:tcPr>
          <w:p>
            <w:pPr>
              <w:spacing w:after="40"/>
            </w:pPr>
            <w:r>
              <w:rPr>
                <w:sz w:val="19"/>
              </w:rPr>
              <w:t>DEBUG</w:t>
            </w:r>
          </w:p>
        </w:tc>
        <w:tc>
          <w:tcPr>
            <w:tcW w:type="dxa" w:w="3120"/>
          </w:tcPr>
          <w:p>
            <w:pPr>
              <w:spacing w:after="40"/>
            </w:pPr>
            <w:r>
              <w:rPr>
                <w:sz w:val="19"/>
              </w:rPr>
              <w:t>Django debug mode toggle</w:t>
            </w:r>
          </w:p>
        </w:tc>
        <w:tc>
          <w:tcPr>
            <w:tcW w:type="dxa" w:w="3120"/>
          </w:tcPr>
          <w:p>
            <w:pPr>
              <w:spacing w:after="40"/>
            </w:pPr>
            <w:r>
              <w:rPr>
                <w:sz w:val="19"/>
              </w:rPr>
              <w:t>True</w:t>
            </w:r>
          </w:p>
        </w:tc>
      </w:tr>
      <w:tr>
        <w:tc>
          <w:tcPr>
            <w:tcW w:type="dxa" w:w="3120"/>
          </w:tcPr>
          <w:p>
            <w:pPr>
              <w:spacing w:after="40"/>
            </w:pPr>
            <w:r>
              <w:rPr>
                <w:sz w:val="19"/>
              </w:rPr>
              <w:t>SECRET_KEY</w:t>
            </w:r>
          </w:p>
        </w:tc>
        <w:tc>
          <w:tcPr>
            <w:tcW w:type="dxa" w:w="3120"/>
          </w:tcPr>
          <w:p>
            <w:pPr>
              <w:spacing w:after="40"/>
            </w:pPr>
            <w:r>
              <w:rPr>
                <w:sz w:val="19"/>
              </w:rPr>
              <w:t>Cryptographic signing key</w:t>
            </w:r>
          </w:p>
        </w:tc>
        <w:tc>
          <w:tcPr>
            <w:tcW w:type="dxa" w:w="3120"/>
          </w:tcPr>
          <w:p>
            <w:pPr>
              <w:spacing w:after="40"/>
            </w:pPr>
            <w:r>
              <w:rPr>
                <w:sz w:val="19"/>
              </w:rPr>
              <w:t>(must be explicitly set)</w:t>
            </w:r>
          </w:p>
        </w:tc>
      </w:tr>
      <w:tr>
        <w:tc>
          <w:tcPr>
            <w:tcW w:type="dxa" w:w="3120"/>
          </w:tcPr>
          <w:p>
            <w:pPr>
              <w:spacing w:after="40"/>
            </w:pPr>
            <w:r>
              <w:rPr>
                <w:sz w:val="19"/>
              </w:rPr>
              <w:t>ALLOWED_HOSTS</w:t>
            </w:r>
          </w:p>
        </w:tc>
        <w:tc>
          <w:tcPr>
            <w:tcW w:type="dxa" w:w="3120"/>
          </w:tcPr>
          <w:p>
            <w:pPr>
              <w:spacing w:after="40"/>
            </w:pPr>
            <w:r>
              <w:rPr>
                <w:sz w:val="19"/>
              </w:rPr>
              <w:t>Host-header allow-list (§3.4)</w:t>
            </w:r>
          </w:p>
        </w:tc>
        <w:tc>
          <w:tcPr>
            <w:tcW w:type="dxa" w:w="3120"/>
          </w:tcPr>
          <w:p>
            <w:pPr>
              <w:spacing w:after="40"/>
            </w:pPr>
            <w:r>
              <w:rPr>
                <w:sz w:val="19"/>
              </w:rPr>
              <w:t>localhost,127.0.0.1</w:t>
            </w:r>
          </w:p>
        </w:tc>
      </w:tr>
      <w:tr>
        <w:tc>
          <w:tcPr>
            <w:tcW w:type="dxa" w:w="3120"/>
          </w:tcPr>
          <w:p>
            <w:pPr>
              <w:spacing w:after="40"/>
            </w:pPr>
            <w:r>
              <w:rPr>
                <w:sz w:val="19"/>
              </w:rPr>
              <w:t>DATABASE_URL</w:t>
            </w:r>
          </w:p>
        </w:tc>
        <w:tc>
          <w:tcPr>
            <w:tcW w:type="dxa" w:w="3120"/>
          </w:tcPr>
          <w:p>
            <w:pPr>
              <w:spacing w:after="40"/>
            </w:pPr>
            <w:r>
              <w:rPr>
                <w:sz w:val="19"/>
              </w:rPr>
              <w:t>Database connection string (§2.1)</w:t>
            </w:r>
          </w:p>
        </w:tc>
        <w:tc>
          <w:tcPr>
            <w:tcW w:type="dxa" w:w="3120"/>
          </w:tcPr>
          <w:p>
            <w:pPr>
              <w:spacing w:after="40"/>
            </w:pPr>
            <w:r>
              <w:rPr>
                <w:sz w:val="19"/>
              </w:rPr>
              <w:t>sqlite:///db.sqlite3</w:t>
            </w:r>
          </w:p>
        </w:tc>
      </w:tr>
      <w:tr>
        <w:tc>
          <w:tcPr>
            <w:tcW w:type="dxa" w:w="3120"/>
          </w:tcPr>
          <w:p>
            <w:pPr>
              <w:spacing w:after="40"/>
            </w:pPr>
            <w:r>
              <w:rPr>
                <w:sz w:val="19"/>
              </w:rPr>
              <w:t>CELERY_BROKER_URL</w:t>
            </w:r>
          </w:p>
        </w:tc>
        <w:tc>
          <w:tcPr>
            <w:tcW w:type="dxa" w:w="3120"/>
          </w:tcPr>
          <w:p>
            <w:pPr>
              <w:spacing w:after="40"/>
            </w:pPr>
            <w:r>
              <w:rPr>
                <w:sz w:val="19"/>
              </w:rPr>
              <w:t>Redis broker for asynchronous tasks</w:t>
            </w:r>
          </w:p>
        </w:tc>
        <w:tc>
          <w:tcPr>
            <w:tcW w:type="dxa" w:w="3120"/>
          </w:tcPr>
          <w:p>
            <w:pPr>
              <w:spacing w:after="40"/>
            </w:pPr>
            <w:r>
              <w:rPr>
                <w:sz w:val="19"/>
              </w:rPr>
              <w:t>redis://localhost:6379/0</w:t>
            </w:r>
          </w:p>
        </w:tc>
      </w:tr>
      <w:tr>
        <w:tc>
          <w:tcPr>
            <w:tcW w:type="dxa" w:w="3120"/>
          </w:tcPr>
          <w:p>
            <w:pPr>
              <w:spacing w:after="40"/>
            </w:pPr>
            <w:r>
              <w:rPr>
                <w:sz w:val="19"/>
              </w:rPr>
              <w:t>JWT_ACCESS_TOKEN_LIFETIME_MINUTES / JWT_REFRESH_TOKEN_LIFETIME_DAYS</w:t>
            </w:r>
          </w:p>
        </w:tc>
        <w:tc>
          <w:tcPr>
            <w:tcW w:type="dxa" w:w="3120"/>
          </w:tcPr>
          <w:p>
            <w:pPr>
              <w:spacing w:after="40"/>
            </w:pPr>
            <w:r>
              <w:rPr>
                <w:sz w:val="19"/>
              </w:rPr>
              <w:t>Token lifetimes (§3.2)</w:t>
            </w:r>
          </w:p>
        </w:tc>
        <w:tc>
          <w:tcPr>
            <w:tcW w:type="dxa" w:w="3120"/>
          </w:tcPr>
          <w:p>
            <w:pPr>
              <w:spacing w:after="40"/>
            </w:pPr>
            <w:r>
              <w:rPr>
                <w:sz w:val="19"/>
              </w:rPr>
              <w:t>60 / 7</w:t>
            </w:r>
          </w:p>
        </w:tc>
      </w:tr>
      <w:tr>
        <w:tc>
          <w:tcPr>
            <w:tcW w:type="dxa" w:w="3120"/>
          </w:tcPr>
          <w:p>
            <w:pPr>
              <w:spacing w:after="40"/>
            </w:pPr>
            <w:r>
              <w:rPr>
                <w:sz w:val="19"/>
              </w:rPr>
              <w:t>CORS_ALLOWED_ORIGINS</w:t>
            </w:r>
          </w:p>
        </w:tc>
        <w:tc>
          <w:tcPr>
            <w:tcW w:type="dxa" w:w="3120"/>
          </w:tcPr>
          <w:p>
            <w:pPr>
              <w:spacing w:after="40"/>
            </w:pPr>
            <w:r>
              <w:rPr>
                <w:sz w:val="19"/>
              </w:rPr>
              <w:t>Browser CORS allow-list (§3.4)</w:t>
            </w:r>
          </w:p>
        </w:tc>
        <w:tc>
          <w:tcPr>
            <w:tcW w:type="dxa" w:w="3120"/>
          </w:tcPr>
          <w:p>
            <w:pPr>
              <w:spacing w:after="40"/>
            </w:pPr>
            <w:r>
              <w:rPr>
                <w:sz w:val="19"/>
              </w:rPr>
              <w:t>Vite/CRA dev-server defaults</w:t>
            </w:r>
          </w:p>
        </w:tc>
      </w:tr>
      <w:tr>
        <w:tc>
          <w:tcPr>
            <w:tcW w:type="dxa" w:w="3120"/>
          </w:tcPr>
          <w:p>
            <w:pPr>
              <w:spacing w:after="40"/>
            </w:pPr>
            <w:r>
              <w:rPr>
                <w:sz w:val="19"/>
              </w:rPr>
              <w:t>GOOGLE_OAUTH_CLIENT_ID</w:t>
            </w:r>
          </w:p>
        </w:tc>
        <w:tc>
          <w:tcPr>
            <w:tcW w:type="dxa" w:w="3120"/>
          </w:tcPr>
          <w:p>
            <w:pPr>
              <w:spacing w:after="40"/>
            </w:pPr>
            <w:r>
              <w:rPr>
                <w:sz w:val="19"/>
              </w:rPr>
              <w:t>Google sign-in audience pin (§3.3)</w:t>
            </w:r>
          </w:p>
        </w:tc>
        <w:tc>
          <w:tcPr>
            <w:tcW w:type="dxa" w:w="3120"/>
          </w:tcPr>
          <w:p>
            <w:pPr>
              <w:spacing w:after="40"/>
            </w:pPr>
            <w:r>
              <w:rPr>
                <w:sz w:val="19"/>
              </w:rPr>
              <w:t>Blank -&gt; endpoint returns 503</w:t>
            </w:r>
          </w:p>
        </w:tc>
      </w:tr>
      <w:tr>
        <w:tc>
          <w:tcPr>
            <w:tcW w:type="dxa" w:w="3120"/>
          </w:tcPr>
          <w:p>
            <w:pPr>
              <w:spacing w:after="40"/>
            </w:pPr>
            <w:r>
              <w:rPr>
                <w:sz w:val="19"/>
              </w:rPr>
              <w:t>FACEBOOK_APP_ID / FACEBOOK_APP_SECRET</w:t>
            </w:r>
          </w:p>
        </w:tc>
        <w:tc>
          <w:tcPr>
            <w:tcW w:type="dxa" w:w="3120"/>
          </w:tcPr>
          <w:p>
            <w:pPr>
              <w:spacing w:after="40"/>
            </w:pPr>
            <w:r>
              <w:rPr>
                <w:sz w:val="19"/>
              </w:rPr>
              <w:t>Facebook sign-in verification (§3.3)</w:t>
            </w:r>
          </w:p>
        </w:tc>
        <w:tc>
          <w:tcPr>
            <w:tcW w:type="dxa" w:w="3120"/>
          </w:tcPr>
          <w:p>
            <w:pPr>
              <w:spacing w:after="40"/>
            </w:pPr>
            <w:r>
              <w:rPr>
                <w:sz w:val="19"/>
              </w:rPr>
              <w:t>Blank -&gt; endpoint returns 503</w:t>
            </w:r>
          </w:p>
        </w:tc>
      </w:tr>
    </w:tbl>
    <w:p/>
    <w:p>
      <w:pPr>
        <w:spacing w:after="160"/>
      </w:pPr>
      <w:r>
        <w:t>Every integration dependent on an external credential is engineered to fail safe with an explicit 503 Service Unavailable, rather than raising an unhandled exception or silently degrading, whenever its required configuration is absent — a defensive-programming discipline applied consistently across both GoogleAuthView and FacebookAuthView.</w:t>
      </w:r>
    </w:p>
    <w:p>
      <w:pPr>
        <w:pStyle w:val="Heading3"/>
      </w:pPr>
      <w:r>
        <w:t>5.2 Environment-Specific Settings Modules</w:t>
      </w:r>
    </w:p>
    <w:p>
      <w:pPr>
        <w:spacing w:before="120" w:after="120"/>
        <w:ind w:left="432"/>
        <w:shd w:val="clear" w:color="auto" w:fill="F2F2F2"/>
      </w:pPr>
      <w:r>
        <w:rPr>
          <w:rFonts w:ascii="Consolas" w:hAnsi="Consolas"/>
          <w:color w:val="333333"/>
          <w:sz w:val="19"/>
        </w:rPr>
        <w:t>config/settings/</w:t>
        <w:br/>
        <w:t xml:space="preserve">    base.py           Shared configuration (Chapters 2-4 above)</w:t>
        <w:br/>
        <w:t xml:space="preserve">    development.py     DEBUG=True; ALLOWED_HOSTS=["*"]; BrowsableAPIRenderer enabled; console email backend</w:t>
        <w:br/>
        <w:t xml:space="preserve">    production.py      DEBUG=False; SECURE_SSL_REDIRECT; HSTS (1 year, includeSubDomains, preload); secure cookies</w:t>
      </w:r>
    </w:p>
    <w:p>
      <w:pPr>
        <w:pStyle w:val="Heading3"/>
      </w:pPr>
      <w:r>
        <w:t>5.3 CLI Bring-Up Procedure</w:t>
      </w:r>
    </w:p>
    <w:p>
      <w:pPr>
        <w:spacing w:after="160"/>
      </w:pPr>
      <w:r>
        <w:t>The following is the exact, verified command sequence to bring the backend up from a clean checkout, including the broad-spectrum network binding required for the LAN/mobile testing scenario documented in Chapter 3:</w:t>
      </w:r>
    </w:p>
    <w:p>
      <w:pPr>
        <w:spacing w:before="120" w:after="120"/>
        <w:ind w:left="432"/>
        <w:shd w:val="clear" w:color="auto" w:fill="F2F2F2"/>
      </w:pPr>
      <w:r>
        <w:rPr>
          <w:rFonts w:ascii="Consolas" w:hAnsi="Consolas"/>
          <w:color w:val="333333"/>
          <w:sz w:val="19"/>
        </w:rPr>
        <w:t># 1. Create and activate an isolated virtual environment</w:t>
        <w:br/>
        <w:t>python -m venv venv</w:t>
        <w:br/>
        <w:t>.\venv\Scripts\Activate.ps1</w:t>
        <w:br/>
        <w:br/>
        <w:t># 2. Install the pinned dependency set</w:t>
        <w:br/>
        <w:t>pip install -r requirements.txt</w:t>
        <w:br/>
        <w:br/>
        <w:t># 3. Provision environment variables</w:t>
        <w:br/>
        <w:t>copy .env.example .env</w:t>
        <w:br/>
        <w:t>#    -&gt; set SECRET_KEY; optionally set DATABASE_URL (SQLite default requires no setup);</w:t>
        <w:br/>
        <w:t>#       extend ALLOWED_HOSTS / CORS_ALLOWED_ORIGINS for any additional LAN/mobile origin</w:t>
        <w:br/>
        <w:br/>
        <w:t># 4. Apply the full migration graph (identical command against SQLite or PostgreSQL)</w:t>
        <w:br/>
        <w:t>python manage.py migrate</w:t>
        <w:br/>
        <w:br/>
        <w:t># 5. (Optional) provision an administrator account</w:t>
        <w:br/>
        <w:t>python manage.py createsuperuser</w:t>
        <w:br/>
        <w:br/>
        <w:t># 6. Run the broad-spectrum network listener</w:t>
        <w:br/>
        <w:t>#    Binding 0.0.0.0 - rather than 127.0.0.1 - exposes the development server across</w:t>
        <w:br/>
        <w:t>#    the local network interface, which is precisely what makes the ALLOWED_HOSTS /</w:t>
        <w:br/>
        <w:t>#    CORS_ALLOWED_ORIGINS LAN-IP and .nip.io entries from Chapter 3 reachable from a</w:t>
        <w:br/>
        <w:t>#    physical mobile device under test.</w:t>
        <w:br/>
        <w:t>python manage.py runserver 0.0.0.0:8000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CE6F1"/>
          </w:tcPr>
          <w:p>
            <w:pPr>
              <w:spacing w:after="40"/>
            </w:pPr>
            <w:r>
              <w:rPr>
                <w:b/>
                <w:sz w:val="19"/>
              </w:rPr>
              <w:t>Verification Step</w:t>
            </w:r>
          </w:p>
        </w:tc>
        <w:tc>
          <w:tcPr>
            <w:tcW w:type="dxa" w:w="3120"/>
            <w:shd w:val="clear" w:color="auto" w:fill="DCE6F1"/>
          </w:tcPr>
          <w:p>
            <w:pPr>
              <w:spacing w:after="40"/>
            </w:pPr>
            <w:r>
              <w:rPr>
                <w:b/>
                <w:sz w:val="19"/>
              </w:rPr>
              <w:t>Command</w:t>
            </w:r>
          </w:p>
        </w:tc>
        <w:tc>
          <w:tcPr>
            <w:tcW w:type="dxa" w:w="3120"/>
            <w:shd w:val="clear" w:color="auto" w:fill="DCE6F1"/>
          </w:tcPr>
          <w:p>
            <w:pPr>
              <w:spacing w:after="40"/>
            </w:pPr>
            <w:r>
              <w:rPr>
                <w:b/>
                <w:sz w:val="19"/>
              </w:rPr>
              <w:t>Confirms</w:t>
            </w:r>
          </w:p>
        </w:tc>
      </w:tr>
      <w:tr>
        <w:tc>
          <w:tcPr>
            <w:tcW w:type="dxa" w:w="3120"/>
          </w:tcPr>
          <w:p>
            <w:pPr>
              <w:spacing w:after="40"/>
            </w:pPr>
            <w:r>
              <w:rPr>
                <w:sz w:val="19"/>
              </w:rPr>
              <w:t>Liveness probe</w:t>
            </w:r>
          </w:p>
        </w:tc>
        <w:tc>
          <w:tcPr>
            <w:tcW w:type="dxa" w:w="3120"/>
          </w:tcPr>
          <w:p>
            <w:pPr>
              <w:spacing w:after="40"/>
            </w:pPr>
            <w:r>
              <w:rPr>
                <w:sz w:val="19"/>
              </w:rPr>
              <w:t>curl http://&lt;host&gt;:8000/health/</w:t>
            </w:r>
          </w:p>
        </w:tc>
        <w:tc>
          <w:tcPr>
            <w:tcW w:type="dxa" w:w="3120"/>
          </w:tcPr>
          <w:p>
            <w:pPr>
              <w:spacing w:after="40"/>
            </w:pPr>
            <w:r>
              <w:rPr>
                <w:sz w:val="19"/>
              </w:rPr>
              <w:t>Returns {"status": "ok"} with zero database queries — the endpoint used by container orchestrators and uptime monitors</w:t>
            </w:r>
          </w:p>
        </w:tc>
      </w:tr>
      <w:tr>
        <w:tc>
          <w:tcPr>
            <w:tcW w:type="dxa" w:w="3120"/>
          </w:tcPr>
          <w:p>
            <w:pPr>
              <w:spacing w:after="40"/>
            </w:pPr>
            <w:r>
              <w:rPr>
                <w:sz w:val="19"/>
              </w:rPr>
              <w:t>Admin reachability</w:t>
            </w:r>
          </w:p>
        </w:tc>
        <w:tc>
          <w:tcPr>
            <w:tcW w:type="dxa" w:w="3120"/>
          </w:tcPr>
          <w:p>
            <w:pPr>
              <w:spacing w:after="40"/>
            </w:pPr>
            <w:r>
              <w:rPr>
                <w:sz w:val="19"/>
              </w:rPr>
              <w:t>http://&lt;host&gt;:8000/admin/</w:t>
            </w:r>
          </w:p>
        </w:tc>
        <w:tc>
          <w:tcPr>
            <w:tcW w:type="dxa" w:w="3120"/>
          </w:tcPr>
          <w:p>
            <w:pPr>
              <w:spacing w:after="40"/>
            </w:pPr>
            <w:r>
              <w:rPr>
                <w:sz w:val="19"/>
              </w:rPr>
              <w:t>Django admin interface, gated by is_staff</w:t>
            </w:r>
          </w:p>
        </w:tc>
      </w:tr>
      <w:tr>
        <w:tc>
          <w:tcPr>
            <w:tcW w:type="dxa" w:w="3120"/>
          </w:tcPr>
          <w:p>
            <w:pPr>
              <w:spacing w:after="40"/>
            </w:pPr>
            <w:r>
              <w:rPr>
                <w:sz w:val="19"/>
              </w:rPr>
              <w:t>API namespace resolution</w:t>
            </w:r>
          </w:p>
        </w:tc>
        <w:tc>
          <w:tcPr>
            <w:tcW w:type="dxa" w:w="3120"/>
          </w:tcPr>
          <w:p>
            <w:pPr>
              <w:spacing w:after="40"/>
            </w:pPr>
            <w:r>
              <w:rPr>
                <w:sz w:val="19"/>
              </w:rPr>
              <w:t>POST http://&lt;host&gt;:8000/api/v1/auth/register/</w:t>
            </w:r>
          </w:p>
        </w:tc>
        <w:tc>
          <w:tcPr>
            <w:tcW w:type="dxa" w:w="3120"/>
          </w:tcPr>
          <w:p>
            <w:pPr>
              <w:spacing w:after="40"/>
            </w:pPr>
            <w:r>
              <w:rPr>
                <w:sz w:val="19"/>
              </w:rPr>
              <w:t>Confirms /api/v1/ routing and apps.users URL configuration resolve correctly end-to-end</w:t>
            </w:r>
          </w:p>
        </w:tc>
      </w:tr>
    </w:tbl>
    <w:p/>
    <w:p>
      <w:pPr>
        <w:spacing w:after="160"/>
      </w:pPr>
      <w:r>
        <w:t>*This document was compiled from direct inspection of the live Mentallico backend repository — model definitions, settings/base.py, views.py implementations, and requirements.txt — and reflects the system's verified, current state rather than its design intent.*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E1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E1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E1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