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0D7377"/>
          <w:sz w:val="56"/>
          <w:szCs w:val="56"/>
        </w:rPr>
        <w:t xml:space="preserve">Canonical Data Schema</w:t>
      </w:r>
    </w:p>
    <w:p>
      <w:pPr>
        <w:spacing w:after="200"/>
        <w:jc w:val="center"/>
      </w:pPr>
      <w:r>
        <w:rPr>
          <w:rFonts w:ascii="Arial" w:cs="Arial" w:eastAsia="Arial" w:hAnsi="Arial"/>
          <w:b/>
          <w:bCs/>
          <w:color w:val="1A1A2E"/>
          <w:sz w:val="44"/>
          <w:szCs w:val="44"/>
        </w:rPr>
        <w:t xml:space="preserve">Pricing Diagnostic Pipeline</w:t>
      </w:r>
    </w:p>
    <w:p>
      <w:pPr>
        <w:spacing w:after="100"/>
        <w:jc w:val="center"/>
      </w:pPr>
      <w:r>
        <w:rPr>
          <w:rFonts w:ascii="Arial" w:cs="Arial" w:eastAsia="Arial" w:hAnsi="Arial"/>
          <w:color w:val="E87722"/>
          <w:sz w:val="24"/>
          <w:szCs w:val="24"/>
        </w:rPr>
        <w:t xml:space="preserve">Unified Data Model Across 20 Standard Analyses</w:t>
      </w:r>
    </w:p>
    <w:p>
      <w:pPr>
        <w:spacing w:after="400"/>
        <w:jc w:val="center"/>
      </w:pPr>
      <w:r>
        <w:rPr>
          <w:rFonts w:ascii="Arial" w:cs="Arial" w:eastAsia="Arial" w:hAnsi="Arial"/>
          <w:color w:val="888888"/>
          <w:sz w:val="20"/>
          <w:szCs w:val="20"/>
        </w:rPr>
        <w:t xml:space="preserve">FintastIQ  |  Engineering Specification v1.0</w:t>
      </w:r>
    </w:p>
    <w:p>
      <w:pPr>
        <w:pBdr>
          <w:bottom w:val="single" w:color="0D7377" w:sz="6" w:space="1"/>
        </w:pBdr>
        <w:jc w:val="center"/>
      </w:pPr>
    </w:p>
    <w:p>
      <w:pPr>
        <w:spacing w:before="400"/>
        <w:jc w:val="center"/>
      </w:pPr>
      <w:r>
        <w:rPr>
          <w:rFonts w:ascii="Arial" w:cs="Arial" w:eastAsia="Arial" w:hAnsi="Arial"/>
          <w:i/>
          <w:iCs/>
          <w:color w:val="666666"/>
          <w:sz w:val="18"/>
          <w:szCs w:val="18"/>
        </w:rPr>
        <w:t xml:space="preserve">This document defines the single source of truth for all data fields required by the pricing diagnostic analytical pipeline. Each field specifies its priority (Required / Recommended / Nice-to-Have), data type, source system guidance, and which analyses depend on it.</w:t>
      </w:r>
    </w:p>
    <w:p>
      <w:r>
        <w:br w:type="page"/>
      </w:r>
    </w:p>
    <w:p>
      <w:pPr>
        <w:spacing w:before="360" w:after="120"/>
      </w:pPr>
      <w:r>
        <w:rPr>
          <w:rFonts w:ascii="Arial" w:cs="Arial" w:eastAsia="Arial" w:hAnsi="Arial"/>
          <w:b/>
          <w:bCs/>
          <w:color w:val="0D7377"/>
          <w:sz w:val="24"/>
          <w:szCs w:val="24"/>
        </w:rPr>
        <w:t xml:space="preserve">Schema Architecture Overview</w:t>
      </w:r>
    </w:p>
    <w:p>
      <w:pPr>
        <w:spacing w:before="60" w:after="60"/>
      </w:pPr>
      <w:r>
        <w:rPr>
          <w:rFonts w:ascii="Arial" w:cs="Arial" w:eastAsia="Arial" w:hAnsi="Arial"/>
          <w:color w:val="1A1A2E"/>
          <w:sz w:val="18"/>
          <w:szCs w:val="18"/>
        </w:rPr>
        <w:t xml:space="preserve">The canonical data schema is organized as a star-schema-inspired model with one primary fact table (Transactions) surrounded by dimension tables (Customer, Product, Sales Rep, Contract) and supplementary fact tables (Deals, Promotions, Cost-to-Serve, Competitive Intelligence). A separate Subscription/Plan table serves as an alternative or supplement to the Transaction fact table for SaaS and subscription businesses.</w:t>
      </w:r>
    </w:p>
    <w:p>
      <w:pPr>
        <w:spacing w:before="60" w:after="60"/>
      </w:pPr>
      <w:r>
        <w:rPr>
          <w:rFonts w:ascii="Arial" w:cs="Arial" w:eastAsia="Arial" w:hAnsi="Arial"/>
          <w:color w:val="1A1A2E"/>
          <w:sz w:val="18"/>
          <w:szCs w:val="18"/>
        </w:rPr>
        <w:t xml:space="preserve">The schema is designed with three principles: (1) every field appears exactly once in the canonical model even if used by multiple analyses, (2) each field has a clear priority level that determines whether an analysis can run without it, and (3) source system guidance is provided for the most common ERP, CRM, and billing platforms to accelerate client onboarding.</w:t>
      </w:r>
    </w:p>
    <w:p>
      <w:pPr>
        <w:spacing w:before="240" w:after="80"/>
      </w:pPr>
      <w:r>
        <w:rPr>
          <w:rFonts w:ascii="Arial" w:cs="Arial" w:eastAsia="Arial" w:hAnsi="Arial"/>
          <w:b/>
          <w:bCs/>
          <w:color w:val="1A1A2E"/>
          <w:sz w:val="20"/>
          <w:szCs w:val="20"/>
        </w:rPr>
        <w:t xml:space="preserve">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Definition</w:t>
            </w:r>
          </w:p>
        </w:tc>
      </w:tr>
      <w:tr>
        <w:tc>
          <w:tcPr>
            <w:tcW w:type="dxa" w:w="18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bCs/>
                <w:color w:val="1B5E20"/>
                <w:sz w:val="16"/>
                <w:szCs w:val="16"/>
              </w:rPr>
              <w:t xml:space="preserve">Required</w:t>
            </w:r>
          </w:p>
        </w:tc>
        <w:tc>
          <w:tcPr>
            <w:tcW w:type="dxa" w:w="7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Analysis cannot run without this field. Must be included in every client data request. If unavailable, the dependent analyses are blocked and should be flagged in scope.</w:t>
            </w:r>
          </w:p>
        </w:tc>
      </w:tr>
      <w:tr>
        <w:tc>
          <w:tcPr>
            <w:tcW w:type="dxa" w:w="18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left"/>
            </w:pPr>
            <w:r>
              <w:rPr>
                <w:rFonts w:ascii="Arial" w:cs="Arial" w:eastAsia="Arial" w:hAnsi="Arial"/>
                <w:b/>
                <w:bCs/>
                <w:color w:val="E65100"/>
                <w:sz w:val="16"/>
                <w:szCs w:val="16"/>
              </w:rPr>
              <w:t xml:space="preserve">Recommended</w:t>
            </w:r>
          </w:p>
        </w:tc>
        <w:tc>
          <w:tcPr>
            <w:tcW w:type="dxa" w:w="7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Analysis can run without this field but with reduced accuracy, fewer segments, or missing a key dimension. Include in data request with fallback estimation logic if client cannot provide.</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616161"/>
                <w:sz w:val="16"/>
                <w:szCs w:val="16"/>
              </w:rPr>
              <w:t xml:space="preserve">Nice-to-Have</w:t>
            </w:r>
          </w:p>
        </w:tc>
        <w:tc>
          <w:tcPr>
            <w:tcW w:type="dxa" w:w="7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Enriches analysis with additional granularity or enables secondary findings. Do not block analysis timeline waiting for this data. Request if easily available, skip if not.</w:t>
            </w:r>
          </w:p>
        </w:tc>
      </w:tr>
    </w:tbl>
    <w:p>
      <w:pPr>
        <w:spacing w:before="240" w:after="80"/>
      </w:pPr>
      <w:r>
        <w:rPr>
          <w:rFonts w:ascii="Arial" w:cs="Arial" w:eastAsia="Arial" w:hAnsi="Arial"/>
          <w:b/>
          <w:bCs/>
          <w:color w:val="1A1A2E"/>
          <w:sz w:val="20"/>
          <w:szCs w:val="20"/>
        </w:rPr>
        <w:t xml:space="preserve">Data Request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3160"/>
      </w:tblGrid>
      <w:tr>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Wave</w:t>
            </w:r>
          </w:p>
        </w:tc>
        <w:tc>
          <w:tcPr>
            <w:tcW w:type="dxa" w:w="26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Tables Requested</w:t>
            </w:r>
          </w:p>
        </w:tc>
        <w:tc>
          <w:tcPr>
            <w:tcW w:type="dxa" w:w="26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Analyses Unlocked</w:t>
            </w:r>
          </w:p>
        </w:tc>
        <w:tc>
          <w:tcPr>
            <w:tcW w:type="dxa" w:w="31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Typical Client Readiness</w:t>
            </w:r>
          </w:p>
        </w:tc>
      </w:tr>
      <w:tr>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A1A2E"/>
                <w:sz w:val="16"/>
                <w:szCs w:val="16"/>
              </w:rPr>
              <w:t xml:space="preserve">1</w:t>
            </w:r>
          </w:p>
        </w:tc>
        <w:tc>
          <w:tcPr>
            <w:tcW w:type="dxa" w:w="26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Transaction Fact, Product Dimension, Customer Dimension</w:t>
            </w:r>
          </w:p>
        </w:tc>
        <w:tc>
          <w:tcPr>
            <w:tcW w:type="dxa" w:w="26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01 Waterfall, 02 Price Band, 03 PVM, 04 Profitability (partial), 10 Realization, 11 SKU Pareto</w:t>
            </w:r>
          </w:p>
        </w:tc>
        <w:tc>
          <w:tcPr>
            <w:tcW w:type="dxa" w:w="316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Available within 1-2 weeks. Standard ERP export. Most clients can provide with minimal IT involvement.</w:t>
            </w:r>
          </w:p>
        </w:tc>
      </w:tr>
      <w:tr>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1A1A2E"/>
                <w:sz w:val="16"/>
                <w:szCs w:val="16"/>
              </w:rPr>
              <w:t xml:space="preserve">2</w:t>
            </w:r>
          </w:p>
        </w:tc>
        <w:tc>
          <w:tcPr>
            <w:tcW w:type="dxa" w:w="26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Deal/Opportunity Table, Sales Rep Dimension, List Price History</w:t>
            </w:r>
          </w:p>
        </w:tc>
        <w:tc>
          <w:tcPr>
            <w:tcW w:type="dxa" w:w="26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05 Win/Loss, 06 Elasticity, 07 Governance, 12 Segment WTP, 16 New Product, 19 Rep Behavior</w:t>
            </w:r>
          </w:p>
        </w:tc>
        <w:tc>
          <w:tcPr>
            <w:tcW w:type="dxa" w:w="316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Available within 2-4 weeks. CRM export plus pricing system data. May require sales ops involvement.</w:t>
            </w:r>
          </w:p>
        </w:tc>
      </w:tr>
      <w:tr>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1A1A2E"/>
                <w:sz w:val="16"/>
                <w:szCs w:val="16"/>
              </w:rPr>
              <w:t xml:space="preserve">3</w:t>
            </w:r>
          </w:p>
        </w:tc>
        <w:tc>
          <w:tcPr>
            <w:tcW w:type="dxa" w:w="26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Contract Table, Cost-to-Serve Table, Competitive Intel, Promotion Table, Subscription Table</w:t>
            </w:r>
          </w:p>
        </w:tc>
        <w:tc>
          <w:tcPr>
            <w:tcW w:type="dxa" w:w="26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08 Contract Leakage, 09 Competitive, 13 Promo ROI, 14 Packaging, 15 Channel, 17 Geographic, 18 Churn</w:t>
            </w:r>
          </w:p>
        </w:tc>
        <w:tc>
          <w:tcPr>
            <w:tcW w:type="dxa" w:w="31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Available within 4-8 weeks. Often requires manual assembly, multiple system extracts, or estimation models. Start early but do not block Wave 1-2 analyses.</w:t>
            </w:r>
          </w:p>
        </w:tc>
      </w:tr>
    </w:tbl>
    <w:p>
      <w:r>
        <w:br w:type="page"/>
      </w:r>
    </w:p>
    <w:p>
      <w:pPr>
        <w:spacing w:before="360" w:after="120"/>
      </w:pPr>
      <w:r>
        <w:rPr>
          <w:rFonts w:ascii="Arial" w:cs="Arial" w:eastAsia="Arial" w:hAnsi="Arial"/>
          <w:b/>
          <w:bCs/>
          <w:color w:val="0D7377"/>
          <w:sz w:val="24"/>
          <w:szCs w:val="24"/>
        </w:rPr>
        <w:t xml:space="preserve">Entity Relationship Summary</w:t>
      </w:r>
    </w:p>
    <w:p>
      <w:pPr>
        <w:spacing w:before="60" w:after="60"/>
      </w:pPr>
      <w:r>
        <w:rPr>
          <w:rFonts w:ascii="Arial" w:cs="Arial" w:eastAsia="Arial" w:hAnsi="Arial"/>
          <w:color w:val="1A1A2E"/>
          <w:sz w:val="18"/>
          <w:szCs w:val="18"/>
        </w:rPr>
        <w:t xml:space="preserve">All tables join through three primary keys: customer_id, product_sku, and transaction_id. The Deal table joins to Customer and Product but does not always have a direct join to Transaction (not every CRM opportunity maps 1:1 to invoice lines). The reconciliation between CRM deals and ERP transactions is a critical onboarding step.</w:t>
      </w:r>
    </w:p>
    <w:p>
      <w:pPr>
        <w:spacing w:before="240" w:after="80"/>
      </w:pPr>
      <w:r>
        <w:rPr>
          <w:rFonts w:ascii="Arial" w:cs="Arial" w:eastAsia="Arial" w:hAnsi="Arial"/>
          <w:b/>
          <w:bCs/>
          <w:color w:val="1A1A2E"/>
          <w:sz w:val="20"/>
          <w:szCs w:val="20"/>
        </w:rPr>
        <w:t xml:space="preserve">Join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From Table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To Table</w:t>
            </w:r>
          </w:p>
        </w:tc>
        <w:tc>
          <w:tcPr>
            <w:tcW w:type="dxa" w:w="2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Join Key</w:t>
            </w:r>
          </w:p>
        </w:tc>
        <w:tc>
          <w:tcPr>
            <w:tcW w:type="dxa" w:w="23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Cardinality</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customer_id</w:t>
            </w:r>
          </w:p>
        </w:tc>
        <w:tc>
          <w:tcPr>
            <w:tcW w:type="dxa" w:w="2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product_sku</w:t>
            </w:r>
          </w:p>
        </w:tc>
        <w:tc>
          <w:tcPr>
            <w:tcW w:type="dxa" w:w="2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Contract</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contract_id</w:t>
            </w:r>
          </w:p>
        </w:tc>
        <w:tc>
          <w:tcPr>
            <w:tcW w:type="dxa" w:w="2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 (nullable)</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Promotion</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promotion_id</w:t>
            </w:r>
          </w:p>
        </w:tc>
        <w:tc>
          <w:tcPr>
            <w:tcW w:type="dxa" w:w="2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 (nullable)</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Sales Rep</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sales_rep_id</w:t>
            </w:r>
          </w:p>
        </w:tc>
        <w:tc>
          <w:tcPr>
            <w:tcW w:type="dxa" w:w="2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Deal</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customer_id</w:t>
            </w:r>
          </w:p>
        </w:tc>
        <w:tc>
          <w:tcPr>
            <w:tcW w:type="dxa" w:w="2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Deal</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Sales Rep</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sales_rep_id</w:t>
            </w:r>
          </w:p>
        </w:tc>
        <w:tc>
          <w:tcPr>
            <w:tcW w:type="dxa" w:w="2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Cost-to-Serve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customer_id</w:t>
            </w:r>
          </w:p>
        </w:tc>
        <w:tc>
          <w:tcPr>
            <w:tcW w:type="dxa" w:w="2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Competitive Intel</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own_product_sku</w:t>
            </w:r>
          </w:p>
        </w:tc>
        <w:tc>
          <w:tcPr>
            <w:tcW w:type="dxa" w:w="2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Subscription/Plan</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customer_id</w:t>
            </w:r>
          </w:p>
        </w:tc>
        <w:tc>
          <w:tcPr>
            <w:tcW w:type="dxa" w:w="2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List Price History</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product_sku</w:t>
            </w:r>
          </w:p>
        </w:tc>
        <w:tc>
          <w:tcPr>
            <w:tcW w:type="dxa" w:w="2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Many-to-One</w:t>
            </w:r>
          </w:p>
        </w:tc>
      </w:tr>
    </w:tbl>
    <w:p>
      <w:r>
        <w:br w:type="page"/>
      </w:r>
    </w:p>
    <w:p>
      <w:pPr>
        <w:pBdr>
          <w:bottom w:val="single" w:color="0D7377" w:sz="8" w:space="4"/>
        </w:pBdr>
        <w:spacing w:before="100" w:after="120"/>
      </w:pPr>
      <w:r>
        <w:rPr>
          <w:rFonts w:ascii="Arial" w:cs="Arial" w:eastAsia="Arial" w:hAnsi="Arial"/>
          <w:b/>
          <w:bCs/>
          <w:color w:val="E87722"/>
          <w:sz w:val="18"/>
          <w:szCs w:val="18"/>
        </w:rPr>
        <w:t xml:space="preserve">Table 1 of 12</w:t>
      </w:r>
    </w:p>
    <w:p>
      <w:pPr>
        <w:spacing w:after="120"/>
      </w:pPr>
      <w:r>
        <w:rPr>
          <w:rFonts w:ascii="Arial" w:cs="Arial" w:eastAsia="Arial" w:hAnsi="Arial"/>
          <w:b/>
          <w:bCs/>
          <w:color w:val="1A1A2E"/>
          <w:sz w:val="30"/>
          <w:szCs w:val="30"/>
        </w:rPr>
        <w:t xml:space="preserve">Transaction Fact Table</w:t>
      </w:r>
    </w:p>
    <w:p>
      <w:pPr>
        <w:spacing w:before="60" w:after="60"/>
      </w:pPr>
      <w:r>
        <w:rPr>
          <w:rFonts w:ascii="Arial" w:cs="Arial" w:eastAsia="Arial" w:hAnsi="Arial"/>
          <w:color w:val="1A1A2E"/>
          <w:sz w:val="18"/>
          <w:szCs w:val="18"/>
        </w:rPr>
        <w:t xml:space="preserve">The core grain: one row per invoice line item / transaction. This is the primary table that powers the majority of analyses. Most ERP systems can export this from AR/billing modules. This should be the first data request to every client.</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ERP invoice/billing tables (SAP: VBRP/VBRK, Oracle: RA_CUSTOMER_TRX_LINES, NetSuite: Transaction Lines, QuickBooks: Invoice Line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transaction_id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Unique invoice line identifier</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01,02,03,04,05,06,08,10,11,13,15,17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Primary key. Use invoice_number + line_number composite if no single ID exists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transaction_date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Invoice or shipment date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02,03,06,10,13,16,17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Monthly granularity minimum. Daily preferred for elasticity and promotion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Customer dimension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01,02,03,04,05,06,08,12,14,15,18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Must be consistent across systems. Map CRM account ID to ERP customer number</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product_sku</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Product dimension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01,02,03,06,09,10,11,13,14,15,16,17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Lowest level of product granularity available. SKU preferred over product family</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quantity</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Units sold on this line item</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01,02,03,06,10,11,13,16</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Must be in consistent unit of measure. Normalize weight/volume to standard UOM</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list_price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Published/standard price per unit at time of sale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01,02,05,10,16,19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Capture the list price effective at transaction_date, not current list price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invoice_price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Price on the invoice per unit after on-invoice discounts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01,02,05,10</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This is list_price minus on-invoice adjustments. Some ERPs call this net_price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revenue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Total line revenue (quantity x invoice_price)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03,04,10,11,15,16,17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Cross-check: revenue should equal quantity x invoice_price within rounding tolerance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cogs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Cost of goods sold for this line item</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01,04,06,10,11,15</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Standard cost or actual cost. Standard preferred for consistency. Flag which is used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volume_discount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Discount amount for volume/quantity thresholds</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Per unit or total amount. Normalize to per-unit for waterfall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prompt_pay_discount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Early payment or cash discount amount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Contracted vs. actually taken may differ. Capture both if available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rebate_amount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Periodic rebate (quarterly/annual) allocated to this transaction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Allocation methodology matters. Pro-rate by revenue share if lump sum</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freight_absorption</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Shipping/logistics cost absorbed by seller</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Often buried in logistics systems rather than billing. May require separate data feed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special_pricing_agreement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SPA or contract-specific discount amount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01,07,08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Flag whether SPA is active, expired, or being applied outside contract scope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co_op_marketing</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Marketing development funds or co-op contributions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Often tracked in marketing systems, not ERP. May need manual allocation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credit_memo_amount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Post-sale credits, returns, allowances</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Link credit memos back to original transaction if possible for net revenue calc</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sales_channel</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Direct, distributor, online, partner, marketplace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02,03,15,17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Critical for channel consistency analysis. Must be reliably coded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sales_rep_id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Sales Rep dimension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01,02,05,07,19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Map to current rep, not original rep if territory has changed</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geography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Ship-to region, country, or sub-national area</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02,15,17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Use ship-to rather than bill-to for demand geography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currency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Transaction currency code (ISO 4217)</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Required for multi-currency businesses. Store both local and base currency amounts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exchange_rate</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FX rate used at time of transaction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Capture rate at transaction date for accurate historical trend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promotional_flag</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BOOLEAN</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Whether this transaction was during a promotional period</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06,13</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Critical for separating promo vs. non-promo demand in elasticity estimation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promotion_id</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Promotion dimension if applicable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Links to promotion details for ROI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contract_id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Contract dimension if applicable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Links transaction to governing contract for terms compliance analysis</w:t>
            </w:r>
          </w:p>
        </w:tc>
      </w:tr>
    </w:tbl>
    <w:p>
      <w:pPr>
        <w:spacing w:before="80" w:after="40"/>
      </w:pPr>
      <w:r>
        <w:rPr>
          <w:rFonts w:ascii="Arial" w:cs="Arial" w:eastAsia="Arial" w:hAnsi="Arial"/>
          <w:color w:val="666666"/>
          <w:sz w:val="16"/>
          <w:szCs w:val="16"/>
        </w:rPr>
        <w:t xml:space="preserve">24 fields total: </w:t>
      </w:r>
      <w:r>
        <w:rPr>
          <w:rFonts w:ascii="Arial" w:cs="Arial" w:eastAsia="Arial" w:hAnsi="Arial"/>
          <w:b/>
          <w:bCs/>
          <w:color w:val="1B5E20"/>
          <w:sz w:val="16"/>
          <w:szCs w:val="16"/>
        </w:rPr>
        <w:t xml:space="preserve">8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12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4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2 of 12</w:t>
      </w:r>
    </w:p>
    <w:p>
      <w:pPr>
        <w:spacing w:after="120"/>
      </w:pPr>
      <w:r>
        <w:rPr>
          <w:rFonts w:ascii="Arial" w:cs="Arial" w:eastAsia="Arial" w:hAnsi="Arial"/>
          <w:b/>
          <w:bCs/>
          <w:color w:val="1A1A2E"/>
          <w:sz w:val="30"/>
          <w:szCs w:val="30"/>
        </w:rPr>
        <w:t xml:space="preserve">Customer Dimension</w:t>
      </w:r>
    </w:p>
    <w:p>
      <w:pPr>
        <w:spacing w:before="60" w:after="60"/>
      </w:pPr>
      <w:r>
        <w:rPr>
          <w:rFonts w:ascii="Arial" w:cs="Arial" w:eastAsia="Arial" w:hAnsi="Arial"/>
          <w:color w:val="1A1A2E"/>
          <w:sz w:val="18"/>
          <w:szCs w:val="18"/>
        </w:rPr>
        <w:t xml:space="preserve">One row per customer. Contains both static attributes (segment, industry, geography) and derived metrics (tenure, order patterns) that power segmentation and profitability analyses. This is typically the second data request.</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CRM master data (Salesforce: Account object, HubSpot: Companies, ERP customer master: SAP KNA1/KNVV, Oracle HZ_PARTIES)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key, matches Transaction fact table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All</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Must be the single canonical identifier. Resolve duplicates before loading</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customer_name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Customer legal or trading name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All</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reporting and human review. Not used in calculations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customer_segment</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segmentation tier (Enterprise, Mid-Market, SMB, etc.)</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02,03,04,05,06,07,12,14,15,17,18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If no formal segmentation exists, create one from revenue bands as starting point</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industry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Industry vertical (SIC/NAICS code or internal classification)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04,09,12,17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industry-level WTP and profitability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geography_primary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Customer HQ or primary operating region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Supplement with ship-to data from transactions for actual demand geography</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customer_since_date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Date of first transaction or contract start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04,12,18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tenure-based analysis. Calculate tenure_months as derived field</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annual_revenue_band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Customer size bucket by their revenue (not revenue from them)</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04,12</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Proxy for ability to pay and cost-to-serve expectations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account_owner_id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Current sales rep or account manager</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rep-level analysis. Cross-reference with transaction sales_rep_id</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payment_terms_contracted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Standard payment terms (net 30, 2/10 net 30, etc.)</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Baseline for terms drift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price_tier</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Which price list or tier this customer is assigned to</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02,08,15</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verifying correct price list application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strategic_flag</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BOOLEAN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Whether flagged as strategic/key account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validating whether strategic classification correlates with profitability</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credit_score</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Internal or external credit rating</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payment behavior prediction and terms optimization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switching_cost_proxy</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Integration depth, customization level (High/Med/Low)</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12,18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Derived from product usage, implementation scope, or subjective assessment</w:t>
            </w:r>
          </w:p>
        </w:tc>
      </w:tr>
    </w:tbl>
    <w:p>
      <w:pPr>
        <w:spacing w:before="80" w:after="40"/>
      </w:pPr>
      <w:r>
        <w:rPr>
          <w:rFonts w:ascii="Arial" w:cs="Arial" w:eastAsia="Arial" w:hAnsi="Arial"/>
          <w:color w:val="666666"/>
          <w:sz w:val="16"/>
          <w:szCs w:val="16"/>
        </w:rPr>
        <w:t xml:space="preserve">13 fields total: </w:t>
      </w:r>
      <w:r>
        <w:rPr>
          <w:rFonts w:ascii="Arial" w:cs="Arial" w:eastAsia="Arial" w:hAnsi="Arial"/>
          <w:b/>
          <w:bCs/>
          <w:color w:val="1B5E20"/>
          <w:sz w:val="16"/>
          <w:szCs w:val="16"/>
        </w:rPr>
        <w:t xml:space="preserve">3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6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4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3 of 12</w:t>
      </w:r>
    </w:p>
    <w:p>
      <w:pPr>
        <w:spacing w:after="120"/>
      </w:pPr>
      <w:r>
        <w:rPr>
          <w:rFonts w:ascii="Arial" w:cs="Arial" w:eastAsia="Arial" w:hAnsi="Arial"/>
          <w:b/>
          <w:bCs/>
          <w:color w:val="1A1A2E"/>
          <w:sz w:val="30"/>
          <w:szCs w:val="30"/>
        </w:rPr>
        <w:t xml:space="preserve">Customer Cost-to-Serve Table</w:t>
      </w:r>
    </w:p>
    <w:p>
      <w:pPr>
        <w:spacing w:before="60" w:after="60"/>
      </w:pPr>
      <w:r>
        <w:rPr>
          <w:rFonts w:ascii="Arial" w:cs="Arial" w:eastAsia="Arial" w:hAnsi="Arial"/>
          <w:color w:val="1A1A2E"/>
          <w:sz w:val="18"/>
          <w:szCs w:val="18"/>
        </w:rPr>
        <w:t xml:space="preserve">One row per customer per period with allocated cost-to-serve components. This is often the hardest data to obtain and may require activity-based estimation rather than system extraction. Start with proxies if full cost data is unavailable.</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Multiple systems: logistics/TMS for shipping, helpdesk/ticketing for service, ERP for returns. Often requires manual assembly or estimation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Customer dimension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period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Time period for cost aggregation (monthly or quarterly)</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Match to transaction analysis period</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service_cost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Customer service tickets, support hours, field visits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Count-based proxy: tickets x avg cost per ticket if dollar data unavailable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logistics_cost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Shipping, special delivery, expediting, warehousing allocated</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01,04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Per-order or per-shipment allocation from logistics/TMS system</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returns_credits_cost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Total returns processing, restocking, credit adjustments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ERP credit memo and returns module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customization_cost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Non-standard specs, custom packaging, special requirements</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Often not tracked per customer. Estimate from engineering/ops time logs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payment_terms_cost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Cost of capital for extended payment terms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Calculate: (Actual payment days - standard terms) x (AR amount x WACC / 365)</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sales_coverage_cost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Allocated rep time, travel, entertainment expenses</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CRM activity logs or T&amp;E system. Allocate by time spent per account</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order_frequency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INTEGER</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Number of orders in the period</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transaction count. High frequency + small orders = high CTS signal</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avg_order_size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Average revenue per order</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Derived from transaction data. Low avg order size = high CTS relative to revenue</w:t>
            </w:r>
          </w:p>
        </w:tc>
      </w:tr>
    </w:tbl>
    <w:p>
      <w:pPr>
        <w:spacing w:before="80" w:after="40"/>
      </w:pPr>
      <w:r>
        <w:rPr>
          <w:rFonts w:ascii="Arial" w:cs="Arial" w:eastAsia="Arial" w:hAnsi="Arial"/>
          <w:color w:val="666666"/>
          <w:sz w:val="16"/>
          <w:szCs w:val="16"/>
        </w:rPr>
        <w:t xml:space="preserve">10 fields total: </w:t>
      </w:r>
      <w:r>
        <w:rPr>
          <w:rFonts w:ascii="Arial" w:cs="Arial" w:eastAsia="Arial" w:hAnsi="Arial"/>
          <w:b/>
          <w:bCs/>
          <w:color w:val="1B5E20"/>
          <w:sz w:val="16"/>
          <w:szCs w:val="16"/>
        </w:rPr>
        <w:t xml:space="preserve">2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5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3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4 of 12</w:t>
      </w:r>
    </w:p>
    <w:p>
      <w:pPr>
        <w:spacing w:after="120"/>
      </w:pPr>
      <w:r>
        <w:rPr>
          <w:rFonts w:ascii="Arial" w:cs="Arial" w:eastAsia="Arial" w:hAnsi="Arial"/>
          <w:b/>
          <w:bCs/>
          <w:color w:val="1A1A2E"/>
          <w:sz w:val="30"/>
          <w:szCs w:val="30"/>
        </w:rPr>
        <w:t xml:space="preserve">Product Dimension</w:t>
      </w:r>
    </w:p>
    <w:p>
      <w:pPr>
        <w:spacing w:before="60" w:after="60"/>
      </w:pPr>
      <w:r>
        <w:rPr>
          <w:rFonts w:ascii="Arial" w:cs="Arial" w:eastAsia="Arial" w:hAnsi="Arial"/>
          <w:color w:val="1A1A2E"/>
          <w:sz w:val="18"/>
          <w:szCs w:val="18"/>
        </w:rPr>
        <w:t xml:space="preserve">One row per product/SKU. Contains attributes for grouping, hierarchy, lifecycle, and cost that power product-level analyses. This is typically extracted alongside the transaction data.</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ERP product master (SAP: MARA/MAKT, Oracle: MTL_SYSTEM_ITEMS, NetSuite: Items, any PLM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product_sku</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key, matches Transaction fact table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All product analyses</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Lowest granularity available. If SKU is too granular, also capture product_family</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product_name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Product display name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All</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reporting and human review</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product_category</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product grouping / category</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03,11,13,15</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First level of product hierarchy for mix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product_family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Product family or line (level above SKU, below category)</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03,06,11</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Useful for aggregating thin-data SKUs in elasticity estimation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current_list_price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Current published list price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09,10,16</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Capture effective date. Need historical list prices for realization trend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standard_cost</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Standard COGS per unit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06,11</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Standard preferred over actual for consistency. Note which is used</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launch_date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Date product became generally available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11,16</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lifecycle and new product pricing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product_status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Active, Discontinued, End-of-Life, New</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11,16</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filtering and lifecycle-stage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unit_of_measure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Standard selling UOM (each, kg, liter, etc.)</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All</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Must be consistent with transaction quantity UOM</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value_metric</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unit of value delivery (per user, per GB, per transaction)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09,14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normalized competitive benchmarking and packaging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competitor_equivalent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Closest competitor product for benchmarking</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Free text or structured mapping. Maintained by product management</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cannibalization_group</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Group of products that compete internally</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11,13</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identifying internal cannibalization in promo and SKU rationalization analysis</w:t>
            </w:r>
          </w:p>
        </w:tc>
      </w:tr>
    </w:tbl>
    <w:p>
      <w:pPr>
        <w:spacing w:before="80" w:after="40"/>
      </w:pPr>
      <w:r>
        <w:rPr>
          <w:rFonts w:ascii="Arial" w:cs="Arial" w:eastAsia="Arial" w:hAnsi="Arial"/>
          <w:color w:val="666666"/>
          <w:sz w:val="16"/>
          <w:szCs w:val="16"/>
        </w:rPr>
        <w:t xml:space="preserve">12 fields total: </w:t>
      </w:r>
      <w:r>
        <w:rPr>
          <w:rFonts w:ascii="Arial" w:cs="Arial" w:eastAsia="Arial" w:hAnsi="Arial"/>
          <w:b/>
          <w:bCs/>
          <w:color w:val="1B5E20"/>
          <w:sz w:val="16"/>
          <w:szCs w:val="16"/>
        </w:rPr>
        <w:t xml:space="preserve">6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3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3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5 of 12</w:t>
      </w:r>
    </w:p>
    <w:p>
      <w:pPr>
        <w:spacing w:after="120"/>
      </w:pPr>
      <w:r>
        <w:rPr>
          <w:rFonts w:ascii="Arial" w:cs="Arial" w:eastAsia="Arial" w:hAnsi="Arial"/>
          <w:b/>
          <w:bCs/>
          <w:color w:val="1A1A2E"/>
          <w:sz w:val="30"/>
          <w:szCs w:val="30"/>
        </w:rPr>
        <w:t xml:space="preserve">List Price History Table</w:t>
      </w:r>
    </w:p>
    <w:p>
      <w:pPr>
        <w:spacing w:before="60" w:after="60"/>
      </w:pPr>
      <w:r>
        <w:rPr>
          <w:rFonts w:ascii="Arial" w:cs="Arial" w:eastAsia="Arial" w:hAnsi="Arial"/>
          <w:color w:val="1A1A2E"/>
          <w:sz w:val="18"/>
          <w:szCs w:val="18"/>
        </w:rPr>
        <w:t xml:space="preserve">One row per product per price change event. Tracks the evolution of published/standard prices over time. Critical for realization trend analysis and price increase stickiness measurement.</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ERP price list change log, pricing system audit trail, or manually reconstructed from annual price increase memos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product_sku</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Product dimension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10,16</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effective_date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Date this price became effective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10,16</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list_price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New list price per unit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10,16</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previous_list_price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Prior list price for calculating change magnitude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Can be derived from previous row if ordered by date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change_reason</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Reason for change (annual increase, cost pass-through, market adjustment)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Useful for categorizing price actions in trend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change_pct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Percentage change from previous price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10,16</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Derived: (new - previous) / previous x 100</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geography</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If list prices vary by region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regional price harmonization analysis</w:t>
            </w:r>
          </w:p>
        </w:tc>
      </w:tr>
    </w:tbl>
    <w:p>
      <w:pPr>
        <w:spacing w:before="80" w:after="40"/>
      </w:pPr>
      <w:r>
        <w:rPr>
          <w:rFonts w:ascii="Arial" w:cs="Arial" w:eastAsia="Arial" w:hAnsi="Arial"/>
          <w:color w:val="666666"/>
          <w:sz w:val="16"/>
          <w:szCs w:val="16"/>
        </w:rPr>
        <w:t xml:space="preserve">7 fields total: </w:t>
      </w:r>
      <w:r>
        <w:rPr>
          <w:rFonts w:ascii="Arial" w:cs="Arial" w:eastAsia="Arial" w:hAnsi="Arial"/>
          <w:b/>
          <w:bCs/>
          <w:color w:val="1B5E20"/>
          <w:sz w:val="16"/>
          <w:szCs w:val="16"/>
        </w:rPr>
        <w:t xml:space="preserve">3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2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2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6 of 12</w:t>
      </w:r>
    </w:p>
    <w:p>
      <w:pPr>
        <w:spacing w:after="120"/>
      </w:pPr>
      <w:r>
        <w:rPr>
          <w:rFonts w:ascii="Arial" w:cs="Arial" w:eastAsia="Arial" w:hAnsi="Arial"/>
          <w:b/>
          <w:bCs/>
          <w:color w:val="1A1A2E"/>
          <w:sz w:val="30"/>
          <w:szCs w:val="30"/>
        </w:rPr>
        <w:t xml:space="preserve">Deal / Opportunity Table</w:t>
      </w:r>
    </w:p>
    <w:p>
      <w:pPr>
        <w:spacing w:before="60" w:after="60"/>
      </w:pPr>
      <w:r>
        <w:rPr>
          <w:rFonts w:ascii="Arial" w:cs="Arial" w:eastAsia="Arial" w:hAnsi="Arial"/>
          <w:color w:val="1A1A2E"/>
          <w:sz w:val="18"/>
          <w:szCs w:val="18"/>
        </w:rPr>
        <w:t xml:space="preserve">One row per sales opportunity from CRM. Powers win/loss, discount effectiveness, and sales rep behavior analyses. This is the primary CRM data request.</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CRM opportunities (Salesforce: Opportunity object, HubSpot: Deals, Dynamics 365: Opportunities, Pipedrive: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deal_id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Unique opportunity identifier</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Primary key from CRM</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Customer dimension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Match CRM account to ERP customer. This mapping is often imperfect</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deal_outcome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Won, Lost, No Decision, Pending</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Must be reliably coded. Validate: does Won deal have corresponding transactions?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deal_close_date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Date deal was won or lost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time-series analysis of win rates and discounting trends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product_sku</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product in the deal</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CRM may have product at deal level, not line level. Accept deal-level if needed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list_price_quoted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Initial list or quoted price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The starting point before negotiation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final_price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Final agreed price (if won) or last offer (if lost)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calculating discount depth</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discount_pct</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Total discount from list to final</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Derived if not stored: (list - final) / list x 100</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deal_value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Total deal size (ACV, TCV, or one-time value)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Clarify metric: ACV for subscription, total value for one-time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sales_rep_id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Rep who owns the opportunity</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rep-level behavioral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customer_segment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Segment at time of deal (may differ from current)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Snapshot at deal time, not current segment</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loss_reason</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Coded reason for loss (Price, Feature, Timing, Competitor, etc.)</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Quality varies. Validate against actual competitive data where possible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competitor_cited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Competitor involved if known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competitive benchmarking validation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sales_cycle_days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INTEGER</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Days from opportunity creation to close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deal velocity analysis and approval friction measurement</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approval_level</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Which level approved the discount (Rep, Manager, Director, VP)</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Critical for governance analysis. May need to reconstruct from email if not tracked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initial_discount_requested</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First discount level requested before governance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measuring governance yield (gap between requested and approved)</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override_flag</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BOOLEAN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Whether standard discount authority was overridden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override rate and effectiveness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number_of_approvals</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INTEGER</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How many approval steps the deal went through</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Proxy for deal complexity and governance friction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deal_stage_history</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JSON/TEXT</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Timeline of stage transitions with dates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deal velocity analysis by stage. Often available via CRM API</w:t>
            </w:r>
          </w:p>
        </w:tc>
      </w:tr>
    </w:tbl>
    <w:p>
      <w:pPr>
        <w:spacing w:before="80" w:after="40"/>
      </w:pPr>
      <w:r>
        <w:rPr>
          <w:rFonts w:ascii="Arial" w:cs="Arial" w:eastAsia="Arial" w:hAnsi="Arial"/>
          <w:color w:val="666666"/>
          <w:sz w:val="16"/>
          <w:szCs w:val="16"/>
        </w:rPr>
        <w:t xml:space="preserve">19 fields total: </w:t>
      </w:r>
      <w:r>
        <w:rPr>
          <w:rFonts w:ascii="Arial" w:cs="Arial" w:eastAsia="Arial" w:hAnsi="Arial"/>
          <w:b/>
          <w:bCs/>
          <w:color w:val="1B5E20"/>
          <w:sz w:val="16"/>
          <w:szCs w:val="16"/>
        </w:rPr>
        <w:t xml:space="preserve">9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6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4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7 of 12</w:t>
      </w:r>
    </w:p>
    <w:p>
      <w:pPr>
        <w:spacing w:after="120"/>
      </w:pPr>
      <w:r>
        <w:rPr>
          <w:rFonts w:ascii="Arial" w:cs="Arial" w:eastAsia="Arial" w:hAnsi="Arial"/>
          <w:b/>
          <w:bCs/>
          <w:color w:val="1A1A2E"/>
          <w:sz w:val="30"/>
          <w:szCs w:val="30"/>
        </w:rPr>
        <w:t xml:space="preserve">Contract Table</w:t>
      </w:r>
    </w:p>
    <w:p>
      <w:pPr>
        <w:spacing w:before="60" w:after="60"/>
      </w:pPr>
      <w:r>
        <w:rPr>
          <w:rFonts w:ascii="Arial" w:cs="Arial" w:eastAsia="Arial" w:hAnsi="Arial"/>
          <w:color w:val="1A1A2E"/>
          <w:sz w:val="18"/>
          <w:szCs w:val="18"/>
        </w:rPr>
        <w:t xml:space="preserve">One row per active contract or framework agreement. Powers terms leakage, escalation compliance, and volume commitment analyses. Often the least digitized data source and may require manual extraction for top accounts.</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Contract management system (Ironclad, DocuSign CLM, Salesforce CPQ, or manual extraction from PDF contracts for top 50 accounts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key for the contract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Customer dimension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One customer may have multiple contracts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contract_start_date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Contract effective date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contract_end_date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Contract expiry or renewal date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contracted_price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Agreed price per unit or total contract value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Per-unit for transactional contracts, total for value-based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contracted_payment_terms</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Agreed payment terms (e.g., net 30)</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Baseline for measuring payment drift</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contracted_volume_commitment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Volume the customer committed to purchase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Annual or contract-term total. For shortfall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price_escalation_clause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CPI, fixed %, or none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escalation compliance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escalation_pct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Annual escalation percentage if fixed</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Or CPI reference if index-based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auto_renewal_flag</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BOOLEAN</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Whether contract auto-renews</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Auto-renewal without price reset is a common leakage source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sla_terms</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Committed service levels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SLA overdelivery cost estimation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product_scope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Products covered by the contract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matching contract terms to the right transactions</w:t>
            </w:r>
          </w:p>
        </w:tc>
      </w:tr>
    </w:tbl>
    <w:p>
      <w:pPr>
        <w:spacing w:before="80" w:after="40"/>
      </w:pPr>
      <w:r>
        <w:rPr>
          <w:rFonts w:ascii="Arial" w:cs="Arial" w:eastAsia="Arial" w:hAnsi="Arial"/>
          <w:color w:val="666666"/>
          <w:sz w:val="16"/>
          <w:szCs w:val="16"/>
        </w:rPr>
        <w:t xml:space="preserve">12 fields total: </w:t>
      </w:r>
      <w:r>
        <w:rPr>
          <w:rFonts w:ascii="Arial" w:cs="Arial" w:eastAsia="Arial" w:hAnsi="Arial"/>
          <w:b/>
          <w:bCs/>
          <w:color w:val="1B5E20"/>
          <w:sz w:val="16"/>
          <w:szCs w:val="16"/>
        </w:rPr>
        <w:t xml:space="preserve">6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5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1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8 of 12</w:t>
      </w:r>
    </w:p>
    <w:p>
      <w:pPr>
        <w:spacing w:after="120"/>
      </w:pPr>
      <w:r>
        <w:rPr>
          <w:rFonts w:ascii="Arial" w:cs="Arial" w:eastAsia="Arial" w:hAnsi="Arial"/>
          <w:b/>
          <w:bCs/>
          <w:color w:val="1A1A2E"/>
          <w:sz w:val="30"/>
          <w:szCs w:val="30"/>
        </w:rPr>
        <w:t xml:space="preserve">Sales Rep Dimension</w:t>
      </w:r>
    </w:p>
    <w:p>
      <w:pPr>
        <w:spacing w:before="60" w:after="60"/>
      </w:pPr>
      <w:r>
        <w:rPr>
          <w:rFonts w:ascii="Arial" w:cs="Arial" w:eastAsia="Arial" w:hAnsi="Arial"/>
          <w:color w:val="1A1A2E"/>
          <w:sz w:val="18"/>
          <w:szCs w:val="18"/>
        </w:rPr>
        <w:t xml:space="preserve">One row per sales rep. Contains attributes for normalizing rep-level analysis by territory, team, tenure, and compensation structure.</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CRM user records, HR system for tenure/comp, sales ops for territory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sales_rep_id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key, matches Transaction and Deal tables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05,07,19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sales_rep_name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Rep name for reporting</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manager_id</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Direct manager for team-level aggregation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manager-level pricing culture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territory</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Assigned territory or region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normalizing by territory difficulty</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segment_coverage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Enterprise, Mid-Market, SMB, or mixed</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segment-adjusted discounting comparison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tenure_months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INTEGER</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Months in current sales role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tenure-discounting behavior correlation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comp_plan_type</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Revenue-based, margin-based, or blended</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Critical for testing comp plan impact on pricing behavior</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quota</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Annual or quarterly quota for attainment calculation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quota pressure vs. discounting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start_date</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Start date in role for ramp period exclusion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Exclude first 3-6 months as ramp period in behavioral analysis</w:t>
            </w:r>
          </w:p>
        </w:tc>
      </w:tr>
    </w:tbl>
    <w:p>
      <w:pPr>
        <w:spacing w:before="80" w:after="40"/>
      </w:pPr>
      <w:r>
        <w:rPr>
          <w:rFonts w:ascii="Arial" w:cs="Arial" w:eastAsia="Arial" w:hAnsi="Arial"/>
          <w:color w:val="666666"/>
          <w:sz w:val="16"/>
          <w:szCs w:val="16"/>
        </w:rPr>
        <w:t xml:space="preserve">9 fields total: </w:t>
      </w:r>
      <w:r>
        <w:rPr>
          <w:rFonts w:ascii="Arial" w:cs="Arial" w:eastAsia="Arial" w:hAnsi="Arial"/>
          <w:b/>
          <w:bCs/>
          <w:color w:val="1B5E20"/>
          <w:sz w:val="16"/>
          <w:szCs w:val="16"/>
        </w:rPr>
        <w:t xml:space="preserve">2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4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3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9 of 12</w:t>
      </w:r>
    </w:p>
    <w:p>
      <w:pPr>
        <w:spacing w:after="120"/>
      </w:pPr>
      <w:r>
        <w:rPr>
          <w:rFonts w:ascii="Arial" w:cs="Arial" w:eastAsia="Arial" w:hAnsi="Arial"/>
          <w:b/>
          <w:bCs/>
          <w:color w:val="1A1A2E"/>
          <w:sz w:val="30"/>
          <w:szCs w:val="30"/>
        </w:rPr>
        <w:t xml:space="preserve">Competitive Intelligence Table</w:t>
      </w:r>
    </w:p>
    <w:p>
      <w:pPr>
        <w:spacing w:before="60" w:after="60"/>
      </w:pPr>
      <w:r>
        <w:rPr>
          <w:rFonts w:ascii="Arial" w:cs="Arial" w:eastAsia="Arial" w:hAnsi="Arial"/>
          <w:color w:val="1A1A2E"/>
          <w:sz w:val="18"/>
          <w:szCs w:val="18"/>
        </w:rPr>
        <w:t xml:space="preserve">One row per competitor-product-date observation. This is typically the sparsest and most manual data source. Quality and recency flags are essential. Even partial data is valuable for anchoring internal pricing narratives.</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Win/loss debriefs, third-party intelligence (Crayon, Klue, Compete), public pricing pages, RFP responses, channel partner feedback, mystery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competitor_name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Competitor identifier</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Standardize names. Map aliases and subsidiaries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competitor_product</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Competitor product name or SKU</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Best match to own product for comparison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own_product_sku</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Internal product this competes against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Foreign key to Product dimension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competitor_price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Competitor price point observed</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Could be list, estimated realized, or market</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price_type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List, Estimated Realized, Street, Promotional</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Critical context for comparison. List-to-list or realized-to-estimated-realized</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observation_date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When this intelligence was gathered</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Stale intelligence (&gt;6 months) should be flagged separately</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source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How obtained (public, win/loss, third-party, mystery shop)</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confidence weighting</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confidence_level</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High, Medium, Low</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Based on source reliability and recency</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market_segment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Which segment this price applies to</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Competitor pricing may vary by segment</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feature_comparison_score</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1-5 relative feature completeness vs. own product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value-adjusted price index calculation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geography</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Region where this price was observed</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09,17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Competitor pricing varies by geography</w:t>
            </w:r>
          </w:p>
        </w:tc>
      </w:tr>
    </w:tbl>
    <w:p>
      <w:pPr>
        <w:spacing w:before="80" w:after="40"/>
      </w:pPr>
      <w:r>
        <w:rPr>
          <w:rFonts w:ascii="Arial" w:cs="Arial" w:eastAsia="Arial" w:hAnsi="Arial"/>
          <w:color w:val="666666"/>
          <w:sz w:val="16"/>
          <w:szCs w:val="16"/>
        </w:rPr>
        <w:t xml:space="preserve">11 fields total: </w:t>
      </w:r>
      <w:r>
        <w:rPr>
          <w:rFonts w:ascii="Arial" w:cs="Arial" w:eastAsia="Arial" w:hAnsi="Arial"/>
          <w:b/>
          <w:bCs/>
          <w:color w:val="1B5E20"/>
          <w:sz w:val="16"/>
          <w:szCs w:val="16"/>
        </w:rPr>
        <w:t xml:space="preserve">5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3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3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10 of 12</w:t>
      </w:r>
    </w:p>
    <w:p>
      <w:pPr>
        <w:spacing w:after="120"/>
      </w:pPr>
      <w:r>
        <w:rPr>
          <w:rFonts w:ascii="Arial" w:cs="Arial" w:eastAsia="Arial" w:hAnsi="Arial"/>
          <w:b/>
          <w:bCs/>
          <w:color w:val="1A1A2E"/>
          <w:sz w:val="30"/>
          <w:szCs w:val="30"/>
        </w:rPr>
        <w:t xml:space="preserve">Promotion Table</w:t>
      </w:r>
    </w:p>
    <w:p>
      <w:pPr>
        <w:spacing w:before="60" w:after="60"/>
      </w:pPr>
      <w:r>
        <w:rPr>
          <w:rFonts w:ascii="Arial" w:cs="Arial" w:eastAsia="Arial" w:hAnsi="Arial"/>
          <w:color w:val="1A1A2E"/>
          <w:sz w:val="18"/>
          <w:szCs w:val="18"/>
        </w:rPr>
        <w:t xml:space="preserve">One row per promotion event. Powers promotion effectiveness and ROI analysis. For B2B, redefine as end-of-quarter/year-end discounting events or campaign-driven pricing actions.</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Marketing/trade promotion system, ERP promotional pricing module, or reconstructed from transaction data by identifying systematic temporary price reductions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Primary key for the promotion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product_sku</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Promoted product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May be multiple products per promotion; one row per product-promotion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promotion_type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Price discount, BOGO, bundle, rebate, trial, etc.</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type-level ROI comparison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promotion_start_date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Start of promotional period</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promotion_end_date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End of promotional period</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promotional_price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Price during promotion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Or discount amount/percentage from regular price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regular_price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Standard price outside promotion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margin dilution calculation on baseline volume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promotional_cost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Cost to run the promotion (marketing, displays, slotting)</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full ROI calculation</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target_segment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Intended audience for the promotion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targeted vs. blanket promotion effectiveness comparison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promotion_channel</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Channel where promotion ran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13,15</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channel-specific promo analysis</w:t>
            </w:r>
          </w:p>
        </w:tc>
      </w:tr>
    </w:tbl>
    <w:p>
      <w:pPr>
        <w:spacing w:before="80" w:after="40"/>
      </w:pPr>
      <w:r>
        <w:rPr>
          <w:rFonts w:ascii="Arial" w:cs="Arial" w:eastAsia="Arial" w:hAnsi="Arial"/>
          <w:color w:val="666666"/>
          <w:sz w:val="16"/>
          <w:szCs w:val="16"/>
        </w:rPr>
        <w:t xml:space="preserve">10 fields total: </w:t>
      </w:r>
      <w:r>
        <w:rPr>
          <w:rFonts w:ascii="Arial" w:cs="Arial" w:eastAsia="Arial" w:hAnsi="Arial"/>
          <w:b/>
          <w:bCs/>
          <w:color w:val="1B5E20"/>
          <w:sz w:val="16"/>
          <w:szCs w:val="16"/>
        </w:rPr>
        <w:t xml:space="preserve">7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1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2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11 of 12</w:t>
      </w:r>
    </w:p>
    <w:p>
      <w:pPr>
        <w:spacing w:after="120"/>
      </w:pPr>
      <w:r>
        <w:rPr>
          <w:rFonts w:ascii="Arial" w:cs="Arial" w:eastAsia="Arial" w:hAnsi="Arial"/>
          <w:b/>
          <w:bCs/>
          <w:color w:val="1A1A2E"/>
          <w:sz w:val="30"/>
          <w:szCs w:val="30"/>
        </w:rPr>
        <w:t xml:space="preserve">Subscription / Plan Table (SaaS / Subscription Businesses)</w:t>
      </w:r>
    </w:p>
    <w:p>
      <w:pPr>
        <w:spacing w:before="60" w:after="60"/>
      </w:pPr>
      <w:r>
        <w:rPr>
          <w:rFonts w:ascii="Arial" w:cs="Arial" w:eastAsia="Arial" w:hAnsi="Arial"/>
          <w:color w:val="1A1A2E"/>
          <w:sz w:val="18"/>
          <w:szCs w:val="18"/>
        </w:rPr>
        <w:t xml:space="preserve">One row per customer-plan assignment. Replaces or supplements Transaction data for subscription businesses. Powers packaging, tier utilization, and churn analysis.</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Billing system (Stripe, Chargebee, Recurly, Zuora), product analytics for usage (Mixpanel, Amplitude, Pendo), or internal subscription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customer_id</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Foreign key to Customer dimension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plan_tier</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Current plan name or tier (Free, Starter, Pro, Enterprise)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plan_price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Monthly or annual price of current plan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Normalize to monthly for comparison across billing cycles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billing_cycle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Monthly, Annual, or Custom</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Annual plans often have implicit discount vs. monthly</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plan_start_date</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When customer started this plan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cohort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feature_usage_matrix</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JSON/ARRAY</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Usage of each feature (binary or count)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product analytics. The most valuable packaging optimization input</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usage_volume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Consumption on primary value metric (seats, API calls, storage)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utilization rate and tier boundary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tier_limit</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Plan-included limit on the primary value metric</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calculating utilization rate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add_on_purchases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STRING/JSON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Additional purchases beyond base plan</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add-on attach rate and willingness-to-pay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churn_flag</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BOOLEAN</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Whether customer churned in analysis period</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Define churn consistently: cancellation, non-renewal, or no activity in N months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churn_date</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Date of churn event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churn_reason</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Coded reason: Price, Competitor, Product, Support, Fit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Quality varies enormously. Triangulate with behavioral signals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price_change_at_renewal</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BOOLEAN</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Whether a price increase was proposed at last renewal</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price-increase-to-churn correlation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price_increase_pct</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Size of increase if applicable</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churn rate by increase band analysis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nps_score</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INTEGER</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Last NPS or CSAT score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separating price-driven from satisfaction-driven churn</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usage_trend_3m</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STRING</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Growing, Stable, Declining over last 3 months</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Declining usage + price churn = misattribution signal</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upgrade_history</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JSON/TEXT</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Record of plan changes over time</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14</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understanding upgrade/downgrade triggers</w:t>
            </w:r>
          </w:p>
        </w:tc>
      </w:tr>
    </w:tbl>
    <w:p>
      <w:pPr>
        <w:spacing w:before="80" w:after="40"/>
      </w:pPr>
      <w:r>
        <w:rPr>
          <w:rFonts w:ascii="Arial" w:cs="Arial" w:eastAsia="Arial" w:hAnsi="Arial"/>
          <w:color w:val="666666"/>
          <w:sz w:val="16"/>
          <w:szCs w:val="16"/>
        </w:rPr>
        <w:t xml:space="preserve">17 fields total: </w:t>
      </w:r>
      <w:r>
        <w:rPr>
          <w:rFonts w:ascii="Arial" w:cs="Arial" w:eastAsia="Arial" w:hAnsi="Arial"/>
          <w:b/>
          <w:bCs/>
          <w:color w:val="1B5E20"/>
          <w:sz w:val="16"/>
          <w:szCs w:val="16"/>
        </w:rPr>
        <w:t xml:space="preserve">6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7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4 Nice-to-Have</w:t>
      </w:r>
    </w:p>
    <w:p>
      <w:r>
        <w:br w:type="page"/>
      </w:r>
    </w:p>
    <w:p>
      <w:pPr>
        <w:pBdr>
          <w:bottom w:val="single" w:color="0D7377" w:sz="8" w:space="4"/>
        </w:pBdr>
        <w:spacing w:before="0" w:after="120"/>
      </w:pPr>
      <w:r>
        <w:rPr>
          <w:rFonts w:ascii="Arial" w:cs="Arial" w:eastAsia="Arial" w:hAnsi="Arial"/>
          <w:b/>
          <w:bCs/>
          <w:color w:val="E87722"/>
          <w:sz w:val="18"/>
          <w:szCs w:val="18"/>
        </w:rPr>
        <w:t xml:space="preserve">Table 12 of 12</w:t>
      </w:r>
    </w:p>
    <w:p>
      <w:pPr>
        <w:spacing w:after="120"/>
      </w:pPr>
      <w:r>
        <w:rPr>
          <w:rFonts w:ascii="Arial" w:cs="Arial" w:eastAsia="Arial" w:hAnsi="Arial"/>
          <w:b/>
          <w:bCs/>
          <w:color w:val="1A1A2E"/>
          <w:sz w:val="30"/>
          <w:szCs w:val="30"/>
        </w:rPr>
        <w:t xml:space="preserve">Reference / Lookup Tables</w:t>
      </w:r>
    </w:p>
    <w:p>
      <w:pPr>
        <w:spacing w:before="60" w:after="60"/>
      </w:pPr>
      <w:r>
        <w:rPr>
          <w:rFonts w:ascii="Arial" w:cs="Arial" w:eastAsia="Arial" w:hAnsi="Arial"/>
          <w:color w:val="1A1A2E"/>
          <w:sz w:val="18"/>
          <w:szCs w:val="18"/>
        </w:rPr>
        <w:t xml:space="preserve">Supporting dimension tables that enrich the core fact and dimension tables. These are typically small, manually maintained tables that provide normalization factors, thresholds, and policy parameters.</w:t>
      </w:r>
    </w:p>
    <w:p>
      <w:pPr>
        <w:shd w:fill="E8F4F4" w:val="clear"/>
        <w:spacing w:before="80" w:after="120"/>
      </w:pPr>
      <w:r>
        <w:rPr>
          <w:rFonts w:ascii="Arial" w:cs="Arial" w:eastAsia="Arial" w:hAnsi="Arial"/>
          <w:b/>
          <w:bCs/>
          <w:color w:val="0D7377"/>
          <w:sz w:val="17"/>
          <w:szCs w:val="17"/>
        </w:rPr>
        <w:t xml:space="preserve">Source Systems: </w:t>
      </w:r>
      <w:r>
        <w:rPr>
          <w:rFonts w:ascii="Arial" w:cs="Arial" w:eastAsia="Arial" w:hAnsi="Arial"/>
          <w:color w:val="1A1A2E"/>
          <w:sz w:val="17"/>
          <w:szCs w:val="17"/>
        </w:rPr>
        <w:t xml:space="preserve">Internal documentation, finance team, pricing team, publicly available economic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2400"/>
        <w:gridCol w:w="1700"/>
        <w:gridCol w:w="2060"/>
      </w:tblGrid>
      <w:tr>
        <w:tc>
          <w:tcPr>
            <w:tcW w:type="dxa" w:w="1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 Name</w:t>
            </w:r>
          </w:p>
        </w:tc>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Priority</w:t>
            </w:r>
          </w:p>
        </w:tc>
        <w:tc>
          <w:tcPr>
            <w:tcW w:type="dxa" w:w="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7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Used By</w:t>
            </w:r>
          </w:p>
        </w:tc>
        <w:tc>
          <w:tcPr>
            <w:tcW w:type="dxa" w:w="20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Implementation Notes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inflation_index</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CPI or PPI by month for real price trend analysis</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10</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Source: BLS (US), ONS (UK), Eurostat (EU). Match to relevant industry PPI if available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exchange_rates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Monthly average FX rates for multi-currency normalization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17</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Source: central bank rates or ERP FX module</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discount_authority_matrix</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TABLE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Discount thresholds by approval level and segment</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07</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sales policy documentation. Map: rep authority, manager authority, VP authority by deal size</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cost_of_capital</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WACC or hurdle rate for payment terms cost calculation</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04,08</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finance team. Typically 6-12% for mid-market companies</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product_hierarchy</w:t>
            </w:r>
          </w:p>
        </w:tc>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center"/>
            </w:pPr>
            <w:r>
              <w:rPr>
                <w:rFonts w:ascii="Arial" w:cs="Arial" w:eastAsia="Arial" w:hAnsi="Arial"/>
                <w:b/>
                <w:bCs/>
                <w:color w:val="1B5E20"/>
                <w:sz w:val="15"/>
                <w:szCs w:val="15"/>
              </w:rPr>
              <w:t xml:space="preserve">Required</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TABLE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SKU to Family to Category to Division mapping</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03,11,13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aggregation at multiple levels of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customer_segment_rules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TABLE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Rules or thresholds for segment assignment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02,04,12</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Document the segmentation logic for reproducibility</w:t>
            </w:r>
          </w:p>
        </w:tc>
      </w:tr>
      <w:tr>
        <w:tc>
          <w:tcPr>
            <w:tcW w:type="dxa" w:w="1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seasonal_indices</w:t>
            </w:r>
          </w:p>
        </w:tc>
        <w:tc>
          <w:tcPr>
            <w:tcW w:type="dxa" w:w="1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bCs/>
                <w:color w:val="616161"/>
                <w:sz w:val="15"/>
                <w:szCs w:val="15"/>
              </w:rPr>
              <w:t xml:space="preserve">Nice-to-Have</w:t>
            </w:r>
          </w:p>
        </w:tc>
        <w:tc>
          <w:tcPr>
            <w:tcW w:type="dxa" w:w="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NUMERIC</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Monthly seasonality factors by product category</w:t>
            </w:r>
          </w:p>
        </w:tc>
        <w:tc>
          <w:tcPr>
            <w:tcW w:type="dxa" w:w="17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06,13</w:t>
            </w:r>
          </w:p>
        </w:tc>
        <w:tc>
          <w:tcPr>
            <w:tcW w:type="dxa" w:w="20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For controlling for seasonality in elasticity and promotion analysis</w:t>
            </w:r>
          </w:p>
        </w:tc>
      </w:tr>
      <w:tr>
        <w:tc>
          <w:tcPr>
            <w:tcW w:type="dxa" w:w="1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5"/>
                <w:szCs w:val="15"/>
              </w:rPr>
              <w:t xml:space="preserve">target_margins</w:t>
            </w:r>
          </w:p>
        </w:tc>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jc w:val="center"/>
            </w:pPr>
            <w:r>
              <w:rPr>
                <w:rFonts w:ascii="Arial" w:cs="Arial" w:eastAsia="Arial" w:hAnsi="Arial"/>
                <w:b/>
                <w:bCs/>
                <w:color w:val="E65100"/>
                <w:sz w:val="15"/>
                <w:szCs w:val="15"/>
              </w:rPr>
              <w:t xml:space="preserve">Recommended</w:t>
            </w:r>
          </w:p>
        </w:tc>
        <w:tc>
          <w:tcPr>
            <w:tcW w:type="dxa" w:w="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center"/>
            </w:pPr>
            <w:r>
              <w:rPr>
                <w:rFonts w:ascii="Arial" w:cs="Arial" w:eastAsia="Arial" w:hAnsi="Arial"/>
                <w:b w:val="false"/>
                <w:bCs w:val="false"/>
                <w:color w:val="1A1A2E"/>
                <w:sz w:val="14"/>
                <w:szCs w:val="14"/>
              </w:rPr>
              <w:t xml:space="preserve">TABLE</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5"/>
                <w:szCs w:val="15"/>
              </w:rPr>
              <w:t xml:space="preserve">Target margin by product family or customer segment</w:t>
            </w:r>
          </w:p>
        </w:tc>
        <w:tc>
          <w:tcPr>
            <w:tcW w:type="dxa" w:w="17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04,11,20</w:t>
            </w:r>
          </w:p>
        </w:tc>
        <w:tc>
          <w:tcPr>
            <w:tcW w:type="dxa" w:w="20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4"/>
                <w:szCs w:val="14"/>
              </w:rPr>
              <w:t xml:space="preserve">From finance or pricing team. For benchmarking actual vs. target</w:t>
            </w:r>
          </w:p>
        </w:tc>
      </w:tr>
    </w:tbl>
    <w:p>
      <w:pPr>
        <w:spacing w:before="80" w:after="40"/>
      </w:pPr>
      <w:r>
        <w:rPr>
          <w:rFonts w:ascii="Arial" w:cs="Arial" w:eastAsia="Arial" w:hAnsi="Arial"/>
          <w:color w:val="666666"/>
          <w:sz w:val="16"/>
          <w:szCs w:val="16"/>
        </w:rPr>
        <w:t xml:space="preserve">8 fields total: </w:t>
      </w:r>
      <w:r>
        <w:rPr>
          <w:rFonts w:ascii="Arial" w:cs="Arial" w:eastAsia="Arial" w:hAnsi="Arial"/>
          <w:b/>
          <w:bCs/>
          <w:color w:val="1B5E20"/>
          <w:sz w:val="16"/>
          <w:szCs w:val="16"/>
        </w:rPr>
        <w:t xml:space="preserve">1 Required</w:t>
      </w:r>
      <w:r>
        <w:rPr>
          <w:rFonts w:ascii="Arial" w:cs="Arial" w:eastAsia="Arial" w:hAnsi="Arial"/>
          <w:color w:val="666666"/>
          <w:sz w:val="16"/>
          <w:szCs w:val="16"/>
        </w:rPr>
        <w:t xml:space="preserve"> · </w:t>
      </w:r>
      <w:r>
        <w:rPr>
          <w:rFonts w:ascii="Arial" w:cs="Arial" w:eastAsia="Arial" w:hAnsi="Arial"/>
          <w:b/>
          <w:bCs/>
          <w:color w:val="E65100"/>
          <w:sz w:val="16"/>
          <w:szCs w:val="16"/>
        </w:rPr>
        <w:t xml:space="preserve">6 Recommended</w:t>
      </w:r>
      <w:r>
        <w:rPr>
          <w:rFonts w:ascii="Arial" w:cs="Arial" w:eastAsia="Arial" w:hAnsi="Arial"/>
          <w:color w:val="666666"/>
          <w:sz w:val="16"/>
          <w:szCs w:val="16"/>
        </w:rPr>
        <w:t xml:space="preserve"> · </w:t>
      </w:r>
      <w:r>
        <w:rPr>
          <w:rFonts w:ascii="Arial" w:cs="Arial" w:eastAsia="Arial" w:hAnsi="Arial"/>
          <w:b/>
          <w:bCs/>
          <w:color w:val="616161"/>
          <w:sz w:val="16"/>
          <w:szCs w:val="16"/>
        </w:rPr>
        <w:t xml:space="preserve">1 Nice-to-Have</w:t>
      </w:r>
    </w:p>
    <w:p>
      <w:r>
        <w:br w:type="page"/>
      </w:r>
    </w:p>
    <w:p>
      <w:pPr>
        <w:spacing w:before="360" w:after="120"/>
      </w:pPr>
      <w:r>
        <w:rPr>
          <w:rFonts w:ascii="Arial" w:cs="Arial" w:eastAsia="Arial" w:hAnsi="Arial"/>
          <w:b/>
          <w:bCs/>
          <w:color w:val="0D7377"/>
          <w:sz w:val="24"/>
          <w:szCs w:val="24"/>
        </w:rPr>
        <w:t xml:space="preserve">Data Quality Framework</w:t>
      </w:r>
    </w:p>
    <w:p>
      <w:pPr>
        <w:spacing w:before="60" w:after="60"/>
      </w:pPr>
      <w:r>
        <w:rPr>
          <w:rFonts w:ascii="Arial" w:cs="Arial" w:eastAsia="Arial" w:hAnsi="Arial"/>
          <w:color w:val="1A1A2E"/>
          <w:sz w:val="18"/>
          <w:szCs w:val="18"/>
        </w:rPr>
        <w:t xml:space="preserve">Every data onboarding should run automated quality checks before any analysis begins. These checks catch the most common data issues that would invalidate downstream results. Build these as a reusable validation module that runs on any client dataset mapped to the canonical schema.</w:t>
      </w:r>
    </w:p>
    <w:p>
      <w:pPr>
        <w:spacing w:before="240" w:after="80"/>
      </w:pPr>
      <w:r>
        <w:rPr>
          <w:rFonts w:ascii="Arial" w:cs="Arial" w:eastAsia="Arial" w:hAnsi="Arial"/>
          <w:b/>
          <w:bCs/>
          <w:color w:val="1A1A2E"/>
          <w:sz w:val="20"/>
          <w:szCs w:val="20"/>
        </w:rPr>
        <w:t xml:space="preserve">Automated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Check Category</w:t>
            </w:r>
          </w:p>
        </w:tc>
        <w:tc>
          <w:tcPr>
            <w:tcW w:type="dxa" w:w="36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Specific Validations</w:t>
            </w:r>
          </w:p>
        </w:tc>
        <w:tc>
          <w:tcPr>
            <w:tcW w:type="dxa" w:w="33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Action if Failed</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Completeness</w:t>
            </w:r>
          </w:p>
        </w:tc>
        <w:tc>
          <w:tcPr>
            <w:tcW w:type="dxa" w:w="36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 null for each Required field. Flag if &gt;5% null. Alert if &gt;20% null. Count distinct values for key dimensions (customers, products, reps)</w:t>
            </w:r>
          </w:p>
        </w:tc>
        <w:tc>
          <w:tcPr>
            <w:tcW w:type="dxa" w:w="3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Block analysis if Required field &gt;20% null. Investigate source. For 5-20%, proceed with documented exclusion of null records</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Referential Integrity</w:t>
            </w:r>
          </w:p>
        </w:tc>
        <w:tc>
          <w:tcPr>
            <w:tcW w:type="dxa" w:w="36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All customer_id in transactions exist in Customer dimension. All product_sku exist in Product dimension. All sales_rep_id exist in Rep dimension. Orphan rate for each FK</w:t>
            </w:r>
          </w:p>
        </w:tc>
        <w:tc>
          <w:tcPr>
            <w:tcW w:type="dxa" w:w="3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Orphan rate &lt;2%: proceed, log orphans. 2-10%: investigate mapping gaps. &gt;10%: data integration issue, resolve before analysis</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Consistency</w:t>
            </w:r>
          </w:p>
        </w:tc>
        <w:tc>
          <w:tcPr>
            <w:tcW w:type="dxa" w:w="36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Revenue = Quantity x Invoice Price (within 1% tolerance). List Price &gt;= Invoice Price (flag reversals). Discount % between 0-100%. Transaction dates within expected range (no future dates, no dates &gt;3 years old unless intentional)</w:t>
            </w:r>
          </w:p>
        </w:tc>
        <w:tc>
          <w:tcPr>
            <w:tcW w:type="dxa" w:w="3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Revenue consistency failures &gt;5%: likely UOM or currency mismatch. Price reversals: investigate negative discounts or credit memos miscoded as sales</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Uniqueness</w:t>
            </w:r>
          </w:p>
        </w:tc>
        <w:tc>
          <w:tcPr>
            <w:tcW w:type="dxa" w:w="36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Transaction_id is unique (no duplicate rows). Customer_id is unique in Customer dimension. Product_sku is unique in Product dimension. Check for near-duplicates in customer names</w:t>
            </w:r>
          </w:p>
        </w:tc>
        <w:tc>
          <w:tcPr>
            <w:tcW w:type="dxa" w:w="3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Duplicate transactions: de-duplicate before loading. Duplicate customers: merge and choose canonical ID. Near-duplicates: present to client for resolution</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Outlier Detection</w:t>
            </w:r>
          </w:p>
        </w:tc>
        <w:tc>
          <w:tcPr>
            <w:tcW w:type="dxa" w:w="36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Transactions with price &gt;5x or &lt;0.2x the SKU median. Quantities &gt;10x the SKU median. Single transactions &gt;5% of total revenue. Negative quantities or prices</w:t>
            </w:r>
          </w:p>
        </w:tc>
        <w:tc>
          <w:tcPr>
            <w:tcW w:type="dxa" w:w="3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Flag but do not auto-remove. Present outliers to client for classification: valid (large order) or data error. Exclude confirmed errors, include valid outliers with notation</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Temporal Coverage</w:t>
            </w:r>
          </w:p>
        </w:tc>
        <w:tc>
          <w:tcPr>
            <w:tcW w:type="dxa" w:w="36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Transactions per month: detect gaps or drop-offs. Revenue by month: flag months with &lt;50% of average (potential missing data). Ensure at least 24 months for trend analysis, 12 months minimum</w:t>
            </w:r>
          </w:p>
        </w:tc>
        <w:tc>
          <w:tcPr>
            <w:tcW w:type="dxa" w:w="3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Gaps &lt;1 month: interpolate or note. Gaps &gt;1 month: investigate with client. &lt;12 months total: flag limited trend reliability. &lt;6 months: elasticity analysis unreliable</w:t>
            </w:r>
          </w:p>
        </w:tc>
      </w:tr>
      <w:tr>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Distribution Profiling</w:t>
            </w:r>
          </w:p>
        </w:tc>
        <w:tc>
          <w:tcPr>
            <w:tcW w:type="dxa" w:w="36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For each numeric field: min, max, mean, median, P10, P25, P75, P90, std dev. For each categorical field: distinct count, top 10 values by frequency, % in each category. Revenue concentration: top 10 customers as % of total, top 10 products as % of total</w:t>
            </w:r>
          </w:p>
        </w:tc>
        <w:tc>
          <w:tcPr>
            <w:tcW w:type="dxa" w:w="3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Generate data profile report as first deliverable. Share with client for sanity check before running analyses. This catches misunderstandings about field definitions early</w:t>
            </w:r>
          </w:p>
        </w:tc>
      </w:tr>
    </w:tbl>
    <w:p>
      <w:r>
        <w:br w:type="page"/>
      </w:r>
    </w:p>
    <w:p>
      <w:pPr>
        <w:spacing w:before="360" w:after="120"/>
      </w:pPr>
      <w:r>
        <w:rPr>
          <w:rFonts w:ascii="Arial" w:cs="Arial" w:eastAsia="Arial" w:hAnsi="Arial"/>
          <w:b/>
          <w:bCs/>
          <w:color w:val="0D7377"/>
          <w:sz w:val="24"/>
          <w:szCs w:val="24"/>
        </w:rPr>
        <w:t xml:space="preserve">LLM-Powered Column Mapping Specification</w:t>
      </w:r>
    </w:p>
    <w:p>
      <w:pPr>
        <w:spacing w:before="60" w:after="60"/>
      </w:pPr>
      <w:r>
        <w:rPr>
          <w:rFonts w:ascii="Arial" w:cs="Arial" w:eastAsia="Arial" w:hAnsi="Arial"/>
          <w:color w:val="1A1A2E"/>
          <w:sz w:val="18"/>
          <w:szCs w:val="18"/>
        </w:rPr>
        <w:t xml:space="preserve">The intake pipeline uses an LLM (Claude API) to suggest mappings from raw client data files to the canonical schema. This section specifies how the mapping agent should work, including the prompt template, confidence scoring, and human-in-the-loop confirmation flow.</w:t>
      </w:r>
    </w:p>
    <w:p>
      <w:pPr>
        <w:spacing w:before="240" w:after="80"/>
      </w:pPr>
      <w:r>
        <w:rPr>
          <w:rFonts w:ascii="Arial" w:cs="Arial" w:eastAsia="Arial" w:hAnsi="Arial"/>
          <w:b/>
          <w:bCs/>
          <w:color w:val="1A1A2E"/>
          <w:sz w:val="20"/>
          <w:szCs w:val="20"/>
        </w:rPr>
        <w:t xml:space="preserve">Mapping Agent Workflow</w:t>
      </w:r>
    </w:p>
    <w:p>
      <w:pPr>
        <w:pStyle w:val="ListParagraph"/>
        <w:numPr>
          <w:ilvl w:val="0"/>
          <w:numId w:val="2"/>
        </w:numPr>
        <w:spacing w:before="30" w:after="30"/>
      </w:pPr>
      <w:r>
        <w:rPr>
          <w:rFonts w:ascii="Arial" w:cs="Arial" w:eastAsia="Arial" w:hAnsi="Arial"/>
          <w:color w:val="1A1A2E"/>
          <w:sz w:val="18"/>
          <w:szCs w:val="18"/>
        </w:rPr>
        <w:t xml:space="preserve">1. Client uploads raw data files (CSV, Excel, SQL export) to the intake interface</w:t>
      </w:r>
    </w:p>
    <w:p>
      <w:pPr>
        <w:pStyle w:val="ListParagraph"/>
        <w:numPr>
          <w:ilvl w:val="0"/>
          <w:numId w:val="2"/>
        </w:numPr>
        <w:spacing w:before="30" w:after="30"/>
      </w:pPr>
      <w:r>
        <w:rPr>
          <w:rFonts w:ascii="Arial" w:cs="Arial" w:eastAsia="Arial" w:hAnsi="Arial"/>
          <w:color w:val="1A1A2E"/>
          <w:sz w:val="18"/>
          <w:szCs w:val="18"/>
        </w:rPr>
        <w:t xml:space="preserve">2. System extracts column headers and 10 sample rows from each file</w:t>
      </w:r>
    </w:p>
    <w:p>
      <w:pPr>
        <w:pStyle w:val="ListParagraph"/>
        <w:numPr>
          <w:ilvl w:val="0"/>
          <w:numId w:val="2"/>
        </w:numPr>
        <w:spacing w:before="30" w:after="30"/>
      </w:pPr>
      <w:r>
        <w:rPr>
          <w:rFonts w:ascii="Arial" w:cs="Arial" w:eastAsia="Arial" w:hAnsi="Arial"/>
          <w:color w:val="1A1A2E"/>
          <w:sz w:val="18"/>
          <w:szCs w:val="18"/>
        </w:rPr>
        <w:t xml:space="preserve">3. LLM receives: (a) canonical schema field definitions, (b) raw column headers + samples, (c) source system hint if provided</w:t>
      </w:r>
    </w:p>
    <w:p>
      <w:pPr>
        <w:pStyle w:val="ListParagraph"/>
        <w:numPr>
          <w:ilvl w:val="0"/>
          <w:numId w:val="2"/>
        </w:numPr>
        <w:spacing w:before="30" w:after="30"/>
      </w:pPr>
      <w:r>
        <w:rPr>
          <w:rFonts w:ascii="Arial" w:cs="Arial" w:eastAsia="Arial" w:hAnsi="Arial"/>
          <w:color w:val="1A1A2E"/>
          <w:sz w:val="18"/>
          <w:szCs w:val="18"/>
        </w:rPr>
        <w:t xml:space="preserve">4. LLM returns: suggested mapping of each raw column to canonical field, confidence score (High/Medium/Low), and reasoning</w:t>
      </w:r>
    </w:p>
    <w:p>
      <w:pPr>
        <w:pStyle w:val="ListParagraph"/>
        <w:numPr>
          <w:ilvl w:val="0"/>
          <w:numId w:val="2"/>
        </w:numPr>
        <w:spacing w:before="30" w:after="30"/>
      </w:pPr>
      <w:r>
        <w:rPr>
          <w:rFonts w:ascii="Arial" w:cs="Arial" w:eastAsia="Arial" w:hAnsi="Arial"/>
          <w:color w:val="1A1A2E"/>
          <w:sz w:val="18"/>
          <w:szCs w:val="18"/>
        </w:rPr>
        <w:t xml:space="preserve">5. Human reviewer confirms or corrects each mapping via UI. Corrections are stored as training examples for future clients on the same source system</w:t>
      </w:r>
    </w:p>
    <w:p>
      <w:pPr>
        <w:pStyle w:val="ListParagraph"/>
        <w:numPr>
          <w:ilvl w:val="0"/>
          <w:numId w:val="2"/>
        </w:numPr>
        <w:spacing w:before="30" w:after="30"/>
      </w:pPr>
      <w:r>
        <w:rPr>
          <w:rFonts w:ascii="Arial" w:cs="Arial" w:eastAsia="Arial" w:hAnsi="Arial"/>
          <w:color w:val="1A1A2E"/>
          <w:sz w:val="18"/>
          <w:szCs w:val="18"/>
        </w:rPr>
        <w:t xml:space="preserve">6. Confirmed mappings generate a transformation config (JSON) that the ETL pipeline reads</w:t>
      </w:r>
    </w:p>
    <w:p>
      <w:pPr>
        <w:pStyle w:val="ListParagraph"/>
        <w:numPr>
          <w:ilvl w:val="0"/>
          <w:numId w:val="2"/>
        </w:numPr>
        <w:spacing w:before="30" w:after="30"/>
      </w:pPr>
      <w:r>
        <w:rPr>
          <w:rFonts w:ascii="Arial" w:cs="Arial" w:eastAsia="Arial" w:hAnsi="Arial"/>
          <w:color w:val="1A1A2E"/>
          <w:sz w:val="18"/>
          <w:szCs w:val="18"/>
        </w:rPr>
        <w:t xml:space="preserve">7. ETL pipeline transforms raw data to canonical schema, runs validation checks, and loads to analysis-ready tables</w:t>
      </w:r>
    </w:p>
    <w:p>
      <w:pPr>
        <w:spacing w:before="240" w:after="80"/>
      </w:pPr>
      <w:r>
        <w:rPr>
          <w:rFonts w:ascii="Arial" w:cs="Arial" w:eastAsia="Arial" w:hAnsi="Arial"/>
          <w:b/>
          <w:bCs/>
          <w:color w:val="1A1A2E"/>
          <w:sz w:val="20"/>
          <w:szCs w:val="20"/>
        </w:rPr>
        <w:t xml:space="preserve">Mapping Prompt Template</w:t>
      </w:r>
    </w:p>
    <w:p>
      <w:pPr>
        <w:shd w:fill="F5F5F5" w:val="clear"/>
        <w:spacing w:before="60" w:after="60"/>
      </w:pPr>
      <w:r>
        <w:rPr>
          <w:rFonts w:ascii="Arial" w:cs="Arial" w:eastAsia="Arial" w:hAnsi="Arial"/>
          <w:i/>
          <w:iCs/>
          <w:color w:val="1A1A2E"/>
          <w:sz w:val="16"/>
          <w:szCs w:val="16"/>
        </w:rPr>
        <w:t xml:space="preserve">You are a data mapping assistant for a pricing analytics pipeline. You will receive (1) a canonical data schema with field names, types, and descriptions, and (2) raw column headers with sample data from a client export. For each raw column, suggest the best matching canonical field. Return a JSON array with: raw_column, canonical_field (or 'UNMAPPED'), confidence ('High', 'Medium', 'Low'), and reasoning (one sentence). Rules: prefer exact name matches first, then semantic matches based on sample data patterns. Flag columns that could map to multiple canonical fields. Flag canonical Required fields that have no match in the raw data.</w:t>
      </w:r>
    </w:p>
    <w:p>
      <w:pPr>
        <w:spacing w:before="240" w:after="80"/>
      </w:pPr>
      <w:r>
        <w:rPr>
          <w:rFonts w:ascii="Arial" w:cs="Arial" w:eastAsia="Arial" w:hAnsi="Arial"/>
          <w:b/>
          <w:bCs/>
          <w:color w:val="1A1A2E"/>
          <w:sz w:val="20"/>
          <w:szCs w:val="20"/>
        </w:rPr>
        <w:t xml:space="preserve">Common Mapping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Challenge</w:t>
            </w:r>
          </w:p>
        </w:tc>
        <w:tc>
          <w:tcPr>
            <w:tcW w:type="dxa" w:w="6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Resolution Approach</w:t>
            </w:r>
          </w:p>
        </w:tc>
      </w:tr>
      <w:tr>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Multiple discount columns with unclear labels</w:t>
            </w:r>
          </w:p>
        </w:tc>
        <w:tc>
          <w:tcPr>
            <w:tcW w:type="dxa" w:w="6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LLM classifies each discount column by inspecting values, column position relative to list/invoice price, and naming patterns. Present classification to client for confirmation. Common patterns: columns closer to invoice price are on-invoice; columns with periodic or lump-sum values are off-invoice rebates</w:t>
            </w:r>
          </w:p>
        </w:tc>
      </w:tr>
      <w:tr>
        <w:tc>
          <w:tcPr>
            <w:tcW w:type="dxa" w:w="2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Combined fields that need splitting</w:t>
            </w:r>
          </w:p>
        </w:tc>
        <w:tc>
          <w:tcPr>
            <w:tcW w:type="dxa" w:w="6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Some ERPs combine list price adjustments into a single net_discount field. LLM flags these for manual decomposition. Client may need to re-export with component-level detail, or the pipeline applies heuristic allocation based on discount policy documentation</w:t>
            </w:r>
          </w:p>
        </w:tc>
      </w:tr>
      <w:tr>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Inconsistent customer IDs across systems</w:t>
            </w:r>
          </w:p>
        </w:tc>
        <w:tc>
          <w:tcPr>
            <w:tcW w:type="dxa" w:w="6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ERP customer number rarely matches CRM account ID. Build a crosswalk table: start with exact name match, then fuzzy match on name + address. Manual resolution for ambiguous matches. This is typically 4-8 hours of work per client</w:t>
            </w:r>
          </w:p>
        </w:tc>
      </w:tr>
      <w:tr>
        <w:tc>
          <w:tcPr>
            <w:tcW w:type="dxa" w:w="2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Missing Required fields</w:t>
            </w:r>
          </w:p>
        </w:tc>
        <w:tc>
          <w:tcPr>
            <w:tcW w:type="dxa" w:w="6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If a Required field cannot be mapped: (1) check if it can be derived (e.g., revenue = qty x price), (2) check if a proxy exists (e.g., invoice_price as proxy for pocket_price without off-invoice data), (3) if neither, document which analyses are blocked and request the data in Wave 2 or 3</w:t>
            </w:r>
          </w:p>
        </w:tc>
      </w:tr>
      <w:tr>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Unit of measure inconsistency</w:t>
            </w:r>
          </w:p>
        </w:tc>
        <w:tc>
          <w:tcPr>
            <w:tcW w:type="dxa" w:w="6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Products sold in different UOMs across transactions (each, case, pallet, kg). LLM detects this from quantity distributions. Build a UOM conversion table per SKU and normalize all quantities and per-unit prices to a standard UOM before analysis</w:t>
            </w:r>
          </w:p>
        </w:tc>
      </w:tr>
      <w:tr>
        <w:tc>
          <w:tcPr>
            <w:tcW w:type="dxa" w:w="2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Historical vs. current prices</w:t>
            </w:r>
          </w:p>
        </w:tc>
        <w:tc>
          <w:tcPr>
            <w:tcW w:type="dxa" w:w="6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Some exports include only current list prices, not the list price at time of transaction. LLM flags if all list prices for a SKU are identical (likely current-only). Request price history table or reconstruct from pricing action memos and effective dates</w:t>
            </w:r>
          </w:p>
        </w:tc>
      </w:tr>
    </w:tbl>
    <w:p>
      <w:r>
        <w:br w:type="page"/>
      </w:r>
    </w:p>
    <w:p>
      <w:pPr>
        <w:spacing w:before="360" w:after="120"/>
      </w:pPr>
      <w:r>
        <w:rPr>
          <w:rFonts w:ascii="Arial" w:cs="Arial" w:eastAsia="Arial" w:hAnsi="Arial"/>
          <w:b/>
          <w:bCs/>
          <w:color w:val="0D7377"/>
          <w:sz w:val="24"/>
          <w:szCs w:val="24"/>
        </w:rPr>
        <w:t xml:space="preserve">Minimum Viable Dataset</w:t>
      </w:r>
    </w:p>
    <w:p>
      <w:pPr>
        <w:spacing w:before="60" w:after="60"/>
      </w:pPr>
      <w:r>
        <w:rPr>
          <w:rFonts w:ascii="Arial" w:cs="Arial" w:eastAsia="Arial" w:hAnsi="Arial"/>
          <w:color w:val="1A1A2E"/>
          <w:sz w:val="18"/>
          <w:szCs w:val="18"/>
        </w:rPr>
        <w:t xml:space="preserve">Not every client can provide all fields immediately. This section defines the absolute minimum data needed to run a meaningful diagnostic, the analyses each minimum configuration unlocks, and what to do when common fields are missing.</w:t>
      </w:r>
    </w:p>
    <w:p>
      <w:pPr>
        <w:spacing w:before="240" w:after="80"/>
      </w:pPr>
      <w:r>
        <w:rPr>
          <w:rFonts w:ascii="Arial" w:cs="Arial" w:eastAsia="Arial" w:hAnsi="Arial"/>
          <w:b/>
          <w:bCs/>
          <w:color w:val="1A1A2E"/>
          <w:sz w:val="20"/>
          <w:szCs w:val="20"/>
        </w:rPr>
        <w:t xml:space="preserve">Bronze Tier: 7 Fields, 4 Analyses</w:t>
      </w:r>
    </w:p>
    <w:p>
      <w:pPr>
        <w:spacing w:before="60" w:after="60"/>
      </w:pPr>
      <w:r>
        <w:rPr>
          <w:rFonts w:ascii="Arial" w:cs="Arial" w:eastAsia="Arial" w:hAnsi="Arial"/>
          <w:color w:val="1A1A2E"/>
          <w:sz w:val="18"/>
          <w:szCs w:val="18"/>
        </w:rPr>
        <w:t xml:space="preserve">If a client can provide only one table with these seven fields, you can still run the four highest-impact analyses and produce a credible initial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Field</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Why Essential</w:t>
            </w:r>
          </w:p>
        </w:tc>
        <w:tc>
          <w:tcPr>
            <w:tcW w:type="dxa" w:w="47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What It Unlocks</w:t>
            </w:r>
          </w:p>
        </w:tc>
      </w:tr>
      <w:tr>
        <w:tc>
          <w:tcPr>
            <w:tcW w:type="dxa" w:w="22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transaction_id</w:t>
            </w:r>
          </w:p>
        </w:tc>
        <w:tc>
          <w:tcPr>
            <w:tcW w:type="dxa" w:w="24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Row identity</w:t>
            </w:r>
          </w:p>
        </w:tc>
        <w:tc>
          <w:tcPr>
            <w:tcW w:type="dxa" w:w="476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De-duplication and transaction-level analysis grain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customer_id</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 grouping</w:t>
            </w:r>
          </w:p>
        </w:tc>
        <w:tc>
          <w:tcPr>
            <w:tcW w:type="dxa" w:w="47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Customer-level price dispersion, rudimentary profitability ranking</w:t>
            </w:r>
          </w:p>
        </w:tc>
      </w:tr>
      <w:tr>
        <w:tc>
          <w:tcPr>
            <w:tcW w:type="dxa" w:w="22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product_sku</w:t>
            </w:r>
          </w:p>
        </w:tc>
        <w:tc>
          <w:tcPr>
            <w:tcW w:type="dxa" w:w="24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Product grouping</w:t>
            </w:r>
          </w:p>
        </w:tc>
        <w:tc>
          <w:tcPr>
            <w:tcW w:type="dxa" w:w="476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SKU-level price analysis, product Pareto</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transaction_date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Time dimension</w:t>
            </w:r>
          </w:p>
        </w:tc>
        <w:tc>
          <w:tcPr>
            <w:tcW w:type="dxa" w:w="47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Trend analysis, period-over-period comparison</w:t>
            </w:r>
          </w:p>
        </w:tc>
      </w:tr>
      <w:tr>
        <w:tc>
          <w:tcPr>
            <w:tcW w:type="dxa" w:w="22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quantity</w:t>
            </w:r>
          </w:p>
        </w:tc>
        <w:tc>
          <w:tcPr>
            <w:tcW w:type="dxa" w:w="24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Volume weighting</w:t>
            </w:r>
          </w:p>
        </w:tc>
        <w:tc>
          <w:tcPr>
            <w:tcW w:type="dxa" w:w="476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Revenue-weighted averages, volume-price decomposition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list_price</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Pricing baseline</w:t>
            </w:r>
          </w:p>
        </w:tc>
        <w:tc>
          <w:tcPr>
            <w:tcW w:type="dxa" w:w="47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Realization rate, discount depth calculation</w:t>
            </w:r>
          </w:p>
        </w:tc>
      </w:tr>
      <w:tr>
        <w:tc>
          <w:tcPr>
            <w:tcW w:type="dxa" w:w="22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bCs/>
                <w:color w:val="1A1A2E"/>
                <w:sz w:val="16"/>
                <w:szCs w:val="16"/>
              </w:rPr>
              <w:t xml:space="preserve">invoice_price (or revenue)</w:t>
            </w:r>
          </w:p>
        </w:tc>
        <w:tc>
          <w:tcPr>
            <w:tcW w:type="dxa" w:w="24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Realized price</w:t>
            </w:r>
          </w:p>
        </w:tc>
        <w:tc>
          <w:tcPr>
            <w:tcW w:type="dxa" w:w="476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jc w:val="left"/>
            </w:pPr>
            <w:r>
              <w:rPr>
                <w:rFonts w:ascii="Arial" w:cs="Arial" w:eastAsia="Arial" w:hAnsi="Arial"/>
                <w:b w:val="false"/>
                <w:bCs w:val="false"/>
                <w:color w:val="1A1A2E"/>
                <w:sz w:val="16"/>
                <w:szCs w:val="16"/>
              </w:rPr>
              <w:t xml:space="preserve">Price dispersion, partial waterfall (list-to-invoice only), realization trend</w:t>
            </w:r>
          </w:p>
        </w:tc>
      </w:tr>
    </w:tbl>
    <w:p>
      <w:pPr>
        <w:spacing w:before="60" w:after="60"/>
      </w:pPr>
      <w:r>
        <w:rPr>
          <w:rFonts w:ascii="Arial" w:cs="Arial" w:eastAsia="Arial" w:hAnsi="Arial"/>
          <w:color w:val="1A1A2E"/>
          <w:sz w:val="18"/>
          <w:szCs w:val="18"/>
        </w:rPr>
        <w:t xml:space="preserve">Bronze Tier unlocks: (1) Partial Pocket Price Waterfall (list-to-invoice layer only), (2) Transaction Price Distribution, (3) Price-Volume-Mix Decomposition, and (4) basic Product/SKU Profitability Pareto. These four analyses alone typically identify 60-70% of the total addressable opportunity.</w:t>
      </w:r>
    </w:p>
    <w:p>
      <w:pPr>
        <w:spacing w:before="240" w:after="80"/>
      </w:pPr>
      <w:r>
        <w:rPr>
          <w:rFonts w:ascii="Arial" w:cs="Arial" w:eastAsia="Arial" w:hAnsi="Arial"/>
          <w:b/>
          <w:bCs/>
          <w:color w:val="1A1A2E"/>
          <w:sz w:val="20"/>
          <w:szCs w:val="20"/>
        </w:rPr>
        <w:t xml:space="preserve">Silver Tier: Add 6 Fields, Unlock 5 More Analyses</w:t>
      </w:r>
    </w:p>
    <w:p>
      <w:pPr>
        <w:spacing w:before="60" w:after="60"/>
      </w:pPr>
      <w:r>
        <w:rPr>
          <w:rFonts w:ascii="Arial" w:cs="Arial" w:eastAsia="Arial" w:hAnsi="Arial"/>
          <w:color w:val="1A1A2E"/>
          <w:sz w:val="18"/>
          <w:szCs w:val="18"/>
        </w:rPr>
        <w:t xml:space="preserve">Adding COGS, customer_segment, sales_rep_id, sales_channel, discount components (volume_discount + rebate_amount), and a Deal/Opportunity table with deal_outcome and discount_pct unlocks: full Pocket Price Waterfall, Customer Profitability with margin, Win/Loss Discount Effectiveness, basic Sales Rep Behavior Analysis, and initial Segment WTP Mapping.</w:t>
      </w:r>
    </w:p>
    <w:p>
      <w:pPr>
        <w:spacing w:before="240" w:after="80"/>
      </w:pPr>
      <w:r>
        <w:rPr>
          <w:rFonts w:ascii="Arial" w:cs="Arial" w:eastAsia="Arial" w:hAnsi="Arial"/>
          <w:b/>
          <w:bCs/>
          <w:color w:val="1A1A2E"/>
          <w:sz w:val="20"/>
          <w:szCs w:val="20"/>
        </w:rPr>
        <w:t xml:space="preserve">Gold Tier: Full Schema, All 20 Analyses</w:t>
      </w:r>
    </w:p>
    <w:p>
      <w:pPr>
        <w:spacing w:before="60" w:after="60"/>
      </w:pPr>
      <w:r>
        <w:rPr>
          <w:rFonts w:ascii="Arial" w:cs="Arial" w:eastAsia="Arial" w:hAnsi="Arial"/>
          <w:color w:val="1A1A2E"/>
          <w:sz w:val="18"/>
          <w:szCs w:val="18"/>
        </w:rPr>
        <w:t xml:space="preserve">The complete canonical schema with all Required and Recommended fields across all entity tables. Contract data enables Terms Leakage. Competitive intel enables Benchmarking. Promotion data enables ROI analysis. Subscription data enables Packaging and Churn analysis. This is the target state for a full diagnostic engagement.</w:t>
      </w:r>
    </w:p>
    <w:p>
      <w:r>
        <w:br w:type="page"/>
      </w:r>
    </w:p>
    <w:p>
      <w:pPr>
        <w:spacing w:before="360" w:after="120"/>
      </w:pPr>
      <w:r>
        <w:rPr>
          <w:rFonts w:ascii="Arial" w:cs="Arial" w:eastAsia="Arial" w:hAnsi="Arial"/>
          <w:b/>
          <w:bCs/>
          <w:color w:val="0D7377"/>
          <w:sz w:val="24"/>
          <w:szCs w:val="24"/>
        </w:rPr>
        <w:t xml:space="preserve">Client Data Request Template</w:t>
      </w:r>
    </w:p>
    <w:p>
      <w:pPr>
        <w:spacing w:before="60" w:after="60"/>
      </w:pPr>
      <w:r>
        <w:rPr>
          <w:rFonts w:ascii="Arial" w:cs="Arial" w:eastAsia="Arial" w:hAnsi="Arial"/>
          <w:color w:val="1A1A2E"/>
          <w:sz w:val="18"/>
          <w:szCs w:val="18"/>
        </w:rPr>
        <w:t xml:space="preserve">Use this as the starting point for the data request document sent to each client. Customize based on their industry, business model, and available systems. The template is designed to be sent to a client IT or analytics team with minimal additional explanation needed.</w:t>
      </w:r>
    </w:p>
    <w:p>
      <w:pPr>
        <w:spacing w:before="240" w:after="80"/>
      </w:pPr>
      <w:r>
        <w:rPr>
          <w:rFonts w:ascii="Arial" w:cs="Arial" w:eastAsia="Arial" w:hAnsi="Arial"/>
          <w:b/>
          <w:bCs/>
          <w:color w:val="1A1A2E"/>
          <w:sz w:val="20"/>
          <w:szCs w:val="20"/>
        </w:rPr>
        <w:t xml:space="preserve">Request Structure</w:t>
      </w:r>
    </w:p>
    <w:p>
      <w:pPr>
        <w:pStyle w:val="ListParagraph"/>
        <w:numPr>
          <w:ilvl w:val="0"/>
          <w:numId w:val="3"/>
        </w:numPr>
        <w:spacing w:before="30" w:after="30"/>
      </w:pPr>
      <w:r>
        <w:rPr>
          <w:rFonts w:ascii="Arial" w:cs="Arial" w:eastAsia="Arial" w:hAnsi="Arial"/>
          <w:color w:val="1A1A2E"/>
          <w:sz w:val="18"/>
          <w:szCs w:val="18"/>
        </w:rPr>
        <w:t xml:space="preserve">Include a cover note explaining the purpose: we need transaction-level data to identify pricing improvement opportunities worth 3-5% margin uplift</w:t>
      </w:r>
    </w:p>
    <w:p>
      <w:pPr>
        <w:pStyle w:val="ListParagraph"/>
        <w:numPr>
          <w:ilvl w:val="0"/>
          <w:numId w:val="3"/>
        </w:numPr>
        <w:spacing w:before="30" w:after="30"/>
      </w:pPr>
      <w:r>
        <w:rPr>
          <w:rFonts w:ascii="Arial" w:cs="Arial" w:eastAsia="Arial" w:hAnsi="Arial"/>
          <w:color w:val="1A1A2E"/>
          <w:sz w:val="18"/>
          <w:szCs w:val="18"/>
        </w:rPr>
        <w:t xml:space="preserve">Specify the analysis period: minimum 12 months, ideally 24-36 months of transaction history</w:t>
      </w:r>
    </w:p>
    <w:p>
      <w:pPr>
        <w:pStyle w:val="ListParagraph"/>
        <w:numPr>
          <w:ilvl w:val="0"/>
          <w:numId w:val="3"/>
        </w:numPr>
        <w:spacing w:before="30" w:after="30"/>
      </w:pPr>
      <w:r>
        <w:rPr>
          <w:rFonts w:ascii="Arial" w:cs="Arial" w:eastAsia="Arial" w:hAnsi="Arial"/>
          <w:color w:val="1A1A2E"/>
          <w:sz w:val="18"/>
          <w:szCs w:val="18"/>
        </w:rPr>
        <w:t xml:space="preserve">List Required fields first with exact definitions and example values. Then Recommended fields. Omit Nice-to-Have from initial request to reduce friction</w:t>
      </w:r>
    </w:p>
    <w:p>
      <w:pPr>
        <w:pStyle w:val="ListParagraph"/>
        <w:numPr>
          <w:ilvl w:val="0"/>
          <w:numId w:val="3"/>
        </w:numPr>
        <w:spacing w:before="30" w:after="30"/>
      </w:pPr>
      <w:r>
        <w:rPr>
          <w:rFonts w:ascii="Arial" w:cs="Arial" w:eastAsia="Arial" w:hAnsi="Arial"/>
          <w:color w:val="1A1A2E"/>
          <w:sz w:val="18"/>
          <w:szCs w:val="18"/>
        </w:rPr>
        <w:t xml:space="preserve">Specify preferred format: CSV with headers, UTF-8 encoding, one file per table. Excel acceptable. Avoid PDF or aggregated reports</w:t>
      </w:r>
    </w:p>
    <w:p>
      <w:pPr>
        <w:pStyle w:val="ListParagraph"/>
        <w:numPr>
          <w:ilvl w:val="0"/>
          <w:numId w:val="3"/>
        </w:numPr>
        <w:spacing w:before="30" w:after="30"/>
      </w:pPr>
      <w:r>
        <w:rPr>
          <w:rFonts w:ascii="Arial" w:cs="Arial" w:eastAsia="Arial" w:hAnsi="Arial"/>
          <w:color w:val="1A1A2E"/>
          <w:sz w:val="18"/>
          <w:szCs w:val="18"/>
        </w:rPr>
        <w:t xml:space="preserve">Include a field mapping worksheet: your field name, our canonical name, data type, example value. Pre-fill where naming conventions are predictable from the known source system</w:t>
      </w:r>
    </w:p>
    <w:p>
      <w:pPr>
        <w:pStyle w:val="ListParagraph"/>
        <w:numPr>
          <w:ilvl w:val="0"/>
          <w:numId w:val="3"/>
        </w:numPr>
        <w:spacing w:before="30" w:after="30"/>
      </w:pPr>
      <w:r>
        <w:rPr>
          <w:rFonts w:ascii="Arial" w:cs="Arial" w:eastAsia="Arial" w:hAnsi="Arial"/>
          <w:color w:val="1A1A2E"/>
          <w:sz w:val="18"/>
          <w:szCs w:val="18"/>
        </w:rPr>
        <w:t xml:space="preserve">Request a data dictionary from the client for any fields they provide that are not self-explanatory</w:t>
      </w:r>
    </w:p>
    <w:p>
      <w:pPr>
        <w:pStyle w:val="ListParagraph"/>
        <w:numPr>
          <w:ilvl w:val="0"/>
          <w:numId w:val="3"/>
        </w:numPr>
        <w:spacing w:before="30" w:after="30"/>
      </w:pPr>
      <w:r>
        <w:rPr>
          <w:rFonts w:ascii="Arial" w:cs="Arial" w:eastAsia="Arial" w:hAnsi="Arial"/>
          <w:color w:val="1A1A2E"/>
          <w:sz w:val="18"/>
          <w:szCs w:val="18"/>
        </w:rPr>
        <w:t xml:space="preserve">Set clear deadline: Wave 1 data within 2 weeks of engagement kickoff. Wave 2 within 4 weeks. Wave 3 best-effort</w:t>
      </w:r>
    </w:p>
    <w:p>
      <w:pPr>
        <w:pStyle w:val="ListParagraph"/>
        <w:numPr>
          <w:ilvl w:val="0"/>
          <w:numId w:val="3"/>
        </w:numPr>
        <w:spacing w:before="30" w:after="30"/>
      </w:pPr>
      <w:r>
        <w:rPr>
          <w:rFonts w:ascii="Arial" w:cs="Arial" w:eastAsia="Arial" w:hAnsi="Arial"/>
          <w:color w:val="1A1A2E"/>
          <w:sz w:val="18"/>
          <w:szCs w:val="18"/>
        </w:rPr>
        <w:t xml:space="preserve">Offer a 30-minute call with their IT/analytics team to walk through the request and resolve questions before they start pulling data</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pPr>
    <w:r>
      <w:rPr>
        <w:rFonts w:ascii="Arial" w:cs="Arial" w:eastAsia="Arial" w:hAnsi="Arial"/>
        <w:color w:val="999999"/>
        <w:sz w:val="16"/>
        <w:szCs w:val="16"/>
      </w:rPr>
      <w:t xml:space="preserve">FintastIQ  |  Canonical Data Schema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2026-02-24T03:35:04.097Z</dcterms:created>
  <dcterms:modified xsi:type="dcterms:W3CDTF">2026-02-24T03:35:04.098Z</dcterms:modified>
</cp:coreProperties>
</file>

<file path=docProps/custom.xml><?xml version="1.0" encoding="utf-8"?>
<Properties xmlns="http://schemas.openxmlformats.org/officeDocument/2006/custom-properties" xmlns:vt="http://schemas.openxmlformats.org/officeDocument/2006/docPropsVTypes"/>
</file>