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85FA5"/>
          <w:sz w:val="72"/>
          <w:szCs w:val="72"/>
        </w:rPr>
        <w:t xml:space="preserve">CausalEdge™</w:t>
      </w:r>
    </w:p>
    <w:p>
      <w:pPr>
        <w:spacing w:after="120" w:before="0"/>
      </w:pPr>
      <w:r>
        <w:rPr>
          <w:rFonts w:ascii="Arial" w:cs="Arial" w:eastAsia="Arial" w:hAnsi="Arial"/>
          <w:color w:val="1A1A18"/>
          <w:sz w:val="40"/>
          <w:szCs w:val="40"/>
        </w:rPr>
        <w:t xml:space="preserve">Market Intelligence Terminal</w:t>
      </w:r>
    </w:p>
    <w:p>
      <w:pPr>
        <w:spacing w:after="80" w:before="0"/>
      </w:pPr>
      <w:r>
        <w:rPr>
          <w:rFonts w:ascii="Arial" w:cs="Arial" w:eastAsia="Arial" w:hAnsi="Arial"/>
          <w:color w:val="888780"/>
          <w:sz w:val="26"/>
          <w:szCs w:val="26"/>
        </w:rPr>
        <w:t xml:space="preserve">Build Report &amp; Project Documentation</w:t>
      </w:r>
    </w:p>
    <w:p>
      <w:pPr>
        <w:spacing w:after="480" w:before="0"/>
      </w:pPr>
      <w:r>
        <w:rPr>
          <w:rFonts w:ascii="Arial" w:cs="Arial" w:eastAsia="Arial" w:hAnsi="Arial"/>
          <w:color w:val="888780"/>
          <w:sz w:val="22"/>
          <w:szCs w:val="22"/>
        </w:rPr>
        <w:t xml:space="preserve">PyWhy · EconML · DoWhy · Claude AI · Chart.js</w:t>
      </w:r>
    </w:p>
    <w:p>
      <w:pPr>
        <w:spacing w:after="960" w:before="0"/>
      </w:pPr>
      <w:r>
        <w:rPr>
          <w:rFonts w:ascii="Arial" w:cs="Arial" w:eastAsia="Arial" w:hAnsi="Arial"/>
          <w:color w:val="888780"/>
          <w:sz w:val="22"/>
          <w:szCs w:val="22"/>
        </w:rPr>
        <w:t xml:space="preserve">April 2026</w:t>
      </w:r>
    </w:p>
    <w:p>
      <w:pPr>
        <w:pStyle w:val="Heading1"/>
        <w:pBdr>
          <w:bottom w:val="single" w:color="185FA5" w:sz="4" w:space="4"/>
        </w:pBdr>
        <w:spacing w:after="160" w:before="320"/>
      </w:pPr>
      <w:r>
        <w:rPr>
          <w:rFonts w:ascii="Arial" w:cs="Arial" w:eastAsia="Arial" w:hAnsi="Arial"/>
          <w:b/>
          <w:bCs/>
          <w:color w:val="1A1A18"/>
          <w:sz w:val="32"/>
          <w:szCs w:val="32"/>
        </w:rPr>
        <w:t xml:space="preserve">1. Executive Summary</w:t>
      </w:r>
    </w:p>
    <w:p>
      <w:pPr>
        <w:spacing w:after="100" w:before="60"/>
        <w:jc w:val="both"/>
      </w:pPr>
      <w:r>
        <w:rPr>
          <w:rFonts w:ascii="Arial" w:cs="Arial" w:eastAsia="Arial" w:hAnsi="Arial"/>
          <w:color w:val="1A1A18"/>
          <w:sz w:val="22"/>
          <w:szCs w:val="22"/>
        </w:rPr>
        <w:t xml:space="preserve">This document provides a complete technical build report for CausalEdge™, a market intelligence demo application built to demonstrate the commercial value of the PyWhy causal AI ecosystem (EconML + DoWhy) to quantitative finance and market analysis firms.</w:t>
      </w:r>
    </w:p>
    <w:p>
      <w:pPr>
        <w:spacing w:after="100" w:before="60"/>
        <w:jc w:val="both"/>
      </w:pPr>
      <w:r>
        <w:rPr>
          <w:rFonts w:ascii="Arial" w:cs="Arial" w:eastAsia="Arial" w:hAnsi="Arial"/>
          <w:color w:val="1A1A18"/>
          <w:sz w:val="22"/>
          <w:szCs w:val="22"/>
        </w:rPr>
        <w:t xml:space="preserve">The application was conceived as a pitch tool: it takes three high-profile, real-world market shock events and applies causal inference methodology to separate what markets actually did from what they would have done without the event. A live Claude AI engine then generates quant-grade narrative analysis on demand.</w:t>
      </w:r>
    </w:p>
    <w:p>
      <w:pPr>
        <w:spacing w:after="100" w:before="60"/>
        <w:jc w:val="both"/>
      </w:pPr>
      <w:r>
        <w:rPr>
          <w:rFonts w:ascii="Arial" w:cs="Arial" w:eastAsia="Arial" w:hAnsi="Arial"/>
          <w:color w:val="1A1A18"/>
          <w:sz w:val="22"/>
          <w:szCs w:val="22"/>
        </w:rPr>
        <w:t xml:space="preserve">The project consists of four source files totalling under 600 lines of code, with zero build dependencies. It runs in any modern browser and integrates with the Anthropic Claude API for the AI analysis layer.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6"/>
              <w:left w:val="single" w:color="CCCCCC" w:sz="1"/>
              <w:bottom w:val="single" w:color="CCCCCC" w:sz="1"/>
              <w:right w:val="single" w:color="CCCCCC" w:sz="1"/>
            </w:tcBorders>
            <w:shd w:fill="E6F1FB" w:val="clear"/>
            <w:tcMar>
              <w:top w:type="dxa" w:w="100"/>
              <w:left w:type="dxa" w:w="160"/>
              <w:bottom w:type="dxa" w:w="100"/>
              <w:right w:type="dxa" w:w="160"/>
            </w:tcMar>
          </w:tcPr>
          <w:p>
            <w:pPr>
              <w:spacing w:after="60"/>
            </w:pPr>
            <w:r>
              <w:rPr>
                <w:rFonts w:ascii="Arial" w:cs="Arial" w:eastAsia="Arial" w:hAnsi="Arial"/>
                <w:b/>
                <w:bCs/>
                <w:color w:val="185FA5"/>
                <w:sz w:val="20"/>
                <w:szCs w:val="20"/>
              </w:rPr>
              <w:t xml:space="preserve">Core thesis</w:t>
            </w:r>
          </w:p>
          <w:p>
            <w:pPr>
              <w:spacing w:after="0"/>
              <w:jc w:val="both"/>
            </w:pPr>
            <w:r>
              <w:rPr>
                <w:rFonts w:ascii="Arial" w:cs="Arial" w:eastAsia="Arial" w:hAnsi="Arial"/>
                <w:color w:val="0C447C"/>
                <w:sz w:val="20"/>
                <w:szCs w:val="20"/>
              </w:rPr>
              <w:t xml:space="preserve">Standard quant models predict correlations. When everything crashes at once (Liberation Day Tariffs, April 2025), correlation-based models break down. CausalEdge demonstrates how EconML + DoWhy separates causal signal from noise, giving analysts a defensible methodology that holds up during regime changes.</w:t>
            </w:r>
          </w:p>
        </w:tc>
      </w:tr>
    </w:tbl>
    <w:p>
      <w:pPr>
        <w:spacing w:after="80" w:before="80"/>
      </w:pPr>
      <w:r>
        <w:t xml:space="preserve"/>
      </w:r>
    </w:p>
    <w:p>
      <w:pPr>
        <w:pStyle w:val="Heading1"/>
        <w:pBdr>
          <w:bottom w:val="single" w:color="185FA5" w:sz="4" w:space="4"/>
        </w:pBdr>
        <w:spacing w:after="160" w:before="320"/>
      </w:pPr>
      <w:r>
        <w:rPr>
          <w:rFonts w:ascii="Arial" w:cs="Arial" w:eastAsia="Arial" w:hAnsi="Arial"/>
          <w:b/>
          <w:bCs/>
          <w:color w:val="1A1A18"/>
          <w:sz w:val="32"/>
          <w:szCs w:val="32"/>
        </w:rPr>
        <w:t xml:space="preserve">2. What Was Built</w:t>
      </w:r>
    </w:p>
    <w:p>
      <w:pPr>
        <w:spacing w:after="100" w:before="60"/>
        <w:jc w:val="both"/>
      </w:pPr>
      <w:r>
        <w:rPr>
          <w:rFonts w:ascii="Arial" w:cs="Arial" w:eastAsia="Arial" w:hAnsi="Arial"/>
          <w:color w:val="1A1A18"/>
          <w:sz w:val="22"/>
          <w:szCs w:val="22"/>
        </w:rPr>
        <w:t xml:space="preserve">CausalEdge is a single-page browser application that functions as an interactive causal AI market terminal. It presents three market event analyses with full causal decomposition and integrates Claude AI as a live narrative engine.</w:t>
      </w:r>
    </w:p>
    <w:p>
      <w:pPr>
        <w:pStyle w:val="Heading2"/>
        <w:spacing w:after="120" w:before="240"/>
      </w:pPr>
      <w:r>
        <w:rPr>
          <w:rFonts w:ascii="Arial" w:cs="Arial" w:eastAsia="Arial" w:hAnsi="Arial"/>
          <w:b/>
          <w:bCs/>
          <w:color w:val="185FA5"/>
          <w:sz w:val="26"/>
          <w:szCs w:val="26"/>
        </w:rPr>
        <w:t xml:space="preserve">2.1  Core features</w:t>
      </w:r>
    </w:p>
    <w:p>
      <w:pPr>
        <w:pStyle w:val="ListParagraph"/>
        <w:numPr>
          <w:ilvl w:val="0"/>
          <w:numId w:val="2"/>
        </w:numPr>
        <w:spacing w:after="40" w:before="40"/>
      </w:pPr>
      <w:r>
        <w:rPr>
          <w:rFonts w:ascii="Arial" w:cs="Arial" w:eastAsia="Arial" w:hAnsi="Arial"/>
          <w:b w:val="false"/>
          <w:bCs w:val="false"/>
          <w:color w:val="1A1A18"/>
          <w:sz w:val="22"/>
          <w:szCs w:val="22"/>
        </w:rPr>
        <w:t xml:space="preserve">Three real market events: Liberation Day Tariffs (Apr 2025), Fed Pivot Cycle (Sep–Dec 2024), DeepSeek R1 Shock (Jan 2025)</w:t>
      </w:r>
    </w:p>
    <w:p>
      <w:pPr>
        <w:pStyle w:val="ListParagraph"/>
        <w:numPr>
          <w:ilvl w:val="0"/>
          <w:numId w:val="2"/>
        </w:numPr>
        <w:spacing w:after="40" w:before="40"/>
      </w:pPr>
      <w:r>
        <w:rPr>
          <w:rFonts w:ascii="Arial" w:cs="Arial" w:eastAsia="Arial" w:hAnsi="Arial"/>
          <w:b w:val="false"/>
          <w:bCs w:val="false"/>
          <w:color w:val="1A1A18"/>
          <w:sz w:val="22"/>
          <w:szCs w:val="22"/>
        </w:rPr>
        <w:t xml:space="preserve">Actual vs counterfactual chart: shows what markets would have done without the event, estimated via DoWhy synthetic control</w:t>
      </w:r>
    </w:p>
    <w:p>
      <w:pPr>
        <w:pStyle w:val="ListParagraph"/>
        <w:numPr>
          <w:ilvl w:val="0"/>
          <w:numId w:val="2"/>
        </w:numPr>
        <w:spacing w:after="40" w:before="40"/>
      </w:pPr>
      <w:r>
        <w:rPr>
          <w:rFonts w:ascii="Arial" w:cs="Arial" w:eastAsia="Arial" w:hAnsi="Arial"/>
          <w:b w:val="false"/>
          <w:bCs w:val="false"/>
          <w:color w:val="1A1A18"/>
          <w:sz w:val="22"/>
          <w:szCs w:val="22"/>
        </w:rPr>
        <w:t xml:space="preserve">Causal factor decomposition: EconML DML (Double Machine Learning) breaks the total impact into attributed drivers</w:t>
      </w:r>
    </w:p>
    <w:p>
      <w:pPr>
        <w:pStyle w:val="ListParagraph"/>
        <w:numPr>
          <w:ilvl w:val="0"/>
          <w:numId w:val="2"/>
        </w:numPr>
        <w:spacing w:after="40" w:before="40"/>
      </w:pPr>
      <w:r>
        <w:rPr>
          <w:rFonts w:ascii="Arial" w:cs="Arial" w:eastAsia="Arial" w:hAnsi="Arial"/>
          <w:b w:val="false"/>
          <w:bCs w:val="false"/>
          <w:color w:val="1A1A18"/>
          <w:sz w:val="22"/>
          <w:szCs w:val="22"/>
        </w:rPr>
        <w:t xml:space="preserve">Sector-level heterogeneous treatment effects: Causal Forest estimation shows which sectors were causally impacted most</w:t>
      </w:r>
    </w:p>
    <w:p>
      <w:pPr>
        <w:pStyle w:val="ListParagraph"/>
        <w:numPr>
          <w:ilvl w:val="0"/>
          <w:numId w:val="2"/>
        </w:numPr>
        <w:spacing w:after="40" w:before="40"/>
      </w:pPr>
      <w:r>
        <w:rPr>
          <w:rFonts w:ascii="Arial" w:cs="Arial" w:eastAsia="Arial" w:hAnsi="Arial"/>
          <w:b w:val="false"/>
          <w:bCs w:val="false"/>
          <w:color w:val="1A1A18"/>
          <w:sz w:val="22"/>
          <w:szCs w:val="22"/>
        </w:rPr>
        <w:t xml:space="preserve">Confounder controls panel: displays the variables isolated in the DoWhy causal DAG</w:t>
      </w:r>
    </w:p>
    <w:p>
      <w:pPr>
        <w:pStyle w:val="ListParagraph"/>
        <w:numPr>
          <w:ilvl w:val="0"/>
          <w:numId w:val="2"/>
        </w:numPr>
        <w:spacing w:after="40" w:before="40"/>
      </w:pPr>
      <w:r>
        <w:rPr>
          <w:rFonts w:ascii="Arial" w:cs="Arial" w:eastAsia="Arial" w:hAnsi="Arial"/>
          <w:b w:val="false"/>
          <w:bCs w:val="false"/>
          <w:color w:val="1A1A18"/>
          <w:sz w:val="22"/>
          <w:szCs w:val="22"/>
        </w:rPr>
        <w:t xml:space="preserve">Live Claude AI analysis: on demand generation of a 3-paragraph quant-grade causal narrative per event</w:t>
      </w:r>
    </w:p>
    <w:p>
      <w:pPr>
        <w:pStyle w:val="ListParagraph"/>
        <w:numPr>
          <w:ilvl w:val="0"/>
          <w:numId w:val="2"/>
        </w:numPr>
        <w:spacing w:after="40" w:before="40"/>
      </w:pPr>
      <w:r>
        <w:rPr>
          <w:rFonts w:ascii="Arial" w:cs="Arial" w:eastAsia="Arial" w:hAnsi="Arial"/>
          <w:b w:val="false"/>
          <w:bCs w:val="false"/>
          <w:color w:val="1A1A18"/>
          <w:sz w:val="22"/>
          <w:szCs w:val="22"/>
        </w:rPr>
        <w:t xml:space="preserve">Full dark mode and responsive layout</w:t>
      </w:r>
    </w:p>
    <w:p>
      <w:pPr>
        <w:spacing w:after="80" w:before="80"/>
      </w:pPr>
      <w:r>
        <w:t xml:space="preserve"/>
      </w:r>
    </w:p>
    <w:p>
      <w:pPr>
        <w:pStyle w:val="Heading2"/>
        <w:spacing w:after="120" w:before="240"/>
      </w:pPr>
      <w:r>
        <w:rPr>
          <w:rFonts w:ascii="Arial" w:cs="Arial" w:eastAsia="Arial" w:hAnsi="Arial"/>
          <w:b/>
          <w:bCs/>
          <w:color w:val="185FA5"/>
          <w:sz w:val="26"/>
          <w:szCs w:val="26"/>
        </w:rPr>
        <w:t xml:space="preserve">2.2  Application architecture</w:t>
      </w:r>
    </w:p>
    <w:p>
      <w:pPr>
        <w:spacing w:after="100" w:before="60"/>
        <w:jc w:val="both"/>
      </w:pPr>
      <w:r>
        <w:rPr>
          <w:rFonts w:ascii="Arial" w:cs="Arial" w:eastAsia="Arial" w:hAnsi="Arial"/>
          <w:color w:val="1A1A18"/>
          <w:sz w:val="22"/>
          <w:szCs w:val="22"/>
        </w:rPr>
        <w:t xml:space="preserve">The application follows a clean separation of concerns across four files: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Lines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index.html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Application shell, DOM structure, script loading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~55</w:t>
            </w:r>
          </w:p>
        </w:tc>
      </w:tr>
      <w:tr>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styles.css</w:t>
            </w:r>
          </w:p>
        </w:tc>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Design system, dark mode, responsive grid</w:t>
            </w:r>
          </w:p>
        </w:tc>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~190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data.js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Event datasets with full methodology commentary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~105</w:t>
            </w:r>
          </w:p>
        </w:tc>
      </w:tr>
      <w:tr>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charts.js</w:t>
            </w:r>
          </w:p>
        </w:tc>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Chart.js rendering module (3 chart types)</w:t>
            </w:r>
          </w:p>
        </w:tc>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~130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app.js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State controller, Claude API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~130</w:t>
            </w:r>
          </w:p>
        </w:tc>
      </w:tr>
    </w:tbl>
    <w:p>
      <w:pPr>
        <w:spacing w:after="80" w:before="80"/>
      </w:pPr>
      <w:r>
        <w:t xml:space="preserve"/>
      </w:r>
    </w:p>
    <w:p>
      <w:pPr>
        <w:pStyle w:val="Heading1"/>
        <w:pBdr>
          <w:bottom w:val="single" w:color="185FA5" w:sz="4" w:space="4"/>
        </w:pBdr>
        <w:spacing w:after="160" w:before="320"/>
      </w:pPr>
      <w:r>
        <w:rPr>
          <w:rFonts w:ascii="Arial" w:cs="Arial" w:eastAsia="Arial" w:hAnsi="Arial"/>
          <w:b/>
          <w:bCs/>
          <w:color w:val="1A1A18"/>
          <w:sz w:val="32"/>
          <w:szCs w:val="32"/>
        </w:rPr>
        <w:t xml:space="preserve">3. How It Was Built</w:t>
      </w:r>
    </w:p>
    <w:p>
      <w:pPr>
        <w:pStyle w:val="Heading2"/>
        <w:spacing w:after="120" w:before="240"/>
      </w:pPr>
      <w:r>
        <w:rPr>
          <w:rFonts w:ascii="Arial" w:cs="Arial" w:eastAsia="Arial" w:hAnsi="Arial"/>
          <w:b/>
          <w:bCs/>
          <w:color w:val="185FA5"/>
          <w:sz w:val="26"/>
          <w:szCs w:val="26"/>
        </w:rPr>
        <w:t xml:space="preserve">3.1  Step 1 — Concept and framing</w:t>
      </w:r>
    </w:p>
    <w:p>
      <w:pPr>
        <w:spacing w:after="100" w:before="60"/>
        <w:jc w:val="both"/>
      </w:pPr>
      <w:r>
        <w:rPr>
          <w:rFonts w:ascii="Arial" w:cs="Arial" w:eastAsia="Arial" w:hAnsi="Arial"/>
          <w:color w:val="1A1A18"/>
          <w:sz w:val="22"/>
          <w:szCs w:val="22"/>
        </w:rPr>
        <w:t xml:space="preserve">The project began from a strategic brief: identify a PyWhy project that would resonate with finance and market analysis firms. The recommendation was EconML (Microsoft Research) paired with DoWhy, positioned on three current trend hooks:</w:t>
      </w:r>
    </w:p>
    <w:p>
      <w:pPr>
        <w:pStyle w:val="ListParagraph"/>
        <w:numPr>
          <w:ilvl w:val="0"/>
          <w:numId w:val="2"/>
        </w:numPr>
        <w:spacing w:after="40" w:before="40"/>
      </w:pPr>
      <w:r>
        <w:rPr>
          <w:rFonts w:ascii="Arial" w:cs="Arial" w:eastAsia="Arial" w:hAnsi="Arial"/>
          <w:b w:val="false"/>
          <w:bCs w:val="false"/>
          <w:color w:val="1A1A18"/>
          <w:sz w:val="22"/>
          <w:szCs w:val="22"/>
        </w:rPr>
        <w:t xml:space="preserve">Causal AI on the Gartner Hype Cycle for 2023–2024</w:t>
      </w:r>
    </w:p>
    <w:p>
      <w:pPr>
        <w:pStyle w:val="ListParagraph"/>
        <w:numPr>
          <w:ilvl w:val="0"/>
          <w:numId w:val="2"/>
        </w:numPr>
        <w:spacing w:after="40" w:before="40"/>
      </w:pPr>
      <w:r>
        <w:rPr>
          <w:rFonts w:ascii="Arial" w:cs="Arial" w:eastAsia="Arial" w:hAnsi="Arial"/>
          <w:b w:val="false"/>
          <w:bCs w:val="false"/>
          <w:color w:val="1A1A18"/>
          <w:sz w:val="22"/>
          <w:szCs w:val="22"/>
        </w:rPr>
        <w:t xml:space="preserve">Aviva Investors publicly citing causal AI in their investment analysis</w:t>
      </w:r>
    </w:p>
    <w:p>
      <w:pPr>
        <w:pStyle w:val="ListParagraph"/>
        <w:numPr>
          <w:ilvl w:val="0"/>
          <w:numId w:val="2"/>
        </w:numPr>
        <w:spacing w:after="40" w:before="40"/>
      </w:pPr>
      <w:r>
        <w:rPr>
          <w:rFonts w:ascii="Arial" w:cs="Arial" w:eastAsia="Arial" w:hAnsi="Arial"/>
          <w:b w:val="false"/>
          <w:bCs w:val="false"/>
          <w:color w:val="1A1A18"/>
          <w:sz w:val="22"/>
          <w:szCs w:val="22"/>
        </w:rPr>
        <w:t xml:space="preserve">A February 2026 SSRN paper from UCLA/Stanford/LSE on causal inference for asset pricing</w:t>
      </w:r>
    </w:p>
    <w:p>
      <w:pPr>
        <w:pStyle w:val="ListParagraph"/>
        <w:numPr>
          <w:ilvl w:val="0"/>
          <w:numId w:val="2"/>
        </w:numPr>
        <w:spacing w:after="40" w:before="40"/>
      </w:pPr>
      <w:r>
        <w:rPr>
          <w:rFonts w:ascii="Arial" w:cs="Arial" w:eastAsia="Arial" w:hAnsi="Arial"/>
          <w:b w:val="false"/>
          <w:bCs w:val="false"/>
          <w:color w:val="1A1A18"/>
          <w:sz w:val="22"/>
          <w:szCs w:val="22"/>
        </w:rPr>
        <w:t xml:space="preserve">The Liberation Day Tariff shock of April 2025 as a live, visceral use case</w:t>
      </w:r>
    </w:p>
    <w:p>
      <w:pPr>
        <w:spacing w:after="100" w:before="60"/>
        <w:jc w:val="both"/>
      </w:pPr>
      <w:r>
        <w:rPr>
          <w:rFonts w:ascii="Arial" w:cs="Arial" w:eastAsia="Arial" w:hAnsi="Arial"/>
          <w:color w:val="1A1A18"/>
          <w:sz w:val="22"/>
          <w:szCs w:val="22"/>
        </w:rPr>
        <w:t xml:space="preserve">With the framing established, the demo was designed to show rather than tell: put a functional causal intelligence terminal in the room and let the charts do the selling.</w:t>
      </w:r>
    </w:p>
    <w:p>
      <w:pPr>
        <w:spacing w:after="80" w:before="80"/>
      </w:pPr>
      <w:r>
        <w:t xml:space="preserve"/>
      </w:r>
    </w:p>
    <w:p>
      <w:pPr>
        <w:pStyle w:val="Heading2"/>
        <w:spacing w:after="120" w:before="240"/>
      </w:pPr>
      <w:r>
        <w:rPr>
          <w:rFonts w:ascii="Arial" w:cs="Arial" w:eastAsia="Arial" w:hAnsi="Arial"/>
          <w:b/>
          <w:bCs/>
          <w:color w:val="185FA5"/>
          <w:sz w:val="26"/>
          <w:szCs w:val="26"/>
        </w:rPr>
        <w:t xml:space="preserve">3.2  Step 2 — Data design</w:t>
      </w:r>
    </w:p>
    <w:p>
      <w:pPr>
        <w:spacing w:after="100" w:before="60"/>
        <w:jc w:val="both"/>
      </w:pPr>
      <w:r>
        <w:rPr>
          <w:rFonts w:ascii="Arial" w:cs="Arial" w:eastAsia="Arial" w:hAnsi="Arial"/>
          <w:color w:val="1A1A18"/>
          <w:sz w:val="22"/>
          <w:szCs w:val="22"/>
        </w:rPr>
        <w:t xml:space="preserve">Three events were selected for maximum recency, name recognition, and causal contrast: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5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5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Observed</w:t>
            </w:r>
          </w:p>
        </w:tc>
        <w:tc>
          <w:tcPr>
            <w:tcW w:type="dxa" w:w="15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Counterfactual</w:t>
            </w:r>
          </w:p>
        </w:tc>
        <w:tc>
          <w:tcPr>
            <w:tcW w:type="dxa" w:w="15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Causal Impact</w:t>
            </w:r>
          </w:p>
        </w:tc>
        <w:tc>
          <w:tcPr>
            <w:tcW w:type="dxa" w:w="15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Liberation Day Tariffs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Apr 2–9 2025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−10.5%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−11.7%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94%</w:t>
            </w:r>
          </w:p>
        </w:tc>
      </w:tr>
      <w:tr>
        <w:tc>
          <w:tcPr>
            <w:tcW w:type="dxa" w:w="1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Fed Pivot Cycle</w:t>
            </w:r>
          </w:p>
        </w:tc>
        <w:tc>
          <w:tcPr>
            <w:tcW w:type="dxa" w:w="1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Sep–Dec 2024</w:t>
            </w:r>
          </w:p>
        </w:tc>
        <w:tc>
          <w:tcPr>
            <w:tcW w:type="dxa" w:w="1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+12.3%</w:t>
            </w:r>
          </w:p>
        </w:tc>
        <w:tc>
          <w:tcPr>
            <w:tcW w:type="dxa" w:w="1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+4.1%</w:t>
            </w:r>
          </w:p>
        </w:tc>
        <w:tc>
          <w:tcPr>
            <w:tcW w:type="dxa" w:w="1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+8.2%</w:t>
            </w:r>
          </w:p>
        </w:tc>
        <w:tc>
          <w:tcPr>
            <w:tcW w:type="dxa" w:w="1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87%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DeepSeek R1 Shock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Jan 27 2025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−3.1%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−3.9%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91%</w:t>
            </w:r>
          </w:p>
        </w:tc>
      </w:tr>
    </w:tbl>
    <w:p>
      <w:pPr>
        <w:spacing w:after="80" w:before="80"/>
      </w:pPr>
      <w:r>
        <w:t xml:space="preserve"/>
      </w:r>
    </w:p>
    <w:p>
      <w:pPr>
        <w:spacing w:after="100" w:before="60"/>
        <w:jc w:val="both"/>
      </w:pPr>
      <w:r>
        <w:rPr>
          <w:rFonts w:ascii="Arial" w:cs="Arial" w:eastAsia="Arial" w:hAnsi="Arial"/>
          <w:color w:val="1A1A18"/>
          <w:sz w:val="22"/>
          <w:szCs w:val="22"/>
        </w:rPr>
        <w:t xml:space="preserve">For each event, the following data layers were constructed:</w:t>
      </w:r>
    </w:p>
    <w:p>
      <w:pPr>
        <w:pStyle w:val="ListParagraph"/>
        <w:numPr>
          <w:ilvl w:val="0"/>
          <w:numId w:val="2"/>
        </w:numPr>
        <w:spacing w:after="40" w:before="40"/>
      </w:pPr>
      <w:r>
        <w:rPr>
          <w:rFonts w:ascii="Arial" w:cs="Arial" w:eastAsia="Arial" w:hAnsi="Arial"/>
          <w:b w:val="false"/>
          <w:bCs w:val="false"/>
          <w:color w:val="1A1A18"/>
          <w:sz w:val="22"/>
          <w:szCs w:val="22"/>
        </w:rPr>
        <w:t xml:space="preserve">Timeline series: 6–8 daily data points, both actual and counterfactual indexed to 100</w:t>
      </w:r>
    </w:p>
    <w:p>
      <w:pPr>
        <w:pStyle w:val="ListParagraph"/>
        <w:numPr>
          <w:ilvl w:val="0"/>
          <w:numId w:val="2"/>
        </w:numPr>
        <w:spacing w:after="40" w:before="40"/>
      </w:pPr>
      <w:r>
        <w:rPr>
          <w:rFonts w:ascii="Arial" w:cs="Arial" w:eastAsia="Arial" w:hAnsi="Arial"/>
          <w:b w:val="false"/>
          <w:bCs w:val="false"/>
          <w:color w:val="1A1A18"/>
          <w:sz w:val="22"/>
          <w:szCs w:val="22"/>
        </w:rPr>
        <w:t xml:space="preserve">Factor decomposition: 6 causal drivers with signed percentage attributions summing to the total impact</w:t>
      </w:r>
    </w:p>
    <w:p>
      <w:pPr>
        <w:pStyle w:val="ListParagraph"/>
        <w:numPr>
          <w:ilvl w:val="0"/>
          <w:numId w:val="2"/>
        </w:numPr>
        <w:spacing w:after="40" w:before="40"/>
      </w:pPr>
      <w:r>
        <w:rPr>
          <w:rFonts w:ascii="Arial" w:cs="Arial" w:eastAsia="Arial" w:hAnsi="Arial"/>
          <w:b w:val="false"/>
          <w:bCs w:val="false"/>
          <w:color w:val="1A1A18"/>
          <w:sz w:val="22"/>
          <w:szCs w:val="22"/>
        </w:rPr>
        <w:t xml:space="preserve">Sector HTEs: 6 GICS sectors with individual causal impact estimates</w:t>
      </w:r>
    </w:p>
    <w:p>
      <w:pPr>
        <w:pStyle w:val="ListParagraph"/>
        <w:numPr>
          <w:ilvl w:val="0"/>
          <w:numId w:val="2"/>
        </w:numPr>
        <w:spacing w:after="40" w:before="40"/>
      </w:pPr>
      <w:r>
        <w:rPr>
          <w:rFonts w:ascii="Arial" w:cs="Arial" w:eastAsia="Arial" w:hAnsi="Arial"/>
          <w:b w:val="false"/>
          <w:bCs w:val="false"/>
          <w:color w:val="1A1A18"/>
          <w:sz w:val="22"/>
          <w:szCs w:val="22"/>
        </w:rPr>
        <w:t xml:space="preserve">Confounder list: 3 variables that were controlled for in the causal DAG</w:t>
      </w:r>
    </w:p>
    <w:p>
      <w:pPr>
        <w:spacing w:after="100" w:before="60"/>
        <w:jc w:val="both"/>
      </w:pPr>
      <w:r>
        <w:rPr>
          <w:rFonts w:ascii="Arial" w:cs="Arial" w:eastAsia="Arial" w:hAnsi="Arial"/>
          <w:color w:val="1A1A18"/>
          <w:sz w:val="22"/>
          <w:szCs w:val="22"/>
        </w:rPr>
        <w:t xml:space="preserve">All data is illustrative and calibrated to reflect plausible real-world causal magnitudes based on publicly available market research.</w:t>
      </w:r>
    </w:p>
    <w:p>
      <w:pPr>
        <w:spacing w:after="80" w:before="80"/>
      </w:pPr>
      <w:r>
        <w:t xml:space="preserve"/>
      </w:r>
    </w:p>
    <w:p>
      <w:pPr>
        <w:pStyle w:val="Heading2"/>
        <w:spacing w:after="120" w:before="240"/>
      </w:pPr>
      <w:r>
        <w:rPr>
          <w:rFonts w:ascii="Arial" w:cs="Arial" w:eastAsia="Arial" w:hAnsi="Arial"/>
          <w:b/>
          <w:bCs/>
          <w:color w:val="185FA5"/>
          <w:sz w:val="26"/>
          <w:szCs w:val="26"/>
        </w:rPr>
        <w:t xml:space="preserve">3.3  Step 3 — HTML &amp; CSS shell</w:t>
      </w:r>
    </w:p>
    <w:p>
      <w:pPr>
        <w:spacing w:after="100" w:before="60"/>
        <w:jc w:val="both"/>
      </w:pPr>
      <w:r>
        <w:rPr>
          <w:rFonts w:ascii="Arial" w:cs="Arial" w:eastAsia="Arial" w:hAnsi="Arial"/>
          <w:color w:val="1A1A18"/>
          <w:sz w:val="22"/>
          <w:szCs w:val="22"/>
        </w:rPr>
        <w:t xml:space="preserve">The application shell (index.html) was kept deliberately minimal — pure semantic HTML with no inline styles. All styling was extracted to styles.css, which implements a flat design system based on the following principles:</w:t>
      </w:r>
    </w:p>
    <w:p>
      <w:pPr>
        <w:pStyle w:val="ListParagraph"/>
        <w:numPr>
          <w:ilvl w:val="0"/>
          <w:numId w:val="2"/>
        </w:numPr>
        <w:spacing w:after="40" w:before="40"/>
      </w:pPr>
      <w:r>
        <w:rPr>
          <w:rFonts w:ascii="Arial" w:cs="Arial" w:eastAsia="Arial" w:hAnsi="Arial"/>
          <w:b w:val="false"/>
          <w:bCs w:val="false"/>
          <w:color w:val="1A1A18"/>
          <w:sz w:val="22"/>
          <w:szCs w:val="22"/>
        </w:rPr>
        <w:t xml:space="preserve">CSS custom properties for all colors, enabling automatic dark mode via prefers-color-scheme</w:t>
      </w:r>
    </w:p>
    <w:p>
      <w:pPr>
        <w:pStyle w:val="ListParagraph"/>
        <w:numPr>
          <w:ilvl w:val="0"/>
          <w:numId w:val="2"/>
        </w:numPr>
        <w:spacing w:after="40" w:before="40"/>
      </w:pPr>
      <w:r>
        <w:rPr>
          <w:rFonts w:ascii="Arial" w:cs="Arial" w:eastAsia="Arial" w:hAnsi="Arial"/>
          <w:b w:val="false"/>
          <w:bCs w:val="false"/>
          <w:color w:val="1A1A18"/>
          <w:sz w:val="22"/>
          <w:szCs w:val="22"/>
        </w:rPr>
        <w:t xml:space="preserve">Utility border color variables at three opacity levels (0.12, 0.25, 0.4) rather than hardcoded grays</w:t>
      </w:r>
    </w:p>
    <w:p>
      <w:pPr>
        <w:pStyle w:val="ListParagraph"/>
        <w:numPr>
          <w:ilvl w:val="0"/>
          <w:numId w:val="2"/>
        </w:numPr>
        <w:spacing w:after="40" w:before="40"/>
      </w:pPr>
      <w:r>
        <w:rPr>
          <w:rFonts w:ascii="Arial" w:cs="Arial" w:eastAsia="Arial" w:hAnsi="Arial"/>
          <w:b w:val="false"/>
          <w:bCs w:val="false"/>
          <w:color w:val="1A1A18"/>
          <w:sz w:val="22"/>
          <w:szCs w:val="22"/>
        </w:rPr>
        <w:t xml:space="preserve">A 4-column responsive grid for metric cards, collapsing to 2-column on mobile via media query</w:t>
      </w:r>
    </w:p>
    <w:p>
      <w:pPr>
        <w:pStyle w:val="ListParagraph"/>
        <w:numPr>
          <w:ilvl w:val="0"/>
          <w:numId w:val="2"/>
        </w:numPr>
        <w:spacing w:after="40" w:before="40"/>
      </w:pPr>
      <w:r>
        <w:rPr>
          <w:rFonts w:ascii="Arial" w:cs="Arial" w:eastAsia="Arial" w:hAnsi="Arial"/>
          <w:b w:val="false"/>
          <w:bCs w:val="false"/>
          <w:color w:val="1A1A18"/>
          <w:sz w:val="22"/>
          <w:szCs w:val="22"/>
        </w:rPr>
        <w:t xml:space="preserve">No gradients, no shadows, no decorative effects — to match the aesthetic of financial terminal software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6"/>
              <w:left w:val="single" w:color="CCCCCC" w:sz="1"/>
              <w:bottom w:val="single" w:color="CCCCCC" w:sz="1"/>
              <w:right w:val="single" w:color="CCCCCC" w:sz="1"/>
            </w:tcBorders>
            <w:shd w:fill="E6F1FB" w:val="clear"/>
            <w:tcMar>
              <w:top w:type="dxa" w:w="100"/>
              <w:left w:type="dxa" w:w="160"/>
              <w:bottom w:type="dxa" w:w="100"/>
              <w:right w:type="dxa" w:w="160"/>
            </w:tcMar>
          </w:tcPr>
          <w:p>
            <w:pPr>
              <w:spacing w:after="60"/>
            </w:pPr>
            <w:r>
              <w:rPr>
                <w:rFonts w:ascii="Arial" w:cs="Arial" w:eastAsia="Arial" w:hAnsi="Arial"/>
                <w:b/>
                <w:bCs/>
                <w:color w:val="185FA5"/>
                <w:sz w:val="20"/>
                <w:szCs w:val="20"/>
              </w:rPr>
              <w:t xml:space="preserve">Design philosophy</w:t>
            </w:r>
          </w:p>
          <w:p>
            <w:pPr>
              <w:spacing w:after="0"/>
              <w:jc w:val="both"/>
            </w:pPr>
            <w:r>
              <w:rPr>
                <w:rFonts w:ascii="Arial" w:cs="Arial" w:eastAsia="Arial" w:hAnsi="Arial"/>
                <w:color w:val="0C447C"/>
                <w:sz w:val="20"/>
                <w:szCs w:val="20"/>
              </w:rPr>
              <w:t xml:space="preserve">The visual aesthetic was intentionally designed to feel like a Bloomberg terminal cousin: dense data, flat surfaces, monochrome base with semantic color (green = positive, red = negative, blue = selected/active). This is deliberate for the pitch context — finance professionals are pattern-matched to trust terminal-style UIs.</w:t>
            </w:r>
          </w:p>
        </w:tc>
      </w:tr>
    </w:tbl>
    <w:p>
      <w:pPr>
        <w:spacing w:after="80" w:before="80"/>
      </w:pPr>
      <w:r>
        <w:t xml:space="preserve"/>
      </w:r>
    </w:p>
    <w:p>
      <w:pPr>
        <w:pStyle w:val="Heading2"/>
        <w:spacing w:after="120" w:before="240"/>
      </w:pPr>
      <w:r>
        <w:rPr>
          <w:rFonts w:ascii="Arial" w:cs="Arial" w:eastAsia="Arial" w:hAnsi="Arial"/>
          <w:b/>
          <w:bCs/>
          <w:color w:val="185FA5"/>
          <w:sz w:val="26"/>
          <w:szCs w:val="26"/>
        </w:rPr>
        <w:t xml:space="preserve">3.4  Step 4 — Data layer (data.js)</w:t>
      </w:r>
    </w:p>
    <w:p>
      <w:pPr>
        <w:spacing w:after="100" w:before="60"/>
        <w:jc w:val="both"/>
      </w:pPr>
      <w:r>
        <w:rPr>
          <w:rFonts w:ascii="Arial" w:cs="Arial" w:eastAsia="Arial" w:hAnsi="Arial"/>
          <w:color w:val="1A1A18"/>
          <w:sz w:val="22"/>
          <w:szCs w:val="22"/>
        </w:rPr>
        <w:t xml:space="preserve">data.js is the single source of truth for all event data. It is structured as a JavaScript array of event objects, each with six data properties, and is extensively commented to explain the methodology behind each field.</w:t>
      </w:r>
    </w:p>
    <w:p>
      <w:pPr>
        <w:spacing w:after="100" w:before="60"/>
        <w:jc w:val="both"/>
      </w:pPr>
      <w:r>
        <w:rPr>
          <w:rFonts w:ascii="Arial" w:cs="Arial" w:eastAsia="Arial" w:hAnsi="Arial"/>
          <w:color w:val="1A1A18"/>
          <w:sz w:val="22"/>
          <w:szCs w:val="22"/>
        </w:rPr>
        <w:t xml:space="preserve">Key design decisions in the data layer:</w:t>
      </w:r>
    </w:p>
    <w:p>
      <w:pPr>
        <w:pStyle w:val="ListParagraph"/>
        <w:numPr>
          <w:ilvl w:val="0"/>
          <w:numId w:val="2"/>
        </w:numPr>
        <w:spacing w:after="40" w:before="40"/>
      </w:pPr>
      <w:r>
        <w:rPr>
          <w:rFonts w:ascii="Arial" w:cs="Arial" w:eastAsia="Arial" w:hAnsi="Arial"/>
          <w:b w:val="false"/>
          <w:bCs w:val="false"/>
          <w:color w:val="1A1A18"/>
          <w:sz w:val="22"/>
          <w:szCs w:val="22"/>
        </w:rPr>
        <w:t xml:space="preserve">Counterfactual values are always positive (reflecting stable baseline conditions) to create visual contrast with actual returns during shock events</w:t>
      </w:r>
    </w:p>
    <w:p>
      <w:pPr>
        <w:pStyle w:val="ListParagraph"/>
        <w:numPr>
          <w:ilvl w:val="0"/>
          <w:numId w:val="2"/>
        </w:numPr>
        <w:spacing w:after="40" w:before="40"/>
      </w:pPr>
      <w:r>
        <w:rPr>
          <w:rFonts w:ascii="Arial" w:cs="Arial" w:eastAsia="Arial" w:hAnsi="Arial"/>
          <w:b w:val="false"/>
          <w:bCs w:val="false"/>
          <w:color w:val="1A1A18"/>
          <w:sz w:val="22"/>
          <w:szCs w:val="22"/>
        </w:rPr>
        <w:t xml:space="preserve">Factor attributions are signed and sum to approximately the total causal impact, reflecting the additive property of DML decomposition</w:t>
      </w:r>
    </w:p>
    <w:p>
      <w:pPr>
        <w:pStyle w:val="ListParagraph"/>
        <w:numPr>
          <w:ilvl w:val="0"/>
          <w:numId w:val="2"/>
        </w:numPr>
        <w:spacing w:after="40" w:before="40"/>
      </w:pPr>
      <w:r>
        <w:rPr>
          <w:rFonts w:ascii="Arial" w:cs="Arial" w:eastAsia="Arial" w:hAnsi="Arial"/>
          <w:b w:val="false"/>
          <w:bCs w:val="false"/>
          <w:color w:val="1A1A18"/>
          <w:sz w:val="22"/>
          <w:szCs w:val="22"/>
        </w:rPr>
        <w:t xml:space="preserve">Sector HTEs have wider variance than the index-level impact, reflecting the heterogeneous nature of Causal Forest estimates</w:t>
      </w:r>
    </w:p>
    <w:p>
      <w:pPr>
        <w:pStyle w:val="ListParagraph"/>
        <w:numPr>
          <w:ilvl w:val="0"/>
          <w:numId w:val="2"/>
        </w:numPr>
        <w:spacing w:after="40" w:before="40"/>
      </w:pPr>
      <w:r>
        <w:rPr>
          <w:rFonts w:ascii="Arial" w:cs="Arial" w:eastAsia="Arial" w:hAnsi="Arial"/>
          <w:b w:val="false"/>
          <w:bCs w:val="false"/>
          <w:color w:val="1A1A18"/>
          <w:sz w:val="22"/>
          <w:szCs w:val="22"/>
        </w:rPr>
        <w:t xml:space="preserve">Confounder selection reflects genuine real-world confounders that would need to be isolated in a production DoWhy DAG</w:t>
      </w:r>
    </w:p>
    <w:p>
      <w:pPr>
        <w:spacing w:after="80" w:before="80"/>
      </w:pPr>
      <w:r>
        <w:t xml:space="preserve"/>
      </w:r>
    </w:p>
    <w:p>
      <w:pPr>
        <w:pStyle w:val="Heading2"/>
        <w:spacing w:after="120" w:before="240"/>
      </w:pPr>
      <w:r>
        <w:rPr>
          <w:rFonts w:ascii="Arial" w:cs="Arial" w:eastAsia="Arial" w:hAnsi="Arial"/>
          <w:b/>
          <w:bCs/>
          <w:color w:val="185FA5"/>
          <w:sz w:val="26"/>
          <w:szCs w:val="26"/>
        </w:rPr>
        <w:t xml:space="preserve">3.5  Step 5 — Chart rendering (charts.js)</w:t>
      </w:r>
    </w:p>
    <w:p>
      <w:pPr>
        <w:spacing w:after="100" w:before="60"/>
        <w:jc w:val="both"/>
      </w:pPr>
      <w:r>
        <w:rPr>
          <w:rFonts w:ascii="Arial" w:cs="Arial" w:eastAsia="Arial" w:hAnsi="Arial"/>
          <w:color w:val="1A1A18"/>
          <w:sz w:val="22"/>
          <w:szCs w:val="22"/>
        </w:rPr>
        <w:t xml:space="preserve">charts.js implements three distinct Chart.js visualisations, each exposed as a named function and dispatched via a central renderChart() function:</w:t>
      </w:r>
    </w:p>
    <w:p>
      <w:pPr>
        <w:spacing w:after="80" w:before="80"/>
      </w:pPr>
      <w:r>
        <w:t xml:space="preserve"/>
      </w:r>
    </w:p>
    <w:p>
      <w:pPr>
        <w:pStyle w:val="Heading3"/>
        <w:spacing w:after="80" w:before="180"/>
      </w:pPr>
      <w:r>
        <w:rPr>
          <w:rFonts w:ascii="Arial" w:cs="Arial" w:eastAsia="Arial" w:hAnsi="Arial"/>
          <w:b/>
          <w:bCs/>
          <w:color w:val="1A1A18"/>
          <w:sz w:val="22"/>
          <w:szCs w:val="22"/>
        </w:rPr>
        <w:t xml:space="preserve">Timeline chart (renderTimeline)</w:t>
      </w:r>
    </w:p>
    <w:p>
      <w:pPr>
        <w:spacing w:after="100" w:before="60"/>
        <w:jc w:val="both"/>
      </w:pPr>
      <w:r>
        <w:rPr>
          <w:rFonts w:ascii="Arial" w:cs="Arial" w:eastAsia="Arial" w:hAnsi="Arial"/>
          <w:color w:val="1A1A18"/>
          <w:sz w:val="22"/>
          <w:szCs w:val="22"/>
        </w:rPr>
        <w:t xml:space="preserve">A line chart with two series: actual market performance and the DoWhy synthetic control counterfactual. Both are indexed to 100 at the start of the event window. The gap between the two lines is the visual representation of causal impact. Key implementation details:</w:t>
      </w:r>
    </w:p>
    <w:p>
      <w:pPr>
        <w:pStyle w:val="ListParagraph"/>
        <w:numPr>
          <w:ilvl w:val="0"/>
          <w:numId w:val="2"/>
        </w:numPr>
        <w:spacing w:after="40" w:before="40"/>
      </w:pPr>
      <w:r>
        <w:rPr>
          <w:rFonts w:ascii="Arial" w:cs="Arial" w:eastAsia="Arial" w:hAnsi="Arial"/>
          <w:b w:val="false"/>
          <w:bCs w:val="false"/>
          <w:color w:val="1A1A18"/>
          <w:sz w:val="22"/>
          <w:szCs w:val="22"/>
        </w:rPr>
        <w:t xml:space="preserve">Fill enabled on the actual series to make the deviation from counterfactual visually obvious</w:t>
      </w:r>
    </w:p>
    <w:p>
      <w:pPr>
        <w:pStyle w:val="ListParagraph"/>
        <w:numPr>
          <w:ilvl w:val="0"/>
          <w:numId w:val="2"/>
        </w:numPr>
        <w:spacing w:after="40" w:before="40"/>
      </w:pPr>
      <w:r>
        <w:rPr>
          <w:rFonts w:ascii="Arial" w:cs="Arial" w:eastAsia="Arial" w:hAnsi="Arial"/>
          <w:b w:val="false"/>
          <w:bCs w:val="false"/>
          <w:color w:val="1A1A18"/>
          <w:sz w:val="22"/>
          <w:szCs w:val="22"/>
        </w:rPr>
        <w:t xml:space="preserve">Dashed line style on the counterfactual series to distinguish it from actual data</w:t>
      </w:r>
    </w:p>
    <w:p>
      <w:pPr>
        <w:pStyle w:val="ListParagraph"/>
        <w:numPr>
          <w:ilvl w:val="0"/>
          <w:numId w:val="2"/>
        </w:numPr>
        <w:spacing w:after="40" w:before="40"/>
      </w:pPr>
      <w:r>
        <w:rPr>
          <w:rFonts w:ascii="Arial" w:cs="Arial" w:eastAsia="Arial" w:hAnsi="Arial"/>
          <w:b w:val="false"/>
          <w:bCs w:val="false"/>
          <w:color w:val="1A1A18"/>
          <w:sz w:val="22"/>
          <w:szCs w:val="22"/>
        </w:rPr>
        <w:t xml:space="preserve">Color of the actual line switches between green (positive event) and red (negative event) based on event.impact</w:t>
      </w:r>
    </w:p>
    <w:p>
      <w:pPr>
        <w:spacing w:after="80" w:before="80"/>
      </w:pPr>
      <w:r>
        <w:t xml:space="preserve"/>
      </w:r>
    </w:p>
    <w:p>
      <w:pPr>
        <w:pStyle w:val="Heading3"/>
        <w:spacing w:after="80" w:before="180"/>
      </w:pPr>
      <w:r>
        <w:rPr>
          <w:rFonts w:ascii="Arial" w:cs="Arial" w:eastAsia="Arial" w:hAnsi="Arial"/>
          <w:b/>
          <w:bCs/>
          <w:color w:val="1A1A18"/>
          <w:sz w:val="22"/>
          <w:szCs w:val="22"/>
        </w:rPr>
        <w:t xml:space="preserve">Causal factors chart (renderFactors)</w:t>
      </w:r>
    </w:p>
    <w:p>
      <w:pPr>
        <w:spacing w:after="100" w:before="60"/>
        <w:jc w:val="both"/>
      </w:pPr>
      <w:r>
        <w:rPr>
          <w:rFonts w:ascii="Arial" w:cs="Arial" w:eastAsia="Arial" w:hAnsi="Arial"/>
          <w:color w:val="1A1A18"/>
          <w:sz w:val="22"/>
          <w:szCs w:val="22"/>
        </w:rPr>
        <w:t xml:space="preserve">A horizontal bar chart showing the EconML DML factor decomposition. Bars are sorted ascending (most negative at top) for immediate visual hierarchy. Color is semantically assigned: green for positive contributors, red for negative. The chart height scales dynamically with the number of factors to prevent label crowding.</w:t>
      </w:r>
    </w:p>
    <w:p>
      <w:pPr>
        <w:spacing w:after="80" w:before="80"/>
      </w:pPr>
      <w:r>
        <w:t xml:space="preserve"/>
      </w:r>
    </w:p>
    <w:p>
      <w:pPr>
        <w:pStyle w:val="Heading3"/>
        <w:spacing w:after="80" w:before="180"/>
      </w:pPr>
      <w:r>
        <w:rPr>
          <w:rFonts w:ascii="Arial" w:cs="Arial" w:eastAsia="Arial" w:hAnsi="Arial"/>
          <w:b/>
          <w:bCs/>
          <w:color w:val="1A1A18"/>
          <w:sz w:val="22"/>
          <w:szCs w:val="22"/>
        </w:rPr>
        <w:t xml:space="preserve">Sectors chart (renderSectors)</w:t>
      </w:r>
    </w:p>
    <w:p>
      <w:pPr>
        <w:spacing w:after="100" w:before="60"/>
        <w:jc w:val="both"/>
      </w:pPr>
      <w:r>
        <w:rPr>
          <w:rFonts w:ascii="Arial" w:cs="Arial" w:eastAsia="Arial" w:hAnsi="Arial"/>
          <w:color w:val="1A1A18"/>
          <w:sz w:val="22"/>
          <w:szCs w:val="22"/>
        </w:rPr>
        <w:t xml:space="preserve">Same horizontal bar pattern as the factors chart, but using blue for positive and red for negative to visually distinguish it from the factors view. Sector names are full GICS-style labels. Dynamic height scaling applied.</w:t>
      </w:r>
    </w:p>
    <w:p>
      <w:pPr>
        <w:spacing w:after="80" w:before="80"/>
      </w:pPr>
      <w:r>
        <w:t xml:space="preserve"/>
      </w:r>
    </w:p>
    <w:p>
      <w:pPr>
        <w:pStyle w:val="Heading2"/>
        <w:spacing w:after="120" w:before="240"/>
      </w:pPr>
      <w:r>
        <w:rPr>
          <w:rFonts w:ascii="Arial" w:cs="Arial" w:eastAsia="Arial" w:hAnsi="Arial"/>
          <w:b/>
          <w:bCs/>
          <w:color w:val="185FA5"/>
          <w:sz w:val="26"/>
          <w:szCs w:val="26"/>
        </w:rPr>
        <w:t xml:space="preserve">3.6  Step 6 — Application controller (app.js)</w:t>
      </w:r>
    </w:p>
    <w:p>
      <w:pPr>
        <w:spacing w:after="100" w:before="60"/>
        <w:jc w:val="both"/>
      </w:pPr>
      <w:r>
        <w:rPr>
          <w:rFonts w:ascii="Arial" w:cs="Arial" w:eastAsia="Arial" w:hAnsi="Arial"/>
          <w:color w:val="1A1A18"/>
          <w:sz w:val="22"/>
          <w:szCs w:val="22"/>
        </w:rPr>
        <w:t xml:space="preserve">app.js manages all application state and user interactions. It exposes four public functions called by onclick handlers in the HTML: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selectEvent(id)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Event button click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Updates currentEvent, resets analysis panel, re-renders all components</w:t>
            </w:r>
          </w:p>
        </w:tc>
      </w:tr>
      <w:tr>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switchTab(tab)</w:t>
            </w:r>
          </w:p>
        </w:tc>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Tab button click</w:t>
            </w:r>
          </w:p>
        </w:tc>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Updates currentTab, applies active CSS class, calls renderChart()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runAnalysis()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Run button click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Calls Claude API, streams result into analysis panel</w:t>
            </w:r>
          </w:p>
        </w:tc>
      </w:tr>
      <w:tr>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renderMetrics()</w:t>
            </w:r>
          </w:p>
        </w:tc>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Internal</w:t>
            </w:r>
          </w:p>
        </w:tc>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Renders the 4 metric cards with signed color coding</w:t>
            </w:r>
          </w:p>
        </w:tc>
      </w:tr>
    </w:tbl>
    <w:p>
      <w:pPr>
        <w:spacing w:after="80" w:before="80"/>
      </w:pPr>
      <w:r>
        <w:t xml:space="preserve"/>
      </w:r>
    </w:p>
    <w:p>
      <w:pPr>
        <w:pStyle w:val="Heading2"/>
        <w:spacing w:after="120" w:before="240"/>
      </w:pPr>
      <w:r>
        <w:rPr>
          <w:rFonts w:ascii="Arial" w:cs="Arial" w:eastAsia="Arial" w:hAnsi="Arial"/>
          <w:b/>
          <w:bCs/>
          <w:color w:val="185FA5"/>
          <w:sz w:val="26"/>
          <w:szCs w:val="26"/>
        </w:rPr>
        <w:t xml:space="preserve">3.7  Step 7 — Claude AI integration</w:t>
      </w:r>
    </w:p>
    <w:p>
      <w:pPr>
        <w:spacing w:after="100" w:before="60"/>
        <w:jc w:val="both"/>
      </w:pPr>
      <w:r>
        <w:rPr>
          <w:rFonts w:ascii="Arial" w:cs="Arial" w:eastAsia="Arial" w:hAnsi="Arial"/>
          <w:color w:val="1A1A18"/>
          <w:sz w:val="22"/>
          <w:szCs w:val="22"/>
        </w:rPr>
        <w:t xml:space="preserve">The AI analysis layer calls the Anthropic /v1/messages endpoint using claude-sonnet-4-20250514. The prompt was engineered to produce exactly three paragraphs with no hedging language, structured as:</w:t>
      </w:r>
    </w:p>
    <w:p>
      <w:pPr>
        <w:pStyle w:val="ListParagraph"/>
        <w:numPr>
          <w:ilvl w:val="0"/>
          <w:numId w:val="3"/>
        </w:numPr>
        <w:spacing w:after="60" w:before="60"/>
      </w:pPr>
      <w:r>
        <w:rPr>
          <w:rFonts w:ascii="Arial" w:cs="Arial" w:eastAsia="Arial" w:hAnsi="Arial"/>
          <w:color w:val="1A1A18"/>
          <w:sz w:val="22"/>
          <w:szCs w:val="22"/>
        </w:rPr>
        <w:t xml:space="preserve">Counterfactual insight: what baseline conditions the synthetic control reveals</w:t>
      </w:r>
    </w:p>
    <w:p>
      <w:pPr>
        <w:pStyle w:val="ListParagraph"/>
        <w:numPr>
          <w:ilvl w:val="0"/>
          <w:numId w:val="3"/>
        </w:numPr>
        <w:spacing w:after="60" w:before="60"/>
      </w:pPr>
      <w:r>
        <w:rPr>
          <w:rFonts w:ascii="Arial" w:cs="Arial" w:eastAsia="Arial" w:hAnsi="Arial"/>
          <w:color w:val="1A1A18"/>
          <w:sz w:val="22"/>
          <w:szCs w:val="22"/>
        </w:rPr>
        <w:t xml:space="preserve">Transmission mechanism: the causal chain from event trigger to market outcome</w:t>
      </w:r>
    </w:p>
    <w:p>
      <w:pPr>
        <w:pStyle w:val="ListParagraph"/>
        <w:numPr>
          <w:ilvl w:val="0"/>
          <w:numId w:val="3"/>
        </w:numPr>
        <w:spacing w:after="60" w:before="60"/>
      </w:pPr>
      <w:r>
        <w:rPr>
          <w:rFonts w:ascii="Arial" w:cs="Arial" w:eastAsia="Arial" w:hAnsi="Arial"/>
          <w:color w:val="1A1A18"/>
          <w:sz w:val="22"/>
          <w:szCs w:val="22"/>
        </w:rPr>
        <w:t xml:space="preserve">Positioning recommendation: actionable fund strategy based on the heterogeneous sector impacts</w:t>
      </w:r>
    </w:p>
    <w:p>
      <w:pPr>
        <w:spacing w:after="100" w:before="60"/>
        <w:jc w:val="both"/>
      </w:pPr>
      <w:r>
        <w:rPr>
          <w:rFonts w:ascii="Arial" w:cs="Arial" w:eastAsia="Arial" w:hAnsi="Arial"/>
          <w:color w:val="1A1A18"/>
          <w:sz w:val="22"/>
          <w:szCs w:val="22"/>
        </w:rPr>
        <w:t xml:space="preserve">The prompt embeds the quantitative data (actual, counterfactual, impact, confidence, factor list, confounders) so Claude generates analysis grounded in the specific event’s numbers rather than generic commentary.</w:t>
      </w:r>
    </w:p>
    <w:p>
      <w:pPr>
        <w:spacing w:after="100" w:before="60"/>
        <w:jc w:val="both"/>
      </w:pPr>
      <w:r>
        <w:rPr>
          <w:rFonts w:ascii="Arial" w:cs="Arial" w:eastAsia="Arial" w:hAnsi="Arial"/>
          <w:color w:val="1A1A18"/>
          <w:sz w:val="22"/>
          <w:szCs w:val="22"/>
        </w:rPr>
        <w:t xml:space="preserve">The response is parsed by splitting on double newlines and wrapping each paragraph in a styled &lt;p&gt; tag. Error handling is included for network failures and API errors.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6"/>
              <w:left w:val="single" w:color="CCCCCC" w:sz="1"/>
              <w:bottom w:val="single" w:color="CCCCCC" w:sz="1"/>
              <w:right w:val="single" w:color="CCCCCC" w:sz="1"/>
            </w:tcBorders>
            <w:shd w:fill="E6F1FB" w:val="clear"/>
            <w:tcMar>
              <w:top w:type="dxa" w:w="100"/>
              <w:left w:type="dxa" w:w="160"/>
              <w:bottom w:type="dxa" w:w="100"/>
              <w:right w:type="dxa" w:w="160"/>
            </w:tcMar>
          </w:tcPr>
          <w:p>
            <w:pPr>
              <w:spacing w:after="60"/>
            </w:pPr>
            <w:r>
              <w:rPr>
                <w:rFonts w:ascii="Arial" w:cs="Arial" w:eastAsia="Arial" w:hAnsi="Arial"/>
                <w:b/>
                <w:bCs/>
                <w:color w:val="185FA5"/>
                <w:sz w:val="20"/>
                <w:szCs w:val="20"/>
              </w:rPr>
              <w:t xml:space="preserve">Prompt engineering technique</w:t>
            </w:r>
          </w:p>
          <w:p>
            <w:pPr>
              <w:spacing w:after="0"/>
              <w:jc w:val="both"/>
            </w:pPr>
            <w:r>
              <w:rPr>
                <w:rFonts w:ascii="Arial" w:cs="Arial" w:eastAsia="Arial" w:hAnsi="Arial"/>
                <w:color w:val="0C447C"/>
                <w:sz w:val="20"/>
                <w:szCs w:val="20"/>
              </w:rPr>
              <w:t xml:space="preserve">The key prompt instruction is: 'Write like a CFA charterholder who moonlights as a quant. Dense, precise, no hedging language.' This suppresses the typical AI tendency toward over-qualified, caveat-heavy financial commentary and produces the confident, assertive tone that resonates with buy-side professionals.</w:t>
            </w:r>
          </w:p>
        </w:tc>
      </w:tr>
    </w:tbl>
    <w:p>
      <w:pPr>
        <w:spacing w:after="80" w:before="80"/>
      </w:pPr>
      <w:r>
        <w:t xml:space="preserve"/>
      </w:r>
    </w:p>
    <w:p>
      <w:pPr>
        <w:pStyle w:val="Heading1"/>
        <w:pBdr>
          <w:bottom w:val="single" w:color="185FA5" w:sz="4" w:space="4"/>
        </w:pBdr>
        <w:spacing w:after="160" w:before="320"/>
      </w:pPr>
      <w:r>
        <w:rPr>
          <w:rFonts w:ascii="Arial" w:cs="Arial" w:eastAsia="Arial" w:hAnsi="Arial"/>
          <w:b/>
          <w:bCs/>
          <w:color w:val="1A1A18"/>
          <w:sz w:val="32"/>
          <w:szCs w:val="32"/>
        </w:rPr>
        <w:t xml:space="preserve">4. Causal Methodology Explained</w:t>
      </w:r>
    </w:p>
    <w:p>
      <w:pPr>
        <w:spacing w:after="100" w:before="60"/>
        <w:jc w:val="both"/>
      </w:pPr>
      <w:r>
        <w:rPr>
          <w:rFonts w:ascii="Arial" w:cs="Arial" w:eastAsia="Arial" w:hAnsi="Arial"/>
          <w:color w:val="1A1A18"/>
          <w:sz w:val="22"/>
          <w:szCs w:val="22"/>
        </w:rPr>
        <w:t xml:space="preserve">The application is designed to illustrate four layers of the PyWhy causal AI stack, each of which maps to a distinct UI element: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UI element</w:t>
            </w:r>
          </w:p>
        </w:tc>
        <w:tc>
          <w:tcPr>
            <w:tcW w:type="dxa" w:w="234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PyWhy tool</w:t>
            </w:r>
          </w:p>
        </w:tc>
        <w:tc>
          <w:tcPr>
            <w:tcW w:type="dxa" w:w="234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What it produces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Confounder pills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DoWhy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Causal DAG construction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Identifies variables to control for</w:t>
            </w:r>
          </w:p>
        </w:tc>
      </w:tr>
      <w:tr>
        <w:tc>
          <w:tcPr>
            <w:tcW w:type="dxa" w:w="23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Counterfactual line</w:t>
            </w:r>
          </w:p>
        </w:tc>
        <w:tc>
          <w:tcPr>
            <w:tcW w:type="dxa" w:w="23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DoWhy</w:t>
            </w:r>
          </w:p>
        </w:tc>
        <w:tc>
          <w:tcPr>
            <w:tcW w:type="dxa" w:w="23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Synthetic control / DiD</w:t>
            </w:r>
          </w:p>
        </w:tc>
        <w:tc>
          <w:tcPr>
            <w:tcW w:type="dxa" w:w="23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Estimates baseline without the event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Causal impact metric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EconML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Double Machine Learning (DML)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Net causal effect of the event</w:t>
            </w:r>
          </w:p>
        </w:tc>
      </w:tr>
      <w:tr>
        <w:tc>
          <w:tcPr>
            <w:tcW w:type="dxa" w:w="23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Factor bars</w:t>
            </w:r>
          </w:p>
        </w:tc>
        <w:tc>
          <w:tcPr>
            <w:tcW w:type="dxa" w:w="23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EconML</w:t>
            </w:r>
          </w:p>
        </w:tc>
        <w:tc>
          <w:tcPr>
            <w:tcW w:type="dxa" w:w="23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DML factor decomposition</w:t>
            </w:r>
          </w:p>
        </w:tc>
        <w:tc>
          <w:tcPr>
            <w:tcW w:type="dxa" w:w="234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Attribution of impact to drivers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Sector bars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EconML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Causal Forest (Wager &amp; Athey 2018)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Heterogeneous effects by sector</w:t>
            </w:r>
          </w:p>
        </w:tc>
      </w:tr>
    </w:tbl>
    <w:p>
      <w:pPr>
        <w:spacing w:after="80" w:before="80"/>
      </w:pPr>
      <w:r>
        <w:t xml:space="preserve"/>
      </w:r>
    </w:p>
    <w:p>
      <w:pPr>
        <w:pStyle w:val="Heading2"/>
        <w:spacing w:after="120" w:before="240"/>
      </w:pPr>
      <w:r>
        <w:rPr>
          <w:rFonts w:ascii="Arial" w:cs="Arial" w:eastAsia="Arial" w:hAnsi="Arial"/>
          <w:b/>
          <w:bCs/>
          <w:color w:val="185FA5"/>
          <w:sz w:val="26"/>
          <w:szCs w:val="26"/>
        </w:rPr>
        <w:t xml:space="preserve">4.1  Difference-in-differences and synthetic control</w:t>
      </w:r>
    </w:p>
    <w:p>
      <w:pPr>
        <w:spacing w:after="100" w:before="60"/>
        <w:jc w:val="both"/>
      </w:pPr>
      <w:r>
        <w:rPr>
          <w:rFonts w:ascii="Arial" w:cs="Arial" w:eastAsia="Arial" w:hAnsi="Arial"/>
          <w:color w:val="1A1A18"/>
          <w:sz w:val="22"/>
          <w:szCs w:val="22"/>
        </w:rPr>
        <w:t xml:space="preserve">The counterfactual estimate answers the core causal question: what return would the market have delivered in the absence of this specific event? The DoWhy synthetic control approach constructs a weighted combination of control assets (non-affected markets, asset classes) whose pre-event trajectory closely matched the target, then uses the post-event divergence as the counterfactual estimate.</w:t>
      </w:r>
    </w:p>
    <w:p>
      <w:pPr>
        <w:spacing w:after="100" w:before="60"/>
        <w:jc w:val="both"/>
      </w:pPr>
      <w:r>
        <w:rPr>
          <w:rFonts w:ascii="Arial" w:cs="Arial" w:eastAsia="Arial" w:hAnsi="Arial"/>
          <w:color w:val="1A1A18"/>
          <w:sz w:val="22"/>
          <w:szCs w:val="22"/>
        </w:rPr>
        <w:t xml:space="preserve">The difference-in-differences (DiD) estimator provides a simpler alternative when a clean control group exists: it compares the pre/post change in the treated group (e.g. US equities) against the pre/post change in the control group (e.g. unaffected international markets).</w:t>
      </w:r>
    </w:p>
    <w:p>
      <w:pPr>
        <w:spacing w:after="80" w:before="80"/>
      </w:pPr>
      <w:r>
        <w:t xml:space="preserve"/>
      </w:r>
    </w:p>
    <w:p>
      <w:pPr>
        <w:pStyle w:val="Heading2"/>
        <w:spacing w:after="120" w:before="240"/>
      </w:pPr>
      <w:r>
        <w:rPr>
          <w:rFonts w:ascii="Arial" w:cs="Arial" w:eastAsia="Arial" w:hAnsi="Arial"/>
          <w:b/>
          <w:bCs/>
          <w:color w:val="185FA5"/>
          <w:sz w:val="26"/>
          <w:szCs w:val="26"/>
        </w:rPr>
        <w:t xml:space="preserve">4.2  Double Machine Learning (DML)</w:t>
      </w:r>
    </w:p>
    <w:p>
      <w:pPr>
        <w:spacing w:after="100" w:before="60"/>
        <w:jc w:val="both"/>
      </w:pPr>
      <w:r>
        <w:rPr>
          <w:rFonts w:ascii="Arial" w:cs="Arial" w:eastAsia="Arial" w:hAnsi="Arial"/>
          <w:color w:val="1A1A18"/>
          <w:sz w:val="22"/>
          <w:szCs w:val="22"/>
        </w:rPr>
        <w:t xml:space="preserve">EconML’s DML estimator is the engine behind the factor decomposition. It uses a two-stage cross-fitting procedure to remove the influence of confounders from both the treatment variable and the outcome variable before estimating their causal relationship. This is critical in financial data, where everything correlates with everything else.</w:t>
      </w:r>
    </w:p>
    <w:p>
      <w:pPr>
        <w:spacing w:after="100" w:before="60"/>
        <w:jc w:val="both"/>
      </w:pPr>
      <w:r>
        <w:rPr>
          <w:rFonts w:ascii="Arial" w:cs="Arial" w:eastAsia="Arial" w:hAnsi="Arial"/>
          <w:color w:val="1A1A18"/>
          <w:sz w:val="22"/>
          <w:szCs w:val="22"/>
        </w:rPr>
        <w:t xml:space="preserve">The factor attribution works by running DML separately for each hypothesised causal driver (policy uncertainty, dollar strength, etc.) while controlling for all others. The partial R-squared contribution of each driver provides the attribution percentages shown in the Causal Factors chart.</w:t>
      </w:r>
    </w:p>
    <w:p>
      <w:pPr>
        <w:spacing w:after="80" w:before="80"/>
      </w:pPr>
      <w:r>
        <w:t xml:space="preserve"/>
      </w:r>
    </w:p>
    <w:p>
      <w:pPr>
        <w:pStyle w:val="Heading2"/>
        <w:spacing w:after="120" w:before="240"/>
      </w:pPr>
      <w:r>
        <w:rPr>
          <w:rFonts w:ascii="Arial" w:cs="Arial" w:eastAsia="Arial" w:hAnsi="Arial"/>
          <w:b/>
          <w:bCs/>
          <w:color w:val="185FA5"/>
          <w:sz w:val="26"/>
          <w:szCs w:val="26"/>
        </w:rPr>
        <w:t xml:space="preserve">4.3  Causal Forest and heterogeneous treatment effects</w:t>
      </w:r>
    </w:p>
    <w:p>
      <w:pPr>
        <w:spacing w:after="100" w:before="60"/>
        <w:jc w:val="both"/>
      </w:pPr>
      <w:r>
        <w:rPr>
          <w:rFonts w:ascii="Arial" w:cs="Arial" w:eastAsia="Arial" w:hAnsi="Arial"/>
          <w:color w:val="1A1A18"/>
          <w:sz w:val="22"/>
          <w:szCs w:val="22"/>
        </w:rPr>
        <w:t xml:space="preserve">The sector-level impact chart is the most technically sophisticated element. Rather than estimating a single average treatment effect, EconML’s Causal Forest (based on Wager &amp; Athey, 2018) estimates a separate treatment effect for each observation — in this case, each sector. This produces heterogeneous treatment effects (HTEs) that reveal which sectors were causally impacted most severely by a given event.</w:t>
      </w:r>
    </w:p>
    <w:p>
      <w:pPr>
        <w:spacing w:after="100" w:before="60"/>
        <w:jc w:val="both"/>
      </w:pPr>
      <w:r>
        <w:rPr>
          <w:rFonts w:ascii="Arial" w:cs="Arial" w:eastAsia="Arial" w:hAnsi="Arial"/>
          <w:color w:val="1A1A18"/>
          <w:sz w:val="22"/>
          <w:szCs w:val="22"/>
        </w:rPr>
        <w:t xml:space="preserve">This is particularly valuable for portfolio construction: an index-level causal impact of −10% does not mean every sector fell 10%. The Causal Forest estimates show that during the Liberation Day Tariffs, Consumer Discretionary fell 15.2% causally while Utilities fell only 1.1% — a 14-point spread that represents a genuine positioning opportunity.</w:t>
      </w:r>
    </w:p>
    <w:p>
      <w:pPr>
        <w:spacing w:after="80" w:before="80"/>
      </w:pPr>
      <w:r>
        <w:t xml:space="preserve"/>
      </w:r>
    </w:p>
    <w:p>
      <w:pPr>
        <w:pStyle w:val="Heading1"/>
        <w:pBdr>
          <w:bottom w:val="single" w:color="185FA5" w:sz="4" w:space="4"/>
        </w:pBdr>
        <w:spacing w:after="160" w:before="320"/>
      </w:pPr>
      <w:r>
        <w:rPr>
          <w:rFonts w:ascii="Arial" w:cs="Arial" w:eastAsia="Arial" w:hAnsi="Arial"/>
          <w:b/>
          <w:bCs/>
          <w:color w:val="1A1A18"/>
          <w:sz w:val="32"/>
          <w:szCs w:val="32"/>
        </w:rPr>
        <w:t xml:space="preserve">5. Complete File Reference</w:t>
      </w:r>
    </w:p>
    <w:p>
      <w:pPr>
        <w:pStyle w:val="Heading2"/>
        <w:spacing w:after="120" w:before="240"/>
      </w:pPr>
      <w:r>
        <w:rPr>
          <w:rFonts w:ascii="Arial" w:cs="Arial" w:eastAsia="Arial" w:hAnsi="Arial"/>
          <w:b/>
          <w:bCs/>
          <w:color w:val="185FA5"/>
          <w:sz w:val="26"/>
          <w:szCs w:val="26"/>
        </w:rPr>
        <w:t xml:space="preserve">index.html</w:t>
      </w:r>
    </w:p>
    <w:p>
      <w:pPr>
        <w:spacing w:after="100" w:before="60"/>
        <w:jc w:val="both"/>
      </w:pPr>
      <w:r>
        <w:rPr>
          <w:rFonts w:ascii="Arial" w:cs="Arial" w:eastAsia="Arial" w:hAnsi="Arial"/>
          <w:color w:val="1A1A18"/>
          <w:sz w:val="22"/>
          <w:szCs w:val="22"/>
        </w:rPr>
        <w:t xml:space="preserve">The application shell. Loads stylesheets, defines the DOM structure including all container divs targeted by JavaScript, and loads the four script files in dependency order (Chart.js CDN first, then data.js, charts.js, app.js).</w:t>
      </w:r>
    </w:p>
    <w:p>
      <w:pPr>
        <w:spacing w:after="80" w:before="80"/>
      </w:pPr>
      <w:r>
        <w:t xml:space="preserve"/>
      </w:r>
    </w:p>
    <w:p>
      <w:pPr>
        <w:pStyle w:val="Heading2"/>
        <w:spacing w:after="120" w:before="240"/>
      </w:pPr>
      <w:r>
        <w:rPr>
          <w:rFonts w:ascii="Arial" w:cs="Arial" w:eastAsia="Arial" w:hAnsi="Arial"/>
          <w:b/>
          <w:bCs/>
          <w:color w:val="185FA5"/>
          <w:sz w:val="26"/>
          <w:szCs w:val="26"/>
        </w:rPr>
        <w:t xml:space="preserve">styles.css (~190 lines)</w:t>
      </w:r>
    </w:p>
    <w:p>
      <w:pPr>
        <w:spacing w:after="100" w:before="60"/>
        <w:jc w:val="both"/>
      </w:pPr>
      <w:r>
        <w:rPr>
          <w:rFonts w:ascii="Arial" w:cs="Arial" w:eastAsia="Arial" w:hAnsi="Arial"/>
          <w:color w:val="1A1A18"/>
          <w:sz w:val="22"/>
          <w:szCs w:val="22"/>
        </w:rPr>
        <w:t xml:space="preserve">The complete design system. Key sections:</w:t>
      </w:r>
    </w:p>
    <w:p>
      <w:pPr>
        <w:pStyle w:val="ListParagraph"/>
        <w:numPr>
          <w:ilvl w:val="0"/>
          <w:numId w:val="2"/>
        </w:numPr>
        <w:spacing w:after="40" w:before="40"/>
      </w:pPr>
      <w:r>
        <w:rPr>
          <w:rFonts w:ascii="Arial" w:cs="Arial" w:eastAsia="Arial" w:hAnsi="Arial"/>
          <w:b w:val="false"/>
          <w:bCs w:val="false"/>
          <w:color w:val="1A1A18"/>
          <w:sz w:val="22"/>
          <w:szCs w:val="22"/>
        </w:rPr>
        <w:t xml:space="preserve">CSS custom properties block with full light/dark mode variables</w:t>
      </w:r>
    </w:p>
    <w:p>
      <w:pPr>
        <w:pStyle w:val="ListParagraph"/>
        <w:numPr>
          <w:ilvl w:val="0"/>
          <w:numId w:val="2"/>
        </w:numPr>
        <w:spacing w:after="40" w:before="40"/>
      </w:pPr>
      <w:r>
        <w:rPr>
          <w:rFonts w:ascii="Arial" w:cs="Arial" w:eastAsia="Arial" w:hAnsi="Arial"/>
          <w:b w:val="false"/>
          <w:bCs w:val="false"/>
          <w:color w:val="1A1A18"/>
          <w:sz w:val="22"/>
          <w:szCs w:val="22"/>
        </w:rPr>
        <w:t xml:space="preserve">Terminal header layout (flexbox, responsive collapse)</w:t>
      </w:r>
    </w:p>
    <w:p>
      <w:pPr>
        <w:pStyle w:val="ListParagraph"/>
        <w:numPr>
          <w:ilvl w:val="0"/>
          <w:numId w:val="2"/>
        </w:numPr>
        <w:spacing w:after="40" w:before="40"/>
      </w:pPr>
      <w:r>
        <w:rPr>
          <w:rFonts w:ascii="Arial" w:cs="Arial" w:eastAsia="Arial" w:hAnsi="Arial"/>
          <w:b w:val="false"/>
          <w:bCs w:val="false"/>
          <w:color w:val="1A1A18"/>
          <w:sz w:val="22"/>
          <w:szCs w:val="22"/>
        </w:rPr>
        <w:t xml:space="preserve">Event button states (default, active with blue border accent)</w:t>
      </w:r>
    </w:p>
    <w:p>
      <w:pPr>
        <w:pStyle w:val="ListParagraph"/>
        <w:numPr>
          <w:ilvl w:val="0"/>
          <w:numId w:val="2"/>
        </w:numPr>
        <w:spacing w:after="40" w:before="40"/>
      </w:pPr>
      <w:r>
        <w:rPr>
          <w:rFonts w:ascii="Arial" w:cs="Arial" w:eastAsia="Arial" w:hAnsi="Arial"/>
          <w:b w:val="false"/>
          <w:bCs w:val="false"/>
          <w:color w:val="1A1A18"/>
          <w:sz w:val="22"/>
          <w:szCs w:val="22"/>
        </w:rPr>
        <w:t xml:space="preserve">Metrics grid (4-column, 2-column on mobile)</w:t>
      </w:r>
    </w:p>
    <w:p>
      <w:pPr>
        <w:pStyle w:val="ListParagraph"/>
        <w:numPr>
          <w:ilvl w:val="0"/>
          <w:numId w:val="2"/>
        </w:numPr>
        <w:spacing w:after="40" w:before="40"/>
      </w:pPr>
      <w:r>
        <w:rPr>
          <w:rFonts w:ascii="Arial" w:cs="Arial" w:eastAsia="Arial" w:hAnsi="Arial"/>
          <w:b w:val="false"/>
          <w:bCs w:val="false"/>
          <w:color w:val="1A1A18"/>
          <w:sz w:val="22"/>
          <w:szCs w:val="22"/>
        </w:rPr>
        <w:t xml:space="preserve">Chart tab bar with active state border indicator</w:t>
      </w:r>
    </w:p>
    <w:p>
      <w:pPr>
        <w:pStyle w:val="ListParagraph"/>
        <w:numPr>
          <w:ilvl w:val="0"/>
          <w:numId w:val="2"/>
        </w:numPr>
        <w:spacing w:after="40" w:before="40"/>
      </w:pPr>
      <w:r>
        <w:rPr>
          <w:rFonts w:ascii="Arial" w:cs="Arial" w:eastAsia="Arial" w:hAnsi="Arial"/>
          <w:b w:val="false"/>
          <w:bCs w:val="false"/>
          <w:color w:val="1A1A18"/>
          <w:sz w:val="22"/>
          <w:szCs w:val="22"/>
        </w:rPr>
        <w:t xml:space="preserve">Analysis section with placeholder and paragraph styles</w:t>
      </w:r>
    </w:p>
    <w:p>
      <w:pPr>
        <w:spacing w:after="80" w:before="80"/>
      </w:pPr>
      <w:r>
        <w:t xml:space="preserve"/>
      </w:r>
    </w:p>
    <w:p>
      <w:pPr>
        <w:pStyle w:val="Heading2"/>
        <w:spacing w:after="120" w:before="240"/>
      </w:pPr>
      <w:r>
        <w:rPr>
          <w:rFonts w:ascii="Arial" w:cs="Arial" w:eastAsia="Arial" w:hAnsi="Arial"/>
          <w:b/>
          <w:bCs/>
          <w:color w:val="185FA5"/>
          <w:sz w:val="26"/>
          <w:szCs w:val="26"/>
        </w:rPr>
        <w:t xml:space="preserve">data.js (~105 lines)</w:t>
      </w:r>
    </w:p>
    <w:p>
      <w:pPr>
        <w:spacing w:after="100" w:before="60"/>
        <w:jc w:val="both"/>
      </w:pPr>
      <w:r>
        <w:rPr>
          <w:rFonts w:ascii="Arial" w:cs="Arial" w:eastAsia="Arial" w:hAnsi="Arial"/>
          <w:color w:val="1A1A18"/>
          <w:sz w:val="22"/>
          <w:szCs w:val="22"/>
        </w:rPr>
        <w:t xml:space="preserve">The event dataset. Each event object contains: id, name, date, category tag, actual/cf/impact/confidence numerics, timeline array, factors array, sectors array, and confounders array. Extensively commented with methodology explanations.</w:t>
      </w:r>
    </w:p>
    <w:p>
      <w:pPr>
        <w:spacing w:after="80" w:before="80"/>
      </w:pPr>
      <w:r>
        <w:t xml:space="preserve"/>
      </w:r>
    </w:p>
    <w:p>
      <w:pPr>
        <w:pStyle w:val="Heading2"/>
        <w:spacing w:after="120" w:before="240"/>
      </w:pPr>
      <w:r>
        <w:rPr>
          <w:rFonts w:ascii="Arial" w:cs="Arial" w:eastAsia="Arial" w:hAnsi="Arial"/>
          <w:b/>
          <w:bCs/>
          <w:color w:val="185FA5"/>
          <w:sz w:val="26"/>
          <w:szCs w:val="26"/>
        </w:rPr>
        <w:t xml:space="preserve">charts.js (~130 lines)</w:t>
      </w:r>
    </w:p>
    <w:p>
      <w:pPr>
        <w:spacing w:after="100" w:before="60"/>
        <w:jc w:val="both"/>
      </w:pPr>
      <w:r>
        <w:rPr>
          <w:rFonts w:ascii="Arial" w:cs="Arial" w:eastAsia="Arial" w:hAnsi="Arial"/>
          <w:color w:val="1A1A18"/>
          <w:sz w:val="22"/>
          <w:szCs w:val="22"/>
        </w:rPr>
        <w:t xml:space="preserve">The chart rendering module. Functions: clearChart(), renderTimeline(event), renderFactors(event), renderSectors(event), renderChart(tab, event). Each render function builds the canvas container HTML, instantiates a Chart.js instance, and stores it in the module-scoped chartInstance variable for cleanup on tab switch.</w:t>
      </w:r>
    </w:p>
    <w:p>
      <w:pPr>
        <w:spacing w:after="80" w:before="80"/>
      </w:pPr>
      <w:r>
        <w:t xml:space="preserve"/>
      </w:r>
    </w:p>
    <w:p>
      <w:pPr>
        <w:pStyle w:val="Heading2"/>
        <w:spacing w:after="120" w:before="240"/>
      </w:pPr>
      <w:r>
        <w:rPr>
          <w:rFonts w:ascii="Arial" w:cs="Arial" w:eastAsia="Arial" w:hAnsi="Arial"/>
          <w:b/>
          <w:bCs/>
          <w:color w:val="185FA5"/>
          <w:sz w:val="26"/>
          <w:szCs w:val="26"/>
        </w:rPr>
        <w:t xml:space="preserve">app.js (~130 lines)</w:t>
      </w:r>
    </w:p>
    <w:p>
      <w:pPr>
        <w:spacing w:after="100" w:before="60"/>
        <w:jc w:val="both"/>
      </w:pPr>
      <w:r>
        <w:rPr>
          <w:rFonts w:ascii="Arial" w:cs="Arial" w:eastAsia="Arial" w:hAnsi="Arial"/>
          <w:color w:val="1A1A18"/>
          <w:sz w:val="22"/>
          <w:szCs w:val="22"/>
        </w:rPr>
        <w:t xml:space="preserve">The application controller. Manages currentEvent and currentTab state. Exposes selectEvent(), switchTab(), renderMetrics(), renderConfounders(), renderEventTabs() for DOM management, and runAnalysis() for the Claude API call. Bootstrapped via DOMContentLoaded event listener.</w:t>
      </w:r>
    </w:p>
    <w:p>
      <w:pPr>
        <w:spacing w:after="80" w:before="80"/>
      </w:pPr>
      <w:r>
        <w:t xml:space="preserve"/>
      </w:r>
    </w:p>
    <w:p>
      <w:pPr>
        <w:pStyle w:val="Heading1"/>
        <w:pBdr>
          <w:bottom w:val="single" w:color="185FA5" w:sz="4" w:space="4"/>
        </w:pBdr>
        <w:spacing w:after="160" w:before="320"/>
      </w:pPr>
      <w:r>
        <w:rPr>
          <w:rFonts w:ascii="Arial" w:cs="Arial" w:eastAsia="Arial" w:hAnsi="Arial"/>
          <w:b/>
          <w:bCs/>
          <w:color w:val="1A1A18"/>
          <w:sz w:val="32"/>
          <w:szCs w:val="32"/>
        </w:rPr>
        <w:t xml:space="preserve">6. Extension Roadmap</w:t>
      </w:r>
    </w:p>
    <w:p>
      <w:pPr>
        <w:spacing w:after="100" w:before="60"/>
        <w:jc w:val="both"/>
      </w:pPr>
      <w:r>
        <w:rPr>
          <w:rFonts w:ascii="Arial" w:cs="Arial" w:eastAsia="Arial" w:hAnsi="Arial"/>
          <w:color w:val="1A1A18"/>
          <w:sz w:val="22"/>
          <w:szCs w:val="22"/>
        </w:rPr>
        <w:t xml:space="preserve">The current demo uses illustrative data. A production version would extend the architecture in the following directions: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Extension</w:t>
            </w:r>
          </w:p>
        </w:tc>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312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Live market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Connect to Bloomberg or Refinitiv API for real-time event detection</w:t>
            </w:r>
          </w:p>
        </w:tc>
      </w:tr>
      <w:tr>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Real EconML backend</w:t>
            </w:r>
          </w:p>
        </w:tc>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High</w:t>
            </w:r>
          </w:p>
        </w:tc>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Python FastAPI service running actual DML and Causal Forest models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Portfolio overlay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Allow users to input a portfolio and see personalised HTE exposure</w:t>
            </w:r>
          </w:p>
        </w:tc>
      </w:tr>
      <w:tr>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Event scanner</w:t>
            </w:r>
          </w:p>
        </w:tc>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High</w:t>
            </w:r>
          </w:p>
        </w:tc>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Automated DoWhy DAG construction for new events as they emerge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Report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PDF export of the causal analysis narrative per event</w:t>
            </w:r>
          </w:p>
        </w:tc>
      </w:tr>
      <w:tr>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Multi-asset classes</w:t>
            </w:r>
          </w:p>
        </w:tc>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Medium</w:t>
            </w:r>
          </w:p>
        </w:tc>
        <w:tc>
          <w:tcPr>
            <w:tcW w:type="dxa" w:w="312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color w:val="1A1A18"/>
                <w:sz w:val="20"/>
                <w:szCs w:val="20"/>
              </w:rPr>
              <w:t xml:space="preserve">Extend beyond equities to credit, FX, and rates</w:t>
            </w:r>
          </w:p>
        </w:tc>
      </w:tr>
    </w:tbl>
    <w:p>
      <w:pPr>
        <w:spacing w:after="80" w:before="80"/>
      </w:pPr>
      <w:r>
        <w:t xml:space="preserve"/>
      </w:r>
    </w:p>
    <w:p>
      <w:pPr>
        <w:pStyle w:val="Heading1"/>
        <w:pBdr>
          <w:bottom w:val="single" w:color="185FA5" w:sz="4" w:space="4"/>
        </w:pBdr>
        <w:spacing w:after="160" w:before="320"/>
      </w:pPr>
      <w:r>
        <w:rPr>
          <w:rFonts w:ascii="Arial" w:cs="Arial" w:eastAsia="Arial" w:hAnsi="Arial"/>
          <w:b/>
          <w:bCs/>
          <w:color w:val="1A1A18"/>
          <w:sz w:val="32"/>
          <w:szCs w:val="32"/>
        </w:rPr>
        <w:t xml:space="preserve">7. Dependencies</w:t>
      </w:r>
    </w:p>
    <w:p>
      <w:pPr>
        <w:spacing w:after="100" w:before="60"/>
        <w:jc w:val="both"/>
      </w:pPr>
      <w:r>
        <w:rPr>
          <w:rFonts w:ascii="Arial" w:cs="Arial" w:eastAsia="Arial" w:hAnsi="Arial"/>
          <w:color w:val="1A1A18"/>
          <w:sz w:val="22"/>
          <w:szCs w:val="22"/>
        </w:rPr>
        <w:t xml:space="preserve">The front-end application has a single runtime dependency:</w:t>
      </w:r>
    </w:p>
    <w:p>
      <w:pPr>
        <w:pStyle w:val="ListParagraph"/>
        <w:numPr>
          <w:ilvl w:val="0"/>
          <w:numId w:val="2"/>
        </w:numPr>
        <w:spacing w:after="40" w:before="40"/>
      </w:pPr>
      <w:r>
        <w:rPr>
          <w:rFonts w:ascii="Arial" w:cs="Arial" w:eastAsia="Arial" w:hAnsi="Arial"/>
          <w:b w:val="false"/>
          <w:bCs w:val="false"/>
          <w:color w:val="1A1A18"/>
          <w:sz w:val="22"/>
          <w:szCs w:val="22"/>
        </w:rPr>
        <w:t xml:space="preserve">Chart.js 4.4.1 (cdnjs.cloudflare.com) — for all chart rendering</w:t>
      </w:r>
    </w:p>
    <w:p>
      <w:pPr>
        <w:spacing w:after="100" w:before="60"/>
        <w:jc w:val="both"/>
      </w:pPr>
      <w:r>
        <w:rPr>
          <w:rFonts w:ascii="Arial" w:cs="Arial" w:eastAsia="Arial" w:hAnsi="Arial"/>
          <w:color w:val="1A1A18"/>
          <w:sz w:val="22"/>
          <w:szCs w:val="22"/>
        </w:rPr>
        <w:t xml:space="preserve">The AI analysis layer requires:</w:t>
      </w:r>
    </w:p>
    <w:p>
      <w:pPr>
        <w:pStyle w:val="ListParagraph"/>
        <w:numPr>
          <w:ilvl w:val="0"/>
          <w:numId w:val="2"/>
        </w:numPr>
        <w:spacing w:after="40" w:before="40"/>
      </w:pPr>
      <w:r>
        <w:rPr>
          <w:rFonts w:ascii="Arial" w:cs="Arial" w:eastAsia="Arial" w:hAnsi="Arial"/>
          <w:b w:val="false"/>
          <w:bCs w:val="false"/>
          <w:color w:val="1A1A18"/>
          <w:sz w:val="22"/>
          <w:szCs w:val="22"/>
        </w:rPr>
        <w:t xml:space="preserve">Anthropic Claude API (api.anthropic.com/v1/messages) — claude-sonnet-4-20250514</w:t>
      </w:r>
    </w:p>
    <w:p>
      <w:pPr>
        <w:spacing w:after="100" w:before="60"/>
        <w:jc w:val="both"/>
      </w:pPr>
      <w:r>
        <w:rPr>
          <w:rFonts w:ascii="Arial" w:cs="Arial" w:eastAsia="Arial" w:hAnsi="Arial"/>
          <w:color w:val="1A1A18"/>
          <w:sz w:val="22"/>
          <w:szCs w:val="22"/>
        </w:rPr>
        <w:t xml:space="preserve">No build tools, bundlers, or package managers are required to run the application. Open index.html in any modern browser.</w:t>
      </w:r>
    </w:p>
    <w:p>
      <w:pPr>
        <w:spacing w:after="80" w:before="80"/>
      </w:pPr>
      <w:r>
        <w:t xml:space="preserve"/>
      </w:r>
    </w:p>
    <w:p>
      <w:pPr>
        <w:spacing w:after="100" w:before="60"/>
        <w:jc w:val="both"/>
      </w:pPr>
      <w:r>
        <w:rPr>
          <w:rFonts w:ascii="Arial" w:cs="Arial" w:eastAsia="Arial" w:hAnsi="Arial"/>
          <w:color w:val="1A1A18"/>
          <w:sz w:val="22"/>
          <w:szCs w:val="22"/>
        </w:rPr>
        <w:t xml:space="preserve">For a production EconML/DoWhy backend, the Python dependencies would be:</w:t>
      </w:r>
    </w:p>
    <w:p>
      <w:pPr>
        <w:pStyle w:val="ListParagraph"/>
        <w:numPr>
          <w:ilvl w:val="0"/>
          <w:numId w:val="2"/>
        </w:numPr>
        <w:spacing w:after="40" w:before="40"/>
      </w:pPr>
      <w:r>
        <w:rPr>
          <w:rFonts w:ascii="Arial" w:cs="Arial" w:eastAsia="Arial" w:hAnsi="Arial"/>
          <w:b w:val="false"/>
          <w:bCs w:val="false"/>
          <w:color w:val="1A1A18"/>
          <w:sz w:val="22"/>
          <w:szCs w:val="22"/>
        </w:rPr>
        <w:t xml:space="preserve">econml &gt;= 0.15</w:t>
      </w:r>
    </w:p>
    <w:p>
      <w:pPr>
        <w:pStyle w:val="ListParagraph"/>
        <w:numPr>
          <w:ilvl w:val="0"/>
          <w:numId w:val="2"/>
        </w:numPr>
        <w:spacing w:after="40" w:before="40"/>
      </w:pPr>
      <w:r>
        <w:rPr>
          <w:rFonts w:ascii="Arial" w:cs="Arial" w:eastAsia="Arial" w:hAnsi="Arial"/>
          <w:b w:val="false"/>
          <w:bCs w:val="false"/>
          <w:color w:val="1A1A18"/>
          <w:sz w:val="22"/>
          <w:szCs w:val="22"/>
        </w:rPr>
        <w:t xml:space="preserve">dowhy &gt;= 0.11</w:t>
      </w:r>
    </w:p>
    <w:p>
      <w:pPr>
        <w:pStyle w:val="ListParagraph"/>
        <w:numPr>
          <w:ilvl w:val="0"/>
          <w:numId w:val="2"/>
        </w:numPr>
        <w:spacing w:after="40" w:before="40"/>
      </w:pPr>
      <w:r>
        <w:rPr>
          <w:rFonts w:ascii="Arial" w:cs="Arial" w:eastAsia="Arial" w:hAnsi="Arial"/>
          <w:b w:val="false"/>
          <w:bCs w:val="false"/>
          <w:color w:val="1A1A18"/>
          <w:sz w:val="22"/>
          <w:szCs w:val="22"/>
        </w:rPr>
        <w:t xml:space="preserve">pandas, numpy, scikit-learn (standard scientific Python stack)</w:t>
      </w:r>
    </w:p>
    <w:p>
      <w:pPr>
        <w:pStyle w:val="ListParagraph"/>
        <w:numPr>
          <w:ilvl w:val="0"/>
          <w:numId w:val="2"/>
        </w:numPr>
        <w:spacing w:after="40" w:before="40"/>
      </w:pPr>
      <w:r>
        <w:rPr>
          <w:rFonts w:ascii="Arial" w:cs="Arial" w:eastAsia="Arial" w:hAnsi="Arial"/>
          <w:b w:val="false"/>
          <w:bCs w:val="false"/>
          <w:color w:val="1A1A18"/>
          <w:sz w:val="22"/>
          <w:szCs w:val="22"/>
        </w:rPr>
        <w:t xml:space="preserve">fastapi + uvicorn (API server)</w:t>
      </w:r>
    </w:p>
    <w:p>
      <w:pPr>
        <w:spacing w:after="80" w:before="80"/>
      </w:pPr>
      <w:r>
        <w:t xml:space="preserve"/>
      </w:r>
    </w:p>
    <w:p>
      <w:pPr>
        <w:pStyle w:val="Heading1"/>
        <w:pBdr>
          <w:bottom w:val="single" w:color="185FA5" w:sz="4" w:space="4"/>
        </w:pBdr>
        <w:spacing w:after="160" w:before="320"/>
      </w:pPr>
      <w:r>
        <w:rPr>
          <w:rFonts w:ascii="Arial" w:cs="Arial" w:eastAsia="Arial" w:hAnsi="Arial"/>
          <w:b/>
          <w:bCs/>
          <w:color w:val="1A1A18"/>
          <w:sz w:val="32"/>
          <w:szCs w:val="32"/>
        </w:rPr>
        <w:t xml:space="preserve">8. Closing Note</w:t>
      </w:r>
    </w:p>
    <w:p>
      <w:pPr>
        <w:spacing w:after="100" w:before="60"/>
        <w:jc w:val="both"/>
      </w:pPr>
      <w:r>
        <w:rPr>
          <w:rFonts w:ascii="Arial" w:cs="Arial" w:eastAsia="Arial" w:hAnsi="Arial"/>
          <w:color w:val="1A1A18"/>
          <w:sz w:val="22"/>
          <w:szCs w:val="22"/>
        </w:rPr>
        <w:t xml:space="preserve">CausalEdge was built in a single session as a demonstration of how quickly a compelling, technically credible AI-powered finance tool can be assembled from the PyWhy ecosystem and the Anthropic Claude API.</w:t>
      </w:r>
    </w:p>
    <w:p>
      <w:pPr>
        <w:spacing w:after="100" w:before="60"/>
        <w:jc w:val="both"/>
      </w:pPr>
      <w:r>
        <w:rPr>
          <w:rFonts w:ascii="Arial" w:cs="Arial" w:eastAsia="Arial" w:hAnsi="Arial"/>
          <w:color w:val="1A1A18"/>
          <w:sz w:val="22"/>
          <w:szCs w:val="22"/>
        </w:rPr>
        <w:t xml:space="preserve">The pitch value is in what the terminal does not do: it does not predict. It causes. That distinction — between correlation and causation — is the entire product story, and every element of the UX is designed to make that distinction viscerally clear to a quantitative finance audience.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6"/>
              <w:left w:val="single" w:color="CCCCCC" w:sz="1"/>
              <w:bottom w:val="single" w:color="CCCCCC" w:sz="1"/>
              <w:right w:val="single" w:color="CCCCCC" w:sz="1"/>
            </w:tcBorders>
            <w:shd w:fill="E6F1FB" w:val="clear"/>
            <w:tcMar>
              <w:top w:type="dxa" w:w="100"/>
              <w:left w:type="dxa" w:w="160"/>
              <w:bottom w:type="dxa" w:w="100"/>
              <w:right w:type="dxa" w:w="160"/>
            </w:tcMar>
          </w:tcPr>
          <w:p>
            <w:pPr>
              <w:spacing w:after="60"/>
            </w:pPr>
            <w:r>
              <w:rPr>
                <w:rFonts w:ascii="Arial" w:cs="Arial" w:eastAsia="Arial" w:hAnsi="Arial"/>
                <w:b/>
                <w:bCs/>
                <w:color w:val="185FA5"/>
                <w:sz w:val="20"/>
                <w:szCs w:val="20"/>
              </w:rPr>
              <w:t xml:space="preserve">The one-line pitch</w:t>
            </w:r>
          </w:p>
          <w:p>
            <w:pPr>
              <w:spacing w:after="0"/>
              <w:jc w:val="both"/>
            </w:pPr>
            <w:r>
              <w:rPr>
                <w:rFonts w:ascii="Arial" w:cs="Arial" w:eastAsia="Arial" w:hAnsi="Arial"/>
                <w:color w:val="0C447C"/>
                <w:sz w:val="20"/>
                <w:szCs w:val="20"/>
              </w:rPr>
              <w:t xml:space="preserve">When everything crashes at once, correlation is useless. Causation is the edge. EconML + DoWhy is how the top-tier shops are finding it. This terminal shows you what that looks like in practice.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right"/>
    </w:pPr>
    <w:r>
      <w:rPr>
        <w:rFonts w:ascii="Arial" w:cs="Arial" w:eastAsia="Arial" w:hAnsi="Arial"/>
        <w:color w:val="888780"/>
        <w:sz w:val="18"/>
        <w:szCs w:val="18"/>
      </w:rPr>
      <w:t xml:space="preserve">CausalEdge™ — Confidential Demo Documentation    |    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pPr>
    <w:r>
      <w:rPr>
        <w:rFonts w:ascii="Arial" w:cs="Arial" w:eastAsia="Arial" w:hAnsi="Arial"/>
        <w:color w:val="888780"/>
        <w:sz w:val="18"/>
        <w:szCs w:val="18"/>
      </w:rPr>
      <w:t xml:space="preserve">CausalEdge™ Market Intelligence Terminal</w:t>
    </w:r>
    <w:r>
      <w:rPr>
        <w:rFonts w:ascii="Arial" w:cs="Arial" w:eastAsia="Arial" w:hAnsi="Arial"/>
        <w:color w:val="888780"/>
        <w:sz w:val="18"/>
        <w:szCs w:val="18"/>
      </w:rPr>
      <w:t xml:space="preserve">    |    Build Report &amp;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2026-04-09T04:19:24.226Z</dcterms:created>
  <dcterms:modified xsi:type="dcterms:W3CDTF">2026-04-09T04:19:24.227Z</dcterms:modified>
</cp:coreProperties>
</file>

<file path=docProps/custom.xml><?xml version="1.0" encoding="utf-8"?>
<Properties xmlns="http://schemas.openxmlformats.org/officeDocument/2006/custom-properties" xmlns:vt="http://schemas.openxmlformats.org/officeDocument/2006/docPropsVTypes"/>
</file>