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Security Overview</w:t>
      </w:r>
    </w:p>
    <w:p>
      <w:r>
        <w:t>All production data is encrypted at rest using AES-256. Data in transit is protected by TLS 1.2 or higher across customer-facing endpoints. See SOC 2 Type II report section 3.2 for details.</w:t>
      </w:r>
    </w:p>
    <w:p>
      <w:r>
        <w:t>Incident response: documented IR Playbook v4, 24/7 on-call coverage, 15-minute acknowledgement SLA for P1. Customers notified within 72 hours of confirmed breach per our DPA.</w:t>
      </w:r>
    </w:p>
    <w:p>
      <w:r>
        <w:t>MFA is enforced on all internal systems with access to production. Customer-facing MFA is optional today and on the roadmap to be required by default in Q3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