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4E79"/>
          <w:sz w:val="52"/>
          <w:szCs w:val="52"/>
        </w:rPr>
        <w:t xml:space="preserve">Notification Service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Event-driven microservice with AI-powered personalization</w:t>
      </w:r>
    </w:p>
    <w:p>
      <w:pPr>
        <w:spacing w:before="60" w:after="20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E75B6" w:val="clear"/>
        </w:rPr>
        <w:t xml:space="preserve">Java 17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9"/>
          <w:szCs w:val="19"/>
          <w:shd w:fill="1E4E79" w:val="clear"/>
        </w:rPr>
        <w:t xml:space="preserve">Spring Boot 3.2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9"/>
          <w:szCs w:val="19"/>
          <w:shd w:fill="E67E22" w:val="clear"/>
        </w:rPr>
        <w:t xml:space="preserve">RabbitMQ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9"/>
          <w:szCs w:val="19"/>
          <w:shd w:fill="1E8449" w:val="clear"/>
        </w:rPr>
        <w:t xml:space="preserve">OpenAI + Pinecone RAG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9"/>
          <w:szCs w:val="19"/>
          <w:shd w:fill="6C3483" w:val="clear"/>
        </w:rPr>
        <w:t xml:space="preserve">88 Tests</w:t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production-grade, event-driven notification microservice that sends Email, SMS, and Push notifications through independent async consumers. An AI-powered RAG (Retrieval-Augmented Generation) pipeline personalizes content for each user using their historical behaviour stored in Pinecone, retrieved as semantic context for OpenAI to generate tailored messages.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API endpoint is secured with stateless JWT authentication. The full pipeline — from REST call to delivered notification — is covered by 88 automated tests across unit, integration, and end-to-end layers.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Tech Stack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Runtime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Java 17, Spring Boot 3.2, Maven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Messaging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RabbitMQ (AMQP, manual ACK, Dead Letter Queues)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15 + Spring Data JPA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Cache/Dedup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Redis 7 (deduplication, idempotency keys)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Auth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Spring Security + JWT (JJWT, HS256, BCrypt strength 12)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Email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JavaMail (SMTP, HTML templates)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SMS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Twilio SDK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Push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Firebase Admin SDK (FCM — Android, iOS, Web)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AI Embeddings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 text-embedding-ada-002 (1536 dimensions)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Pinecone (cosine similarity, user-namespaced)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LLM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 gpt-3.5-turbo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Containers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Docker + Docker Compose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Testing</w:t>
            </w:r>
          </w:p>
        </w:tc>
        <w:tc>
          <w:tcPr>
            <w:tcW w:type="dxa" w:w="6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JUnit 5, Mockito, Testcontainers, MockWebServer, Awaitility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Architecture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service follows an event-driven architecture where the REST API layer is completely decoupled from delivery. Publishing to RabbitMQ returns immediately (HTTP 202 Accepted) while consumers process asynchronously in the background.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 sends POST /api/v1/notifications with a Bearer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JwtAuthFilter validates the token before the request reaches any 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NotificationService checks Redis for a duplicate (userId + type + subject hash)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not duplicate: persists the notification as PENDING, publishes to RabbitMQ exchange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exchange routes to the correct queue by type (email / sms / push)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consumer picks up the message, optionally runs the RAG pipeline, sends via the real provider, and updates PostgreSQL status to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the send fails: nack → DLQ after max retries, PostgreSQL status updated to FAILED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RAG Pipeline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personalize: true is set on a notification request, each consumer runs the following pipeline before sending: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notification subject is embedded via OpenAI text-embedding-ada-002 into a 1536-dim vector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vector is queried against the user's Pinecone namespace (top-3 nearest neighbours)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Matches with similarity score ≥ 0.70 are extracted as structured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context + original content + subject are assembled into a prompt for GPT-3.5-turbo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LLM returns personalized content which is stored on the notification record and delivered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any step fails (Pinecone down, OpenAI rate limit), the original content is used as fallback — the send never blocks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Key Design Decisions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Independent consumers per channel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channel (email/SMS/push) has its own dedicated RabbitMQ queue and Spring @RabbitListener bean. A Twilio outage does not affect email delivery. Each consumer uses MANUAL acknowledge mode — a message is only ACKed after the external send call returns successfully. Failed messages are NACKed and routed to a Dead Letter Queue.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Two-layer deduplication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Deduplication is enforced at two independent checkpoints. First, before the message enters the queue: a hash of userId + type + subject is stored in Redis with a 24-hour TTL. A duplicate API call within 24 hours gets DUPLICATE status immediately. Second, inside each consumer: the notification UUID is stored in Redis after successful processing. If RabbitMQ redelivers the same message (consumer crash scenario), the idempotency check detects it and ACKs without re-sending.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Graceful RAG fallback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entire RAG pipeline is wrapped in a single try/catch in RagPipelineService. If Pinecone is unreachable or OpenAI returns a 429, the method returns the original content unchanged. The send still succeeds. This is the correct trade-off for a notification service — a slightly less personalised message is far better than a dropped notification.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Invalid FCM token handling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Firebase returns UNREGISTERED when a device token is stale (user uninstalled the app). PushConsumer catches InvalidDeviceTokenException specifically and ACKs the message without retrying. A production extension would fire an async event to remove the stale token from the user's profile to prevent future failed sends.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User enumeration prevention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login endpoint returns "Invalid email or password" for both wrong password AND non-existent email. This is a deliberate security decision — returning different errors for each case would allow attackers to probe which email addresses are registered in the system.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API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400"/>
        <w:gridCol w:w="244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None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new user account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None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Authenticate and receive a JWT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Notifications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400"/>
        <w:gridCol w:w="244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/api/v1/notifications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Bearer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 a notification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/api/v1/notifications/{id}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Bearer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notification by ID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/api/v1/notifications/user/{userId}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Bearer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all for a user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Context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400"/>
        <w:gridCol w:w="244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/api/v1/user-context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Bearer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Index a user behaviour event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/api/v1/user-context/batch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Bearer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Index multiple events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93226"/>
                <w:sz w:val="19"/>
                <w:szCs w:val="19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/api/v1/user-context/{userId}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Bearer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 all context (GDPR)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Test Coverage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88 automated tests across three layers. Unit tests use Mockito to isolate each service. Integration tests use Testcontainers to spin up real Docker containers (PostgreSQL, RabbitMQ, Redis) and MockWebServer for HTTP-level assertions on OpenAI/Pinecone calls.</w:t>
      </w:r>
    </w:p>
    <w:p>
      <w:pPr>
        <w:spacing w:before="8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464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4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OpenAiServiceTest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7</w:t>
            </w:r>
          </w:p>
        </w:tc>
        <w:tc>
          <w:tcPr>
            <w:tcW w:type="dxa" w:w="4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payload shape, embedding parsing, error handling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PineconeServiceTest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9</w:t>
            </w:r>
          </w:p>
        </w:tc>
        <w:tc>
          <w:tcPr>
            <w:tcW w:type="dxa" w:w="4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Vector query, score threshold (≥0.70), upsert, GDPR delete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RagPipelineServiceTest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8</w:t>
            </w:r>
          </w:p>
        </w:tc>
        <w:tc>
          <w:tcPr>
            <w:tcW w:type="dxa" w:w="4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Orchestration, prompt contents, graceful fallback on any failure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UserContextServiceTest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13</w:t>
            </w:r>
          </w:p>
        </w:tc>
        <w:tc>
          <w:tcPr>
            <w:tcW w:type="dxa" w:w="4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Upsert pipeline, deterministic IDs, batch partial failures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JwtServiceTest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14</w:t>
            </w:r>
          </w:p>
        </w:tc>
        <w:tc>
          <w:tcPr>
            <w:tcW w:type="dxa" w:w="4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generation, claim extraction, expiry, tampered signatures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AuthIntegrationTest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12</w:t>
            </w:r>
          </w:p>
        </w:tc>
        <w:tc>
          <w:tcPr>
            <w:tcW w:type="dxa" w:w="4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Register, login, duplicate email, protected endpoint access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NotificationFlowIntegrationTest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8</w:t>
            </w:r>
          </w:p>
        </w:tc>
        <w:tc>
          <w:tcPr>
            <w:tcW w:type="dxa" w:w="4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async send flow, deduplication, personalization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DeduplicationIntegrationTest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10</w:t>
            </w:r>
          </w:p>
        </w:tc>
        <w:tc>
          <w:tcPr>
            <w:tcW w:type="dxa" w:w="4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key TTLs, case sensitivity, UUID idempotency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UserContextIntegrationTest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E79"/>
                <w:sz w:val="19"/>
                <w:szCs w:val="19"/>
              </w:rPr>
              <w:t xml:space="preserve">7</w:t>
            </w:r>
          </w:p>
        </w:tc>
        <w:tc>
          <w:tcPr>
            <w:tcW w:type="dxa" w:w="4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Upsert API, batch, GDPR delete, auth enforcement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E79"/>
                <w:sz w:val="20"/>
                <w:szCs w:val="20"/>
              </w:rPr>
              <w:t xml:space="preserve">88</w:t>
            </w:r>
          </w:p>
        </w:tc>
        <w:tc>
          <w:tcPr>
            <w:tcW w:type="dxa" w:w="4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What I'd Add With More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Token refresh endpoint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Token refresh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Short-lived access tokens (15 min) + longer-lived refresh tokens (7 days) so users don't need to re-login every 24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Per-user rate limiting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Rate limiting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Redis counters throttle notifications per user per channel per time window, preventing accidental or malicious floods.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Distributed tracing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Distributed tracing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Micrometer + OpenTelemetry to trace a request from the REST call through RabbitMQ to consumer to sender in a single unified trace.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Prometheus metrics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Metrics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RabbitMQ queue depths, per-channel send rates, and RAG pipeline latency exposed via Micrometer for Grafana dashboards.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DLQ replay job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DLQ processing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scheduled job to retry messages from the Dead Letter Queue with exponential backoff, moving to a permanent failure store after N attempts.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Email template engine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Template engine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the hardcoded HTML wrapper in EmailSender with Thymeleaf templates so layouts can be updated without touching Java code.</w:t>
      </w:r>
    </w:p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AF1" w:sz="4" w:space="4"/>
      </w:pBdr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Java 17  •  Spring Boot 3  •  RabbitMQ  •  Redis  •  PostgreSQL  •  OpenAI  •  Pinecone  •  JWT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EAF1" w:sz="4" w:space="4"/>
      </w:pBdr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Notification Service  </w:t>
    </w:r>
    <w:r>
      <w:rPr>
        <w:rFonts w:ascii="Arial" w:cs="Arial" w:eastAsia="Arial" w:hAnsi="Arial"/>
        <w:color w:val="595959"/>
        <w:sz w:val="18"/>
        <w:szCs w:val="18"/>
      </w:rPr>
      <w:t xml:space="preserve">| Raghav — Portfolio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2026-02-26T18:33:12.687Z</dcterms:created>
  <dcterms:modified xsi:type="dcterms:W3CDTF">2026-02-26T18:33:12.689Z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