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26-slide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(and this guide) uses “Omnipresence” in analytical prose and preserves the translation's word inside quotations. Deck slides frequently use the translation's “Omnipotence”;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mid-deck is the epistemic ladder (slide 21) and realisation (slide 24); method and evidence close the “how known” question (slides 22 and 26).</w:t>
      </w:r>
    </w:p>
    <w:p>
      <w:pPr>
        <w:pStyle w:val="Heading1"/>
      </w:pPr>
      <w:r>
        <w:t>Slide 1</w:t>
      </w:r>
    </w:p>
    <w:p>
      <w:pPr>
        <w:pStyle w:val="Heading1"/>
      </w:pPr>
      <w: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The slides sometimes print Omnipotence for that ground; I will usually say Omnipresence. Same reality; different English labels in the translations.</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19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pPr>
        <w:pStyle w:val="Heading1"/>
      </w:pPr>
      <w: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Each unit has a definite form, capacities, a way of participating among others, and an inseparable innateness. These show up in mutual relations across four orders of nature.</w:t>
      </w:r>
    </w:p>
    <w:p>
      <w:r>
        <w:t>Second: how development proceeds along two lines that must not be collapsed. One line builds larger configurations — particles, molecules, cells, bodies. The other is development in an atom that can become a complete sentient unit. Across both, activity is effort, motion, and result together — not three separate steps.</w:t>
      </w:r>
    </w:p>
    <w:p>
      <w:r>
        <w:t>Third: how sentient living becomes awakened conduct — the human as a joint form of body and sentient unit; evaluation; realisation; and participation in humane order.</w:t>
      </w:r>
    </w:p>
    <w:p>
      <w:r>
        <w:t>Please keep one distinction early: the body line and the sentient-unit line meet in animal and human living, but they are not the same process. That blocks the most common confusion — treating the body as the producer of the knower.</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pPr>
        <w:pStyle w:val="Heading1"/>
      </w:pPr>
      <w: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pPr>
        <w:pStyle w:val="Heading1"/>
      </w:pPr>
      <w: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classification crosswalk: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16) structures desire–doing–fruit within sentient activity; regulation and justice (slides 19–20) articulate orderliness and evaluation once the human joint form is in view. They hang off movement 3, not off the ground–unit poles themselves.</w:t>
      </w:r>
    </w:p>
    <w:p>
      <w:pPr>
        <w:pStyle w:val="Heading1"/>
      </w:pPr>
      <w:r>
        <w:t>Slide 5</w:t>
      </w:r>
    </w:p>
    <w:p>
      <w:pPr>
        <w:pStyle w:val="Heading1"/>
      </w:pPr>
      <w: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non-transforming, immeasurable. Actionless energy: it performs no actions, yet every unit is energised, regulated, and conserved in it. There is no place where it is absent.</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pPr>
        <w:pStyle w:val="Heading1"/>
      </w:pPr>
      <w:r>
        <w:t>Saturation — The Three Endowments</w:t>
      </w:r>
    </w:p>
    <w:p>
      <w:pPr>
        <w:pStyle w:val="Heading2"/>
      </w:pPr>
      <w:r>
        <w:t>Delivering the slide</w:t>
      </w:r>
    </w:p>
    <w:p>
      <w:r>
        <w:t>How are ground and units related? Through saturation: every formful unit is soaked, submerged, and surrounded in Omnipresence.</w:t>
      </w:r>
    </w:p>
    <w:p>
      <w:r>
        <w:t>From that ever-present bond, three endowments show on the unit side.</w:t>
      </w:r>
    </w:p>
    <w:p>
      <w:r>
        <w:t>First, recognition capability. Complementarity is given in coexistence; it is not invented by us. Even in non-sentient nature, units respond to one another definitely — no human observer required.</w:t>
      </w:r>
    </w:p>
    <w:p>
      <w:r>
        <w:t>Second, activeness. Unit plus energy fullness equals activeness. Inherent energy and basic impulsion appear as effort, motion, and result together.</w:t>
      </w:r>
    </w:p>
    <w:p>
      <w:r>
        <w:t>Third, inherent regulation — orderliness from within participation in coexistence; mediative and conserving, not a statute from outside.</w:t>
      </w:r>
    </w:p>
    <w:p>
      <w:r>
        <w:t>Please hear the caution: this is a claim about what existence is like, not a proposed laboratory transfer mechanism. And not every unit progresses to sentient completeness. The ground does not push units from outside.</w:t>
      </w:r>
    </w:p>
    <w:p>
      <w:pPr>
        <w:pStyle w:val="Heading2"/>
      </w:pPr>
      <w:r>
        <w:t>Primary-text background</w:t>
      </w:r>
    </w:p>
    <w:p>
      <w:r>
        <w:t>“Every unit in its atomic state is active as orderliness, because it has inherent energy due to being saturated in Omnipotence.” — SB, p. 69</w:t>
      </w:r>
    </w:p>
    <w:p>
      <w:r>
        <w:t>“Unit + Energy fullness = Activeness.” — SB, p. 69</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w:t>
      </w:r>
    </w:p>
    <w:p>
      <w:pPr>
        <w:pStyle w:val="Heading2"/>
      </w:pPr>
      <w:r>
        <w:t>Likely questions from the audience</w:t>
      </w:r>
    </w:p>
    <w:p>
      <w:r>
        <w:rPr>
          <w:b/>
        </w:rPr>
        <w:t>Q: Does satta cause units to act?</w:t>
      </w:r>
    </w:p>
    <w:p>
      <w:r>
        <w:t xml:space="preserve">Not as an efficient cause. </w:t>
      </w:r>
      <w:r>
        <w:rPr>
          <w:i/>
        </w:rPr>
        <w:t>Satta</w:t>
      </w:r>
      <w:r>
        <w:t xml:space="preserve"> is </w:t>
      </w:r>
      <w:r>
        <w:rPr>
          <w:i/>
        </w:rPr>
        <w:t>mahakaran</w:t>
      </w:r>
      <w:r>
        <w:t xml:space="preserve"> — supreme cause in the sustaining sense (MVD, pp. 288–289; SB, pp. 49, 62). Causal work of change is done by units.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pPr>
        <w:pStyle w:val="Heading1"/>
      </w:pPr>
      <w:r>
        <w:t>Slide 7</w:t>
      </w:r>
    </w:p>
    <w:p>
      <w:pPr>
        <w:pStyle w:val="Heading1"/>
      </w:pPr>
      <w: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real boundary and configuration. Take the peepal tree on the slide: one bounded living form with trunk, branches, leaves, and roots.</w:t>
      </w:r>
    </w:p>
    <w:p>
      <w:r>
        <w:t>Properties — capacities and relative effects. In the peepal: nutrition, growth, repair, seed production, degeneration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Form is real; what another unit encounters is its definite presentation in mutual facing. In non-sentient nature these aspects are definite. Misreading arises mainly in human living, when the sentient unit mistakes the body for the self.</w:t>
      </w:r>
    </w:p>
    <w:p>
      <w:r>
        <w:t>And notice: the tree as a composite can die while its material constituents persist. Persistence of existence is not persistence of one configuration.</w:t>
      </w:r>
    </w:p>
    <w:p>
      <w:pPr>
        <w:pStyle w:val="Heading2"/>
      </w:pPr>
      <w:r>
        <w:t>Primary-text background</w:t>
      </w:r>
    </w:p>
    <w:p>
      <w:r>
        <w:t>Four aspects: MVD, pp. 11, 42, 47, 50–51; SB pp. 55, 71, 86.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20.</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8</w:t>
      </w:r>
    </w:p>
    <w:p>
      <w:pPr>
        <w:pStyle w:val="Heading1"/>
      </w:pPr>
      <w:r>
        <w:t>Units in Relationships — Complementarity as Value</w:t>
      </w:r>
    </w:p>
    <w:p>
      <w:pPr>
        <w:pStyle w:val="Heading2"/>
      </w:pPr>
      <w:r>
        <w:t>Delivering the slide</w:t>
      </w:r>
    </w:p>
    <w:p>
      <w:r>
        <w:t>Nothing is isolated — that is the principle.</w:t>
      </w:r>
    </w:p>
    <w:p>
      <w:r>
        <w:t>Existence holds relations between units, and in those relations complementarity becomes value in mutuality. In material, plant, and animal orders, recognition and fulfilment are definite. At the human order, evaluation can err when the body is mistaken for the self.</w:t>
      </w:r>
    </w:p>
    <w:p>
      <w:r>
        <w:t>Two kinds of mutuality matter. A relationship is mutuality whose expectations are definite in the completeness of the bond — parent and child. An association or contact is mutuality where expectations are voluntary — neighbours who share a wall.</w:t>
      </w:r>
    </w:p>
    <w:p>
      <w:r>
        <w:t>The slide groups values into families: object values such as utility and art; then values that presuppose sentient living — inner harmonies, human values, relationship values, and civic or established values.</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9</w:t>
      </w:r>
    </w:p>
    <w:p>
      <w:pPr>
        <w:pStyle w:val="Heading1"/>
      </w:pPr>
      <w: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10</w:t>
      </w:r>
    </w:p>
    <w:p>
      <w:pPr>
        <w:pStyle w:val="Heading1"/>
      </w:pPr>
      <w:r>
        <w:t>Two Developments, One Activity Structure</w:t>
      </w:r>
    </w:p>
    <w:p>
      <w:pPr>
        <w:pStyle w:val="Heading2"/>
      </w:pPr>
      <w:r>
        <w:t>Delivering the slide</w:t>
      </w:r>
    </w:p>
    <w:p>
      <w:r>
        <w:t>Madhyasth Darshan distinguishes two developments that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Nature saturated in the ground is oriented for development and awakening until realisation. Development pervades nature; awakening occurs in the sentient. Non-sentient units participate by composing bodies and environments without each individually completing the drive.</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11</w:t>
      </w:r>
    </w:p>
    <w:p>
      <w:pPr>
        <w:pStyle w:val="Heading1"/>
      </w:pPr>
      <w: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12</w:t>
      </w:r>
    </w:p>
    <w:p>
      <w:pPr>
        <w:pStyle w:val="Heading1"/>
      </w:pPr>
      <w:r>
        <w:t>Classification Crosswalk</w:t>
      </w:r>
    </w:p>
    <w:p>
      <w:pPr>
        <w:pStyle w:val="Heading2"/>
      </w:pPr>
      <w:r>
        <w:t>Delivering the slide</w:t>
      </w:r>
    </w:p>
    <w:p>
      <w:r>
        <w:t>One short caution, then we move on.</w:t>
      </w:r>
    </w:p>
    <w:p>
      <w:r>
        <w:t>This tradition uses several overlapping lists — orders of nature, developmental statuses, scopes of knowing, and types of human orientation. They answer different questions. Do not equate them.</w:t>
      </w:r>
    </w:p>
    <w:p>
      <w:r>
        <w:t>In particular: the human order is not the same thing as the highest developmental status. One human order can span more than one status. Sentience arrives at T1; awakening and conduct are T2 and T3.</w:t>
      </w:r>
    </w:p>
    <w:p>
      <w:pPr>
        <w:pStyle w:val="Heading2"/>
      </w:pPr>
      <w:r>
        <w:t>Primary-text background</w:t>
      </w:r>
    </w:p>
    <w:p>
      <w:r>
        <w:t>Study §1.9 and the conceptual-map classification crosswalk. Order vs plane asymmetry: SB, p. 52 — two orders can share one plane; one order can span three planes. Four progression vocabularies (</w:t>
      </w:r>
      <w:r>
        <w:rPr>
          <w:i/>
        </w:rPr>
        <w:t>niyati-kram</w:t>
      </w:r>
      <w:r>
        <w:t xml:space="preserve">, </w:t>
      </w:r>
      <w:r>
        <w:rPr>
          <w:i/>
        </w:rPr>
        <w:t>niyati-vidhi</w:t>
      </w:r>
      <w:r>
        <w:t xml:space="preserve">, </w:t>
      </w:r>
      <w:r>
        <w:rPr>
          <w:i/>
        </w:rPr>
        <w:t>vikas-kram</w:t>
      </w:r>
      <w:r>
        <w:t xml:space="preserve">, </w:t>
      </w:r>
      <w:r>
        <w:rPr>
          <w:i/>
        </w:rPr>
        <w:t>jagriti-kram</w:t>
      </w:r>
      <w:r>
        <w:t>): MVD, pp. 13–14 and study §1.9.</w:t>
      </w:r>
    </w:p>
    <w:p>
      <w:pPr>
        <w:pStyle w:val="Heading2"/>
      </w:pPr>
      <w:r>
        <w:t>Likely questions from the audience</w:t>
      </w:r>
    </w:p>
    <w:p>
      <w:r>
        <w:rPr>
          <w:b/>
        </w:rPr>
        <w:t>Q: Why keep so many overlapping lists?</w:t>
      </w:r>
    </w:p>
    <w:p>
      <w:r>
        <w:t>Because collapsing them produces false equations (e.g. “animal order = delusional plane = incomplete atom”). Each list answers a different question.</w:t>
      </w:r>
    </w:p>
    <w:p>
      <w:r>
        <w:rPr>
          <w:b/>
        </w:rPr>
        <w:t>Q: Where do the five human types sit?</w:t>
      </w:r>
    </w:p>
    <w:p>
      <w:r>
        <w:t>They mark degrees of awakening within human living across planes (MVD, p. 160) — not a fifth ontology beside coexistence.</w:t>
      </w:r>
    </w:p>
    <w:p>
      <w:pPr>
        <w:pStyle w:val="Heading1"/>
      </w:pPr>
      <w:r>
        <w:t>Slide 13</w:t>
      </w:r>
    </w:p>
    <w:p>
      <w:pPr>
        <w:pStyle w:val="Heading1"/>
      </w:pPr>
      <w:r>
        <w:t>T1 — The Irreversible Sentience Threshold</w:t>
      </w:r>
    </w:p>
    <w:p>
      <w:pPr>
        <w:pStyle w:val="Heading2"/>
      </w:pPr>
      <w:r>
        <w:t>Delivering the slide</w:t>
      </w:r>
    </w:p>
    <w:p>
      <w:r>
        <w:t>T1 is the hinge: where sentience enters.</w:t>
      </w:r>
    </w:p>
    <w:p>
      <w:r>
        <w:t>It is constitutional completeness at the atomic level — not neural complexity, not molecular size, and not merely climbing the order chain.</w:t>
      </w:r>
    </w:p>
    <w:p>
      <w:r>
        <w:t>The texts describe a developing atom that incorporates particles — complementary “hungry” and “overfull” completions — in a suitable environment. When the required constitution closes, particle count no longer increases or decreases.</w:t>
      </w:r>
    </w:p>
    <w:p>
      <w:r>
        <w:t>Before T1: still changing structure and particle count; non-sentient radiance and projection. After T1: released from molecular and weight bondage, carried by hope; a finer mode of recognition as the sentient unit.</w:t>
      </w:r>
    </w:p>
    <w:p>
      <w:r>
        <w:t>T1 is irreversible because the completed constitution no longer decomposes. That is the textual basis for continuity of the knower beyond a particular body.</w:t>
      </w:r>
    </w:p>
    <w:p>
      <w:r>
        <w:t>I want to be plain: this is an ontological account. No accepted empirical procedure currently identifies the threshold. We will return to that honesty under method and evidence.</w:t>
      </w:r>
    </w:p>
    <w:p>
      <w:pPr>
        <w:pStyle w:val="Heading2"/>
      </w:pPr>
      <w:r>
        <w:t>Primary-text background</w:t>
      </w:r>
    </w:p>
    <w:p>
      <w:r>
        <w:t xml:space="preserve">MVD, p. 91 (bondage shift). Qualitative without quantitative change: SB, p. 55. Irreversibility: SB, p. 92. Not neural/molecular size: SB, p. 52. Particle incorporation: MVD, p. 8; SB, pp. 58, 71, 80–81. AVD on hope-bondage and powers/strengths always present in </w:t>
      </w:r>
      <w:r>
        <w:rPr>
          <w:i/>
        </w:rPr>
        <w:t>jeevan</w:t>
      </w:r>
      <w:r>
        <w:t>.</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(§6.2.5). Realisation and conduct are warrants within the darshan; public science needs operational criteria that do not yet exist.</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14</w:t>
      </w:r>
    </w:p>
    <w:p>
      <w:pPr>
        <w:pStyle w:val="Heading1"/>
      </w:pPr>
      <w: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brain, physical expression; decomposable.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 xml:space="preserve">The brain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15</w:t>
      </w:r>
    </w:p>
    <w:p>
      <w:pPr>
        <w:pStyle w:val="Heading1"/>
      </w:pPr>
      <w: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Resolve resolves and receives clear understanding. The core self authenticates and realises.</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126, 278–279, 286–287. </w:t>
      </w:r>
      <w:r>
        <w:rPr>
          <w:i/>
        </w:rPr>
        <w:t>Koshas</w:t>
      </w:r>
      <w:r>
        <w:t>: MVD, pp. 49–50. Body mistaken for self: SB, pp. 91–92; JV, p. 93.</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16</w:t>
      </w:r>
    </w:p>
    <w:p>
      <w:pPr>
        <w:pStyle w:val="Heading1"/>
      </w:pPr>
      <w:r>
        <w:t>The Structure of Karma</w:t>
      </w:r>
    </w:p>
    <w:p>
      <w:pPr>
        <w:pStyle w:val="Heading2"/>
      </w:pPr>
      <w:r>
        <w:t>Delivering the slide</w:t>
      </w:r>
    </w:p>
    <w:p>
      <w:r>
        <w:t>A brief structural note on intentional activity — what this text calls karma. Please hear it in this technical sense, not as a popular cosmic reward-and-punishment story.</w:t>
      </w:r>
    </w:p>
    <w:p>
      <w:r>
        <w:t>Every activity done with desire has five limbs: doer, cause, objective, result, and effect. Effect means the act’s reach or consequence — not a separate ledger of destiny on this slide.</w:t>
      </w:r>
    </w:p>
    <w:p>
      <w:r>
        <w:t>Desire is the aspiration. Karma here is the doing — activity together with aspiration. Result is the fruit. Desire, doing, and result must balance for the desire to be truly accomplished.</w:t>
      </w:r>
    </w:p>
    <w:p>
      <w:r>
        <w:t>Understanding alone changes nothing. Doing yields the fruit. Book knowledge is half the work.</w:t>
      </w:r>
    </w:p>
    <w:p>
      <w:r>
        <w:t>Hold this beside the earlier triad of effort, motion, and result. This is the desire-laden framing of activity in sentient living. Later we will see how desire and doing are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Five limbs as on the slide. Relate to effort–motion–result (slide 10) without collapsing the vocabularies — karma is the desire-laden human/sentient framing of activity.</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activity-with-aspiration and its fruit in the desire register. Keep the five limbs available for Q&amp;A on responsibility and result.</w:t>
      </w:r>
    </w:p>
    <w:p>
      <w:pPr>
        <w:pStyle w:val="Heading1"/>
      </w:pPr>
      <w:r>
        <w:t>Slide 17</w:t>
      </w:r>
    </w:p>
    <w:p>
      <w:pPr>
        <w:pStyle w:val="Heading1"/>
      </w:pPr>
      <w: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Evidenced outwardly, these support resolution, prosperity, fearlessness, and coexistence in human living.</w:t>
      </w:r>
    </w:p>
    <w:p>
      <w:r>
        <w:t>The living cycle is: reflection feeds projection, and projection feeds deeper reflection — that is what living means here. Continuous happiness is harmony evidenced in resolved living, not a sensory spike.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18</w:t>
      </w:r>
    </w:p>
    <w:p>
      <w:pPr>
        <w:pStyle w:val="Heading1"/>
      </w:pPr>
      <w:r>
        <w:t>Composition and Human Assembly</w:t>
      </w:r>
    </w:p>
    <w:p>
      <w:pPr>
        <w:pStyle w:val="Heading2"/>
      </w:pPr>
      <w:r>
        <w:t>Delivering the slide</w:t>
      </w:r>
    </w:p>
    <w:p>
      <w:r>
        <w:t>Composition is not the same as the developmental line that produces sentience.</w:t>
      </w:r>
    </w:p>
    <w:p>
      <w:r>
        <w:t>Physicochemical units compose into mixtures, compounds, cells, and bodies through definite constituent relations. Human families and societies arise differently: through recognised relationships, evaluation, and mutual satisfaction.</w:t>
      </w:r>
    </w:p>
    <w:p>
      <w:r>
        <w:t>In a mixture, components stay side by side — no new unit. In a compound, definite proportion yields a new bounded unit with its own form and capacities in mutuality.</w:t>
      </w:r>
    </w:p>
    <w:p>
      <w:r>
        <w:t>Particles to molecules to cells and bodies is composition. Humane assemblies are relational achievements, not a further chemical tier. Sentience arrives only when an atom reaches constitutional completeness. Non-sentient assemblies persist or decline according to whether constituent relationships are fulfilled.</w:t>
      </w:r>
    </w:p>
    <w:p>
      <w:pPr>
        <w:pStyle w:val="Heading2"/>
      </w:pPr>
      <w:r>
        <w:t>Primary-text background</w:t>
      </w:r>
    </w:p>
    <w:p>
      <w:r>
        <w:t>JV, p. 67; MVD, p. 42 (mixture &amp; compound); SB, p. 14 (persist or decline). Compositional vs atomic development: §1.6, §1.10.</w:t>
      </w:r>
    </w:p>
    <w:p>
      <w:pPr>
        <w:pStyle w:val="Heading2"/>
      </w:pPr>
      <w:r>
        <w:t>Likely questions from the audience</w:t>
      </w:r>
    </w:p>
    <w:p>
      <w:r>
        <w:rPr>
          <w:b/>
        </w:rPr>
        <w:t>Q: Is society just a bigger compound?</w:t>
      </w:r>
    </w:p>
    <w:p>
      <w:r>
        <w:t>No — that is the mistake this slide blocks. Society endures while relationships are recognised and fulfilled; it is not a stoichiometric product.</w:t>
      </w:r>
    </w:p>
    <w:p>
      <w:r>
        <w:rPr>
          <w:b/>
        </w:rPr>
        <w:t>Q: Can composition produce jeevan?</w:t>
      </w:r>
    </w:p>
    <w:p>
      <w:r>
        <w:t>No. Composition builds media and environments; T1 is atomic constitutional completeness.</w:t>
      </w:r>
    </w:p>
    <w:p>
      <w:pPr>
        <w:pStyle w:val="Heading1"/>
      </w:pPr>
      <w:r>
        <w:t>Slide 19</w:t>
      </w:r>
    </w:p>
    <w:p>
      <w:pPr>
        <w:pStyle w:val="Heading1"/>
      </w:pPr>
      <w:r>
        <w:t>The Regulation Endowment</w:t>
      </w:r>
    </w:p>
    <w:p>
      <w:pPr>
        <w:pStyle w:val="Heading2"/>
      </w:pPr>
      <w:r>
        <w:t>Delivering the slide</w:t>
      </w:r>
    </w:p>
    <w:p>
      <w:r>
        <w:t>This slide explains the name Madhyasth.</w:t>
      </w:r>
    </w:p>
    <w:p>
      <w:r>
        <w:t>Orderliness is self-regulation inherent in saturated units — not dispensed by a cosmic governor. That mediative regulation, which regulates and conserves every unit, gives the darshan its name.</w:t>
      </w:r>
    </w:p>
    <w:p>
      <w:r>
        <w:t>Conformance has order-specific modes. Material: structural or result conformance. Bio: seed-conformance. Animal: species-conformance, inherited from gestation. Human: learned conformance through understanding.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20</w:t>
      </w:r>
    </w:p>
    <w:p>
      <w:pPr>
        <w:pStyle w:val="Heading1"/>
      </w:pPr>
      <w: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21</w:t>
      </w:r>
    </w:p>
    <w:p>
      <w:pPr>
        <w:pStyle w:val="Heading1"/>
      </w:pPr>
      <w: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Resolve clarifies and resolves. The core self realises — through truth. When each level is acted in alignment, it is felt as happiness, peace, contentment, and bliss.</w:t>
      </w:r>
    </w:p>
    <w:p>
      <w:r>
        <w:t>The ladders meet at the top: coexistence known and lived is felt as bliss. Human error belongs to confused evaluation, not to fuzziness in the reality reflected.</w:t>
      </w:r>
    </w:p>
    <w:p>
      <w:pPr>
        <w:pStyle w:val="Heading2"/>
      </w:pPr>
      <w:r>
        <w:t>Primary-text background</w:t>
      </w:r>
    </w:p>
    <w:p>
      <w:r>
        <w:t xml:space="preserve">JV, p. 120 (triad epistemic bases); JV, p. 121; SB, p. 50 (ultimate </w:t>
      </w:r>
      <w:r>
        <w:rPr>
          <w:i/>
        </w:rPr>
        <w:t>dharma</w:t>
      </w:r>
      <w:r>
        <w:t xml:space="preserve">); JV, p. 120 (understanding as enlightenment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22</w:t>
      </w:r>
    </w:p>
    <w:p>
      <w:pPr>
        <w:pStyle w:val="Heading1"/>
      </w:pPr>
      <w:r>
        <w:t>Method and Evidence</w:t>
      </w:r>
    </w:p>
    <w:p>
      <w:pPr>
        <w:pStyle w:val="Heading2"/>
      </w:pPr>
      <w:r>
        <w:t>Delivering the slide</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T1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T1, the unit–body interface, or post-body reassociation.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23</w:t>
      </w:r>
    </w:p>
    <w:p>
      <w:pPr>
        <w:pStyle w:val="Heading1"/>
      </w:pPr>
      <w:r>
        <w:t>What Makes Me Happy?</w:t>
      </w:r>
    </w:p>
    <w:p>
      <w:pPr>
        <w:pStyle w:val="Heading2"/>
      </w:pPr>
      <w:r>
        <w:t>Delivering the slide</w:t>
      </w:r>
    </w:p>
    <w:p>
      <w:r>
        <w:t>Every sentient unit bears the same faculties. In human living they answer one practical question — what makes me happy? — by organising in one of two ways.</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pPr>
        <w:pStyle w:val="Heading2"/>
      </w:pPr>
      <w:r>
        <w:t>Primary-text background</w:t>
      </w:r>
    </w:p>
    <w:p>
      <w:r>
        <w:t>SB, p. 64 (cognisance–sensitivity balance); JV, pp. 73–74, 92–94 (four-and-a-half activities); MVD, pp. 274–275; study §§1.7–1.8, 1.10, 1.12, 1.15.</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24</w:t>
      </w:r>
    </w:p>
    <w:p>
      <w:pPr>
        <w:pStyle w:val="Heading1"/>
      </w:pPr>
      <w: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is bliss. Truth itself is abundance — coexistence; realisation of abundance is bliss; bliss is the living of the sentient unit. What is realised is the ground the unit was always saturated in.</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25</w:t>
      </w:r>
    </w:p>
    <w:p>
      <w:pPr>
        <w:pStyle w:val="Heading1"/>
      </w:pPr>
      <w: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26</w:t>
      </w:r>
    </w:p>
    <w:p>
      <w:pPr>
        <w:pStyle w:val="Heading1"/>
      </w:pPr>
      <w: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T1.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