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27-slide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23) and realisation (slide 24); method and evidence close the “how known” question (slides 26 and 27).</w:t>
      </w:r>
    </w:p>
    <w:p>
      <w:r>
        <w:rPr>
          <w:b/>
        </w:rPr>
        <w:t>Three movements:</w:t>
      </w:r>
      <w:r>
        <w:t xml:space="preserve"> the deck is signposted in the kicker line of each movement's opening slide — Movement 1 at slide 5 (what is real), Movement 2 at slide 11 (how development proceeds), Movement 3 at slide 16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21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Each unit has a definite form, capacities, a way of participating among others, and an inseparable innateness. These show up in mutual relations across four orders of nature. And because no unit can be separated from the ground, existence itself neither begins nor ends.</w:t>
      </w:r>
    </w:p>
    <w:p>
      <w:r>
        <w:t>Second: how development proceeds along two lines that must not be collapsed.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20) structures desire–doing–fruit within sentient activity; regulation and justice (slides 21–22)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21.</w:t>
      </w:r>
    </w:p>
    <w:p>
      <w:r>
        <w:t>Recognition and participation in orderliness follow from the same bond.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units to act?</w:t>
      </w:r>
    </w:p>
    <w:p>
      <w:r>
        <w:t xml:space="preserve">Not as an efficient cause. </w:t>
      </w:r>
      <w:r>
        <w:rPr>
          <w:i/>
        </w:rPr>
        <w:t>Satta</w:t>
      </w:r>
      <w:r>
        <w:t xml:space="preserve"> is </w:t>
      </w:r>
      <w:r>
        <w:rPr>
          <w:i/>
        </w:rPr>
        <w:t>mahakaran</w:t>
      </w:r>
      <w:r>
        <w:t xml:space="preserve"> — supreme cause in the sustaining sense (MVD, pp. 288–289; SB, pp. 49, 62). The causal work of change is done by units.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development, conduct: all of that is the work of units acting on one another.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22.</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9</w:t>
      </w:r>
    </w:p>
    <w:p>
      <w:r>
        <w:rPr>
          <w:b/>
          <w:sz w:val="36"/>
        </w:rPr>
        <w:t>Units in Relationships — Complementarity as Value</w:t>
      </w:r>
    </w:p>
    <w:p>
      <w:pPr>
        <w:pStyle w:val="Heading2"/>
      </w:pPr>
      <w:r>
        <w:t>Delivering the slide</w:t>
      </w:r>
    </w:p>
    <w:p>
      <w:r>
        <w:t>Nothing is isolated — that is the principle.</w:t>
      </w:r>
    </w:p>
    <w:p>
      <w:r>
        <w:t>Existence holds relations between units, and in those relations complementarity becomes value in mutuality. In material, plant, and animal orders, recognition and fulfilment are definite. At the human order, evaluation can err when the body is mistaken for the self.</w:t>
      </w:r>
    </w:p>
    <w:p>
      <w:r>
        <w:t>Two kinds of mutuality matter. A relationship is mutuality whose expectations are definite in the completeness of the bond — parent and child. An association or contact is mutuality where expectations are voluntary — neighbours who share a wall.</w:t>
      </w:r>
    </w:p>
    <w:p>
      <w:r>
        <w:t xml:space="preserve">The slide names five value families: object, </w:t>
      </w:r>
      <w:r>
        <w:rPr>
          <w:i/>
        </w:rPr>
        <w:t>jeevan</w:t>
      </w:r>
      <w:r>
        <w:t xml:space="preserve">, human, established, and civic — the last is </w:t>
      </w:r>
      <w:r>
        <w:rPr>
          <w:i/>
        </w:rPr>
        <w:t>shishta-mulya</w:t>
      </w:r>
      <w:r>
        <w:t xml:space="preserve"> in the source. Object values are two, utility and art, so the same list is often counted as six types: utility, art, </w:t>
      </w:r>
      <w:r>
        <w:rPr>
          <w:i/>
        </w:rPr>
        <w:t>jeevan</w:t>
      </w:r>
      <w:r>
        <w:t>, human, established, and civic. Established values are the ones that become evident when human relationships are recognised and fulfilled — trust, respect, affection, care, and so on. Civic values are how all of that is expressed in social participation.</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five families follow the study's §1.4 table: object, </w:t>
      </w:r>
      <w:r>
        <w:rPr>
          <w:i/>
        </w:rPr>
        <w:t>jeevan</w:t>
      </w:r>
      <w:r>
        <w:t>, human, established, civic (</w:t>
      </w:r>
      <w:r>
        <w:rPr>
          <w:i/>
        </w:rPr>
        <w:t>shishta</w:t>
      </w:r>
      <w:r>
        <w:t xml:space="preserve">). The MVD English translation uses </w:t>
      </w:r>
      <w:r>
        <w:rPr>
          <w:i/>
        </w:rPr>
        <w:t>civic values</w:t>
      </w:r>
      <w:r>
        <w:t xml:space="preserve"> for </w:t>
      </w:r>
      <w:r>
        <w:rPr>
          <w:i/>
        </w:rPr>
        <w:t>shishta-mulya</w:t>
      </w:r>
      <w:r>
        <w:t xml:space="preserve">; “expression values” is an explanatory rendering, not a separate sixth family, and “relationship values” is a loose label for established values rather than a family of its own.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10</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11</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 Hold that, because everything in this movement is a specification of it.</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shows why the composing line, however far it goes, never gets there on its own.</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12</w:t>
      </w:r>
    </w:p>
    <w:p>
      <w:r>
        <w:rPr>
          <w:b/>
          <w:sz w:val="36"/>
        </w:rPr>
        <w:t>Composition Never Exceeds Its Constituents</w:t>
      </w:r>
    </w:p>
    <w:p>
      <w:pPr>
        <w:pStyle w:val="Heading2"/>
      </w:pPr>
      <w:r>
        <w:t>Delivering the slide</w:t>
      </w:r>
    </w:p>
    <w:p>
      <w:r>
        <w:t>I have now told you twice that the composing line and the atomic line are different. This slide is where I owe you the reason.</w:t>
      </w:r>
    </w:p>
    <w:p>
      <w:r>
        <w:t>Start with what is true: there is a natural inclination toward coexistence everywhere. Particles assemble into atoms, atoms into molecules, molecules into cells and bodies. That is real, and it builds a great deal.</w:t>
      </w:r>
    </w:p>
    <w:p>
      <w:r>
        <w:t>Now the constraint. Whatever a thing is constituted of, it remains of the order of that constituent — however vast the formation. Three of the texts' own examples. Objects made from soil remain soil, no matter how elaborate the object. A body built from living cells remains of the order of the living cell. And the Earth entire is of the order of the atoms, molecules, and cells composing it.</w:t>
      </w:r>
    </w:p>
    <w:p>
      <w:r>
        <w:t xml:space="preserve">So change of composition is recognised as development or decline </w:t>
      </w:r>
      <w:r>
        <w:rPr>
          <w:i/>
        </w:rPr>
        <w:t>within</w:t>
      </w:r>
      <w:r>
        <w:t xml:space="preserve"> an order. It is never passage beyond the order. Compositional progression can give you an atom, then a molecule, then a cell, then a body of extraordinary complexity — and every one of those is still of the order of what it is made from.</w:t>
      </w:r>
    </w:p>
    <w:p>
      <w:r>
        <w:t>That is the argument. Composition supplies bodies and environments, and it never reaches constitutional completeness, because reaching it would mean exceeding the order of your own constituents. Which is exactly why development in the atom has to be kept as a separate line.</w:t>
      </w:r>
    </w:p>
    <w:p>
      <w:r>
        <w:t>Two smaller distinctions while we are here. In a mixture, components stay side by side and each keeps its own conduct — no new unit is formed. In a compound, definite proportion yields a genuinely new bounded unit, with its own form and its own capacities in mutuality. A compound is a real new unit; it is still not a step toward sentience.</w:t>
      </w:r>
    </w:p>
    <w:p>
      <w:pPr>
        <w:pStyle w:val="Heading2"/>
      </w:pPr>
      <w:r>
        <w:t>Primary-text background</w:t>
      </w:r>
    </w:p>
    <w:p>
      <w:r>
        <w:t>“Whatever a basic entity is constituted of, it remains equal to that basic entity.” — SB, p. 260, with the soil example and “Change alone is recognised as development or decline” on the same page. The human body as of the order of the pranic cell: SB, p. 262; restated for formations however vast: SB, p. 264; the Earth entire as of the order of its constituent atoms, molecules, and cells: SB, p. 265.</w:t>
      </w:r>
    </w:p>
    <w:p>
      <w:r>
        <w:t>JV, p. 67 (inclination toward coexistence); MVD, p. 42 (mixture &amp; compound); SB, p. 14 (persist or decline). Compositional vs atomic development: study §1.6, §1.10.</w:t>
      </w:r>
    </w:p>
    <w:p>
      <w:r>
        <w:t>Note for the presenter: this slide sits before the transitions deliberately. In the earlier running order it came nine slides later, so the deck asserted the two-line fork three times before justifying it.</w:t>
      </w:r>
    </w:p>
    <w:p>
      <w:pPr>
        <w:pStyle w:val="Heading2"/>
      </w:pPr>
      <w:r>
        <w:t>Likely questions from the audience</w:t>
      </w:r>
    </w:p>
    <w:p>
      <w:r>
        <w:rPr>
          <w:b/>
        </w:rPr>
        <w:t>Q: Doesn't this contradict emergence? Complex systems do acquire new properties.</w:t>
      </w:r>
    </w:p>
    <w:p>
      <w:r>
        <w:t>MD grants that composition establishes new bounded units with new conduct — a compound is not its ingredients. What it denies is that composing ever moves a thing out of the order of its constituents, and specifically that it produces sentience. Whether that denial can be sustained against emergentist accounts is a live comparison, taken up in §3.3 and §6.2.</w:t>
      </w:r>
    </w:p>
    <w:p>
      <w:r>
        <w:rPr>
          <w:b/>
        </w:rPr>
        <w:t>Q: Can composition produce jeevan?</w:t>
      </w:r>
    </w:p>
    <w:p>
      <w:r>
        <w:t>No. Composition builds media and environments; T1 is atomic constitutional completeness, and it is reached in the atom or not at all.</w:t>
      </w:r>
    </w:p>
    <w:p>
      <w:r>
        <w:rPr>
          <w:b/>
        </w:rPr>
        <w:t>Q: Is society just a bigger compound?</w:t>
      </w:r>
    </w:p>
    <w:p>
      <w:r>
        <w:t>No — human families and societies are relational achievements, not a further compositional tier. They persist humanely while relationships are recognised, values fulfilled, and mutual satisfaction achieved. That half of §1.10 returns on slide 25.</w:t>
      </w:r>
    </w:p>
    <w:p>
      <w:pPr>
        <w:pStyle w:val="Heading1"/>
      </w:pPr>
      <w:r>
        <w:t>Slide 13</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14</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15</w:t>
      </w:r>
    </w:p>
    <w:p>
      <w:r>
        <w:rPr>
          <w:b/>
          <w:sz w:val="36"/>
        </w:rPr>
        <w:t>T1 — The Irreversible Sentience Threshold</w:t>
      </w:r>
    </w:p>
    <w:p>
      <w:pPr>
        <w:pStyle w:val="Heading2"/>
      </w:pPr>
      <w:r>
        <w:t>Delivering the slide</w:t>
      </w:r>
    </w:p>
    <w:p>
      <w:r>
        <w:t>T1 is the hinge: where sentience enters.</w:t>
      </w:r>
    </w:p>
    <w:p>
      <w:r>
        <w:t>It is constitutional completeness at the atomic level — not neural complexity, not molecular size, and not merely climbing the order chain.</w:t>
      </w:r>
    </w:p>
    <w:p>
      <w:r>
        <w:t>The texts describe a developing atom that incorporates particles — complementary “hungry” and “overfull” completions — in a suitable environment. When the required constitution closes, particle count no longer increases or decreases.</w:t>
      </w:r>
    </w:p>
    <w:p>
      <w:r>
        <w:t>Here is the criterion, and it is sharper than it first looks. In matter, qualitative change does not happen without quantitative change: an atom's kind and capacity track its particle number. Change what it can do and you have changed how many particles it has. Those two kinds of change are tied together — right up to completeness. Completeness is where they come apart. After it, qualitative activity continues while the particle count is fixed. That separation is the criterion.</w:t>
      </w:r>
    </w:p>
    <w:p>
      <w:r>
        <w:t>So: before T1, still changing structure and particle count; non-sentient radiance and projection. After T1, released from molecular and weight bondage, carried by hope; qualitative change without quantitative change; a finer mode of recognition as the sentient unit.</w:t>
      </w:r>
    </w:p>
    <w:p>
      <w:r>
        <w:t>T1 is irreversible because the completed constitution no longer decomposes. That is also the textual basis for continuity of the knower beyond a particular body — the constitution has closed, so the death of a body is not the end of the sentient unit. JV goes further and describes its subsequent association with another body. I will flag now what I will repeat under method and evidence: these are claims of the primary texts, grounded in constitutional completeness, and no accepted procedure measures any of it.</w:t>
      </w:r>
    </w:p>
    <w:p>
      <w:r>
        <w:t>I want to be plain: this is an ontological account. No accepted empirical procedure currently identifies the threshold. We will return to that honesty under method and evidence.</w:t>
      </w:r>
    </w:p>
    <w:p>
      <w:pPr>
        <w:pStyle w:val="Heading2"/>
      </w:pPr>
      <w:r>
        <w:t>Primary-text background</w:t>
      </w:r>
    </w:p>
    <w:p>
      <w:r>
        <w:t xml:space="preserve">MVD, p. 91 (bondage shift). Closed particle constitution: SB, p. 55. Qualitative change tied to quantitative change in matter, and the separation of the two at completeness: SB, p. 86 — this is the criterion stated in the script. Irreversibility: SB, p. 92. Not neural/molecular size: SB, p. 52. Particle incorporation: MVD, p. 8; SB, pp. 58, 71, 80–81. AVD on hope-bondage and powers/strengths always present in </w:t>
      </w:r>
      <w:r>
        <w:rPr>
          <w:i/>
        </w:rPr>
        <w:t>jeevan</w:t>
      </w:r>
      <w:r>
        <w:t>.</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(§6.2.5). Realisation and conduct are warrants within the darshan; public science needs operational criteria that do not yet exist.</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16</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brain, physical expression; decomposable.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17</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Resolve resolves and receives clear understanding. The core self authenticates and realises.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18</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19</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 acts for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20</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Every activity done with desire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framing of the same activity ontology in sentient living.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Five limbs as on the slide. Relate to effort–motion–result (slide 11) without collapsing the vocabularies — karma is the desire-laden human/sentient framing of activity.</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21</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22</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23</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Resolve clarifies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24</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25</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12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26</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T1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T1, the unit–body interface, or post-body reassociation — the last of those being the claim I flagged on slide 15,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15, the interface on slide 16, reassociation on slide 15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27</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T1.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