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857A"/>
          <w:sz w:val="60"/>
        </w:rPr>
        <w:t>TRIALMATCH AI</w:t>
      </w:r>
    </w:p>
    <w:p>
      <w:pPr>
        <w:jc w:val="center"/>
      </w:pPr>
      <w:r>
        <w:rPr>
          <w:b/>
          <w:sz w:val="34"/>
        </w:rPr>
        <w:t>Evidence-grounded AI-assisted clinical trial prescreening</w:t>
      </w:r>
    </w:p>
    <w:p>
      <w:pPr>
        <w:jc w:val="center"/>
      </w:pPr>
      <w:r>
        <w:rPr>
          <w:color w:val="5A5A5A"/>
          <w:sz w:val="22"/>
        </w:rPr>
        <w:t>Project Documentation • Competition Prototype</w:t>
      </w:r>
    </w:p>
    <w:p/>
    <w:tbl>
      <w:tblPr>
        <w:tblW w:type="auto" w:w="0"/>
        <w:jc w:val="center"/>
        <w:tblLayout w:type="autofit"/>
        <w:tblLook w:firstColumn="1" w:firstRow="1" w:lastColumn="0" w:lastRow="0" w:noHBand="0" w:noVBand="1" w:val="04A0"/>
      </w:tblPr>
      <w:tblGrid>
        <w:gridCol w:w="10166"/>
      </w:tblGrid>
      <w:tr>
        <w:tc>
          <w:tcPr>
            <w:tcW w:type="dxa" w:w="10166"/>
            <w:shd w:fill="EAF6F4"/>
          </w:tcPr>
          <w:p>
            <w:r>
              <w:rPr>
                <w:b/>
                <w:color w:val="0F857A"/>
                <w:sz w:val="21"/>
              </w:rPr>
              <w:t>The idea in one sentence</w:t>
              <w:br/>
            </w:r>
            <w:r>
              <w:rPr>
                <w:sz w:val="19"/>
              </w:rPr>
              <w:t>Turn fragmented, unstructured synthetic clinical documents into traceable patient evidence, find potentially relevant clinical trials, compare the evidence against eligibility criteria, and present an auditable prescreening summary for human review.</w:t>
            </w:r>
          </w:p>
        </w:tc>
      </w:tr>
    </w:tbl>
    <w:p>
      <w:pPr>
        <w:spacing w:after="0"/>
      </w:pPr>
    </w:p>
    <w:p/>
    <w:p>
      <w:pPr>
        <w:jc w:val="center"/>
      </w:pPr>
      <w:r>
        <w:rPr>
          <w:i/>
          <w:sz w:val="18"/>
        </w:rPr>
        <w:t>Designed as a competition prototype. Synthetic patient data only. Not a clinical eligibility decision system.</w:t>
      </w:r>
    </w:p>
    <w:p>
      <w:r>
        <w:br w:type="page"/>
      </w:r>
    </w:p>
    <w:p>
      <w:pPr>
        <w:pStyle w:val="Heading1"/>
      </w:pPr>
      <w:r>
        <w:t>1. Executive Summary</w:t>
      </w:r>
    </w:p>
    <w:p>
      <w:r>
        <w:t>Clinical trial prescreening often requires trained staff to read patient records and compare them with long inclusion and exclusion criteria. The problem becomes harder when useful patient information is scattered across clinical notes, pathology reports, laboratory reports, scanned faxes, and other unstructured documents.</w:t>
      </w:r>
    </w:p>
    <w:p>
      <w:r>
        <w:t>TrialMatch AI is a prototype that assists with the first-pass review. It extracts only supported patient facts, keeps the source document and page attached to each fact, searches a curated set of public clinical trials, and compares the patient evidence with individual eligibility criteria. The system deliberately distinguishes supported evidence from missing or conflicting information.</w:t>
      </w:r>
    </w:p>
    <w:tbl>
      <w:tblPr>
        <w:tblW w:type="auto" w:w="0"/>
        <w:jc w:val="center"/>
        <w:tblLayout w:type="autofit"/>
        <w:tblLook w:firstColumn="1" w:firstRow="1" w:lastColumn="0" w:lastRow="0" w:noHBand="0" w:noVBand="1" w:val="04A0"/>
      </w:tblPr>
      <w:tblGrid>
        <w:gridCol w:w="10166"/>
      </w:tblGrid>
      <w:tr>
        <w:tc>
          <w:tcPr>
            <w:tcW w:type="dxa" w:w="10166"/>
            <w:shd w:fill="FFF4D6"/>
          </w:tcPr>
          <w:p>
            <w:r>
              <w:rPr>
                <w:b/>
                <w:color w:val="0F857A"/>
                <w:sz w:val="21"/>
              </w:rPr>
              <w:t>Core safety principle</w:t>
              <w:br/>
            </w:r>
            <w:r>
              <w:rPr>
                <w:sz w:val="19"/>
              </w:rPr>
              <w:t>The system does not say “this patient is eligible.” It says what appears to match, what appears not to match, what is unknown, and what requires human verification.</w:t>
            </w:r>
          </w:p>
        </w:tc>
      </w:tr>
    </w:tbl>
    <w:p>
      <w:pPr>
        <w:spacing w:after="0"/>
      </w:pPr>
    </w:p>
    <w:p>
      <w:pPr>
        <w:pStyle w:val="Heading1"/>
      </w:pPr>
      <w:r>
        <w:t>2. Working Prototype Deliverable</w:t>
      </w:r>
    </w:p>
    <w:p>
      <w:r>
        <w:t>TrialMatch AI will be delivered as a working Streamlit application. A reviewer can upload prepared synthetic patient documents, run evidence extraction, inspect source-grounded patient facts, identify missing or conflicting information, retrieve candidate trials from the fixed ClinicalTrials.gov snapshot, and inspect criterion-level prescreening results. The application also exposes the workflow trace and safety checks used during processing.</w:t>
      </w:r>
    </w:p>
    <w:p>
      <w:pPr>
        <w:jc w:val="center"/>
        <w:spacing w:before="120" w:after="120"/>
      </w:pPr>
      <w:r>
        <w:rPr>
          <w:b/>
          <w:color w:val="0F857A"/>
          <w:sz w:val="20"/>
        </w:rPr>
        <w:t>UPLOAD → EXTRACT EVIDENCE → FIND TRIALS → COMPARE CRITERIA → SURFACE UNCERTAINTY → HUMAN REVIEW</w:t>
      </w:r>
    </w:p>
    <w:p>
      <w:r>
        <w:t>These are the same six steps described in Section 4. The application runs locally. For the competition submission, a recorded demo video shows the full scenario in Section 15 running end to end in the application.</w:t>
      </w:r>
    </w:p>
    <w:p>
      <w:pPr>
        <w:pStyle w:val="Heading1"/>
      </w:pPr>
      <w:r>
        <w:t>3. Why This Problem Matters</w:t>
      </w:r>
    </w:p>
    <w:p>
      <w:r>
        <w:t>The use case is supported by published research. A 2025 randomized clinical trial in JAMA described eligibility assessment as typically requiring trained study staff to manually review unstructured information such as text, PDF notes, and reports. In that single-center heart-failure trial, AI-assisted screening reached eligibility determinations faster than manual screening. The authors also noted that structured queries still leave unstructured information for manual review.</w:t>
      </w:r>
    </w:p>
    <w:p>
      <w:r>
        <w:t>Earlier research likewise describes manual eligibility screening as labor-intensive, and a systematic review found that NLP-based prescreening systems have been studied for accuracy, time efficiency, workload, and recruitment. These studies support the problem statement; they do not prove that this prototype will reproduce the same outcomes.</w:t>
      </w:r>
    </w:p>
    <w:p>
      <w:pPr>
        <w:pStyle w:val="Heading1"/>
      </w:pPr>
      <w:r>
        <w:t>4. User Experience</w:t>
      </w:r>
    </w:p>
    <w:p>
      <w:r>
        <w:t>A research coordinator or reviewer would experience the prototype as a simple six-step workflow:</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857A"/>
          </w:tcPr>
          <w:p>
            <w:r>
              <w:rPr>
                <w:color w:val="FFFFFF"/>
              </w:rPr>
            </w:r>
            <w:r>
              <w:rPr>
                <w:rFonts w:ascii="Aptos" w:hAnsi="Aptos"/>
                <w:b/>
                <w:sz w:val="18"/>
              </w:rPr>
              <w:t>1</w:t>
            </w:r>
          </w:p>
        </w:tc>
        <w:tc>
          <w:tcPr>
            <w:tcW w:type="dxa" w:w="3389"/>
            <w:vAlign w:val="center"/>
          </w:tcPr>
          <w:p>
            <w:r/>
            <w:r>
              <w:rPr>
                <w:rFonts w:ascii="Aptos" w:hAnsi="Aptos"/>
                <w:b/>
                <w:sz w:val="18"/>
              </w:rPr>
              <w:t>Upload</w:t>
            </w:r>
          </w:p>
        </w:tc>
        <w:tc>
          <w:tcPr>
            <w:tcW w:type="dxa" w:w="3389"/>
            <w:vAlign w:val="center"/>
          </w:tcPr>
          <w:p>
            <w:r/>
            <w:r>
              <w:rPr>
                <w:rFonts w:ascii="Aptos" w:hAnsi="Aptos"/>
                <w:b w:val="0"/>
                <w:sz w:val="18"/>
              </w:rPr>
              <w:t>Synthetic PDF notes, scanned fax/image, pathology and lab reports</w:t>
            </w:r>
          </w:p>
        </w:tc>
      </w:tr>
      <w:tr>
        <w:tc>
          <w:tcPr>
            <w:tcW w:type="dxa" w:w="3389"/>
            <w:vAlign w:val="center"/>
            <w:shd w:fill="0F857A"/>
          </w:tcPr>
          <w:p>
            <w:r>
              <w:rPr>
                <w:color w:val="FFFFFF"/>
              </w:rPr>
            </w:r>
            <w:r>
              <w:rPr>
                <w:rFonts w:ascii="Aptos" w:hAnsi="Aptos"/>
                <w:b/>
                <w:sz w:val="18"/>
              </w:rPr>
              <w:t>2</w:t>
            </w:r>
          </w:p>
        </w:tc>
        <w:tc>
          <w:tcPr>
            <w:tcW w:type="dxa" w:w="3389"/>
            <w:vAlign w:val="center"/>
          </w:tcPr>
          <w:p>
            <w:r/>
            <w:r>
              <w:rPr>
                <w:rFonts w:ascii="Aptos" w:hAnsi="Aptos"/>
                <w:b/>
                <w:sz w:val="18"/>
              </w:rPr>
              <w:t>Extract evidence</w:t>
            </w:r>
          </w:p>
        </w:tc>
        <w:tc>
          <w:tcPr>
            <w:tcW w:type="dxa" w:w="3389"/>
            <w:vAlign w:val="center"/>
          </w:tcPr>
          <w:p>
            <w:r/>
            <w:r>
              <w:rPr>
                <w:rFonts w:ascii="Aptos" w:hAnsi="Aptos"/>
                <w:b w:val="0"/>
                <w:sz w:val="18"/>
              </w:rPr>
              <w:t>Diagnosis, biomarkers, treatment history, ECOG, labs and dates with source/page</w:t>
            </w:r>
          </w:p>
        </w:tc>
      </w:tr>
      <w:tr>
        <w:tc>
          <w:tcPr>
            <w:tcW w:type="dxa" w:w="3389"/>
            <w:vAlign w:val="center"/>
            <w:shd w:fill="0F857A"/>
          </w:tcPr>
          <w:p>
            <w:r>
              <w:rPr>
                <w:color w:val="FFFFFF"/>
              </w:rPr>
            </w:r>
            <w:r>
              <w:rPr>
                <w:rFonts w:ascii="Aptos" w:hAnsi="Aptos"/>
                <w:b/>
                <w:sz w:val="18"/>
              </w:rPr>
              <w:t>3</w:t>
            </w:r>
          </w:p>
        </w:tc>
        <w:tc>
          <w:tcPr>
            <w:tcW w:type="dxa" w:w="3389"/>
            <w:vAlign w:val="center"/>
          </w:tcPr>
          <w:p>
            <w:r/>
            <w:r>
              <w:rPr>
                <w:rFonts w:ascii="Aptos" w:hAnsi="Aptos"/>
                <w:b/>
                <w:sz w:val="18"/>
              </w:rPr>
              <w:t>Find trials</w:t>
            </w:r>
          </w:p>
        </w:tc>
        <w:tc>
          <w:tcPr>
            <w:tcW w:type="dxa" w:w="3389"/>
            <w:vAlign w:val="center"/>
          </w:tcPr>
          <w:p>
            <w:r/>
            <w:r>
              <w:rPr>
                <w:rFonts w:ascii="Aptos" w:hAnsi="Aptos"/>
                <w:b w:val="0"/>
                <w:sz w:val="18"/>
              </w:rPr>
              <w:t>Search a curated public ClinicalTrials.gov corpus using keyword and semantic retrieval</w:t>
            </w:r>
          </w:p>
        </w:tc>
      </w:tr>
      <w:tr>
        <w:tc>
          <w:tcPr>
            <w:tcW w:type="dxa" w:w="3389"/>
            <w:vAlign w:val="center"/>
            <w:shd w:fill="0F857A"/>
          </w:tcPr>
          <w:p>
            <w:r>
              <w:rPr>
                <w:color w:val="FFFFFF"/>
              </w:rPr>
            </w:r>
            <w:r>
              <w:rPr>
                <w:rFonts w:ascii="Aptos" w:hAnsi="Aptos"/>
                <w:b/>
                <w:sz w:val="18"/>
              </w:rPr>
              <w:t>4</w:t>
            </w:r>
          </w:p>
        </w:tc>
        <w:tc>
          <w:tcPr>
            <w:tcW w:type="dxa" w:w="3389"/>
            <w:vAlign w:val="center"/>
          </w:tcPr>
          <w:p>
            <w:r/>
            <w:r>
              <w:rPr>
                <w:rFonts w:ascii="Aptos" w:hAnsi="Aptos"/>
                <w:b/>
                <w:sz w:val="18"/>
              </w:rPr>
              <w:t>Compare criteria</w:t>
            </w:r>
          </w:p>
        </w:tc>
        <w:tc>
          <w:tcPr>
            <w:tcW w:type="dxa" w:w="3389"/>
            <w:vAlign w:val="center"/>
          </w:tcPr>
          <w:p>
            <w:r/>
            <w:r>
              <w:rPr>
                <w:rFonts w:ascii="Aptos" w:hAnsi="Aptos"/>
                <w:b w:val="0"/>
                <w:sz w:val="18"/>
              </w:rPr>
              <w:t>Assess each inclusion/exclusion criterion against available patient evidence</w:t>
            </w:r>
          </w:p>
        </w:tc>
      </w:tr>
      <w:tr>
        <w:tc>
          <w:tcPr>
            <w:tcW w:type="dxa" w:w="3389"/>
            <w:vAlign w:val="center"/>
            <w:shd w:fill="0F857A"/>
          </w:tcPr>
          <w:p>
            <w:r>
              <w:rPr>
                <w:color w:val="FFFFFF"/>
              </w:rPr>
            </w:r>
            <w:r>
              <w:rPr>
                <w:rFonts w:ascii="Aptos" w:hAnsi="Aptos"/>
                <w:b/>
                <w:sz w:val="18"/>
              </w:rPr>
              <w:t>5</w:t>
            </w:r>
          </w:p>
        </w:tc>
        <w:tc>
          <w:tcPr>
            <w:tcW w:type="dxa" w:w="3389"/>
            <w:vAlign w:val="center"/>
          </w:tcPr>
          <w:p>
            <w:r/>
            <w:r>
              <w:rPr>
                <w:rFonts w:ascii="Aptos" w:hAnsi="Aptos"/>
                <w:b/>
                <w:sz w:val="18"/>
              </w:rPr>
              <w:t>Surface uncertainty</w:t>
            </w:r>
          </w:p>
        </w:tc>
        <w:tc>
          <w:tcPr>
            <w:tcW w:type="dxa" w:w="3389"/>
            <w:vAlign w:val="center"/>
          </w:tcPr>
          <w:p>
            <w:r/>
            <w:r>
              <w:rPr>
                <w:rFonts w:ascii="Aptos" w:hAnsi="Aptos"/>
                <w:b w:val="0"/>
                <w:sz w:val="18"/>
              </w:rPr>
              <w:t>Show missing facts, contradictions and apparent exclusions instead of guessing</w:t>
            </w:r>
          </w:p>
        </w:tc>
      </w:tr>
      <w:tr>
        <w:tc>
          <w:tcPr>
            <w:tcW w:type="dxa" w:w="3389"/>
            <w:vAlign w:val="center"/>
            <w:shd w:fill="0F857A"/>
          </w:tcPr>
          <w:p>
            <w:r>
              <w:rPr>
                <w:color w:val="FFFFFF"/>
              </w:rPr>
            </w:r>
            <w:r>
              <w:rPr>
                <w:rFonts w:ascii="Aptos" w:hAnsi="Aptos"/>
                <w:b/>
                <w:sz w:val="18"/>
              </w:rPr>
              <w:t>6</w:t>
            </w:r>
          </w:p>
        </w:tc>
        <w:tc>
          <w:tcPr>
            <w:tcW w:type="dxa" w:w="3389"/>
            <w:vAlign w:val="center"/>
          </w:tcPr>
          <w:p>
            <w:r/>
            <w:r>
              <w:rPr>
                <w:rFonts w:ascii="Aptos" w:hAnsi="Aptos"/>
                <w:b/>
                <w:sz w:val="18"/>
              </w:rPr>
              <w:t>Human review</w:t>
            </w:r>
          </w:p>
        </w:tc>
        <w:tc>
          <w:tcPr>
            <w:tcW w:type="dxa" w:w="3389"/>
            <w:vAlign w:val="center"/>
          </w:tcPr>
          <w:p>
            <w:r/>
            <w:r>
              <w:rPr>
                <w:rFonts w:ascii="Aptos" w:hAnsi="Aptos"/>
                <w:b w:val="0"/>
                <w:sz w:val="18"/>
              </w:rPr>
              <w:t>Present an auditable prescreening summary; qualified staff make the real decision</w:t>
            </w:r>
          </w:p>
        </w:tc>
      </w:tr>
    </w:tbl>
    <w:p/>
    <w:p>
      <w:pPr>
        <w:pStyle w:val="Heading1"/>
      </w:pPr>
      <w:r>
        <w:t>5. End-to-End Workflow Diagram</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EAF6F4"/>
          </w:tcPr>
          <w:p>
            <w:r/>
            <w:r>
              <w:rPr>
                <w:rFonts w:ascii="Aptos" w:hAnsi="Aptos"/>
                <w:b/>
                <w:sz w:val="18"/>
              </w:rPr>
              <w:t>Clinical</w:t>
              <w:br/>
              <w:t>Documents</w:t>
            </w:r>
          </w:p>
        </w:tc>
        <w:tc>
          <w:tcPr>
            <w:tcW w:type="dxa" w:w="1452"/>
            <w:vAlign w:val="center"/>
            <w:shd w:fill="FFFFFF"/>
          </w:tcPr>
          <w:p>
            <w:r/>
            <w:r>
              <w:rPr>
                <w:rFonts w:ascii="Aptos" w:hAnsi="Aptos"/>
                <w:b w:val="0"/>
                <w:sz w:val="18"/>
              </w:rPr>
              <w:t>→</w:t>
            </w:r>
          </w:p>
        </w:tc>
        <w:tc>
          <w:tcPr>
            <w:tcW w:type="dxa" w:w="1452"/>
            <w:vAlign w:val="center"/>
            <w:shd w:fill="EAF6F4"/>
          </w:tcPr>
          <w:p>
            <w:r/>
            <w:r>
              <w:rPr>
                <w:rFonts w:ascii="Aptos" w:hAnsi="Aptos"/>
                <w:b/>
                <w:sz w:val="18"/>
              </w:rPr>
              <w:t>Patient</w:t>
              <w:br/>
              <w:t>Evidence</w:t>
            </w:r>
          </w:p>
        </w:tc>
        <w:tc>
          <w:tcPr>
            <w:tcW w:type="dxa" w:w="1452"/>
            <w:vAlign w:val="center"/>
            <w:shd w:fill="FFFFFF"/>
          </w:tcPr>
          <w:p>
            <w:r/>
            <w:r>
              <w:rPr>
                <w:rFonts w:ascii="Aptos" w:hAnsi="Aptos"/>
                <w:b w:val="0"/>
                <w:sz w:val="18"/>
              </w:rPr>
              <w:t>→</w:t>
            </w:r>
          </w:p>
        </w:tc>
        <w:tc>
          <w:tcPr>
            <w:tcW w:type="dxa" w:w="1452"/>
            <w:vAlign w:val="center"/>
            <w:shd w:fill="EAF6F4"/>
          </w:tcPr>
          <w:p>
            <w:r/>
            <w:r>
              <w:rPr>
                <w:rFonts w:ascii="Aptos" w:hAnsi="Aptos"/>
                <w:b/>
                <w:sz w:val="18"/>
              </w:rPr>
              <w:t>Trial</w:t>
              <w:br/>
              <w:t>Matching</w:t>
            </w:r>
          </w:p>
        </w:tc>
        <w:tc>
          <w:tcPr>
            <w:tcW w:type="dxa" w:w="1452"/>
            <w:vAlign w:val="center"/>
            <w:shd w:fill="FFFFFF"/>
          </w:tcPr>
          <w:p>
            <w:r/>
            <w:r>
              <w:rPr>
                <w:rFonts w:ascii="Aptos" w:hAnsi="Aptos"/>
                <w:b w:val="0"/>
                <w:sz w:val="18"/>
              </w:rPr>
              <w:t>→</w:t>
            </w:r>
          </w:p>
        </w:tc>
        <w:tc>
          <w:tcPr>
            <w:tcW w:type="dxa" w:w="1452"/>
            <w:vAlign w:val="center"/>
            <w:shd w:fill="EAF6F4"/>
          </w:tcPr>
          <w:p>
            <w:r/>
            <w:r>
              <w:rPr>
                <w:rFonts w:ascii="Aptos" w:hAnsi="Aptos"/>
                <w:b/>
                <w:sz w:val="18"/>
              </w:rPr>
              <w:t>Human</w:t>
              <w:br/>
              <w:t>Review</w:t>
            </w:r>
          </w:p>
        </w:tc>
      </w:tr>
    </w:tbl>
    <w:p/>
    <w:p>
      <w:pPr>
        <w:jc w:val="center"/>
      </w:pPr>
      <w:r>
        <w:rPr>
          <w:i/>
          <w:sz w:val="18"/>
        </w:rPr>
        <w:t>Behind the scenes: extraction → provenance → hybrid RAG → reranking → criterion reasoning → conflict/safety check → review</w:t>
      </w:r>
    </w:p>
    <w:p>
      <w:pPr>
        <w:pStyle w:val="Heading1"/>
      </w:pPr>
      <w:r>
        <w:t>6. Input Data</w:t>
      </w:r>
    </w:p>
    <w:p>
      <w:r>
        <w:t>The prototype uses fictional/synthetic patient records so the project can demonstrate realistic healthcare data problems without exposing protected health information.</w:t>
      </w:r>
    </w:p>
    <w:p>
      <w:pPr>
        <w:pStyle w:val="ListBullet"/>
        <w:spacing w:after="40"/>
      </w:pPr>
      <w:r>
        <w:t>Text-based clinical note PDF</w:t>
      </w:r>
    </w:p>
    <w:p>
      <w:pPr>
        <w:pStyle w:val="ListBullet"/>
        <w:spacing w:after="40"/>
      </w:pPr>
      <w:r>
        <w:t>Pathology report PDF</w:t>
      </w:r>
    </w:p>
    <w:p>
      <w:pPr>
        <w:pStyle w:val="ListBullet"/>
        <w:spacing w:after="40"/>
      </w:pPr>
      <w:r>
        <w:t>Laboratory report PDF</w:t>
      </w:r>
    </w:p>
    <w:p>
      <w:pPr>
        <w:pStyle w:val="ListBullet"/>
        <w:spacing w:after="40"/>
      </w:pPr>
      <w:r>
        <w:t>Scanned or fax-like image</w:t>
      </w:r>
    </w:p>
    <w:p>
      <w:pPr>
        <w:pStyle w:val="ListBullet"/>
        <w:spacing w:after="40"/>
      </w:pPr>
      <w:r>
        <w:t>Optional simple handwritten note as an experimental input</w:t>
      </w:r>
    </w:p>
    <w:p>
      <w:r>
        <w:t>A single patient’s facts are intentionally split across several documents. One fact is deliberately missing and another is deliberately contradictory. This allows the demo to prove that the system can say “unknown” and “conflict” rather than inventing certainty.</w:t>
      </w:r>
    </w:p>
    <w:p>
      <w:pPr>
        <w:pStyle w:val="Heading1"/>
      </w:pPr>
      <w:r>
        <w:t>7. The Evidence Layer</w:t>
      </w:r>
    </w:p>
    <w:p>
      <w:r>
        <w:t>The evidence layer is the center of the design. Every extracted fact remains attached to where it came from. For example, “ECOG 1” is not stored as an unsupported statement; it is stored with the source file, page, document date, and the exact supporting quote. Because AI models do not produce reliable confidence scores, the prototype uses a simple deterministic check instead: the supporting quote must appear word for word in the source text (or in the transcribed text for scanned images). A fact whose quote cannot be found is flagged as unverified.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0F857A"/>
          </w:tcPr>
          <w:p>
            <w:r/>
            <w:r>
              <w:rPr>
                <w:rFonts w:ascii="Aptos" w:hAnsi="Aptos"/>
                <w:b/>
                <w:color w:val="FFFFFF"/>
                <w:sz w:val="18"/>
              </w:rPr>
              <w:t>Patient fact</w:t>
            </w:r>
          </w:p>
        </w:tc>
        <w:tc>
          <w:tcPr>
            <w:tcW w:type="dxa" w:w="2033"/>
            <w:vAlign w:val="center"/>
            <w:shd w:fill="0F857A"/>
          </w:tcPr>
          <w:p>
            <w:r/>
            <w:r>
              <w:rPr>
                <w:rFonts w:ascii="Aptos" w:hAnsi="Aptos"/>
                <w:b/>
                <w:color w:val="FFFFFF"/>
                <w:sz w:val="18"/>
              </w:rPr>
              <w:t>Value</w:t>
            </w:r>
          </w:p>
        </w:tc>
        <w:tc>
          <w:tcPr>
            <w:tcW w:type="dxa" w:w="2033"/>
            <w:vAlign w:val="center"/>
            <w:shd w:fill="0F857A"/>
          </w:tcPr>
          <w:p>
            <w:r/>
            <w:r>
              <w:rPr>
                <w:rFonts w:ascii="Aptos" w:hAnsi="Aptos"/>
                <w:b/>
                <w:color w:val="FFFFFF"/>
                <w:sz w:val="18"/>
              </w:rPr>
              <w:t>Source (file, page)</w:t>
            </w:r>
          </w:p>
        </w:tc>
        <w:tc>
          <w:tcPr>
            <w:tcW w:type="dxa" w:w="2033"/>
            <w:vAlign w:val="center"/>
            <w:shd w:fill="0F857A"/>
          </w:tcPr>
          <w:p>
            <w:r/>
            <w:r>
              <w:rPr>
                <w:rFonts w:ascii="Aptos" w:hAnsi="Aptos"/>
                <w:b/>
                <w:color w:val="FFFFFF"/>
                <w:sz w:val="18"/>
              </w:rPr>
              <w:t>Date</w:t>
            </w:r>
          </w:p>
        </w:tc>
        <w:tc>
          <w:tcPr>
            <w:tcW w:type="dxa" w:w="2033"/>
            <w:vAlign w:val="center"/>
            <w:shd w:fill="0F857A"/>
          </w:tcPr>
          <w:p>
            <w:r/>
            <w:r>
              <w:rPr>
                <w:rFonts w:ascii="Aptos" w:hAnsi="Aptos"/>
                <w:b/>
                <w:color w:val="FFFFFF"/>
                <w:sz w:val="18"/>
              </w:rPr>
              <w:t>State</w:t>
            </w:r>
          </w:p>
        </w:tc>
      </w:tr>
      <w:tr>
        <w:tc>
          <w:tcPr>
            <w:tcW w:type="dxa" w:w="2033"/>
            <w:vAlign w:val="center"/>
          </w:tcPr>
          <w:p>
            <w:r/>
            <w:r>
              <w:rPr>
                <w:rFonts w:ascii="Aptos" w:hAnsi="Aptos"/>
                <w:b w:val="0"/>
                <w:sz w:val="17"/>
              </w:rPr>
              <w:t>Age</w:t>
            </w:r>
          </w:p>
        </w:tc>
        <w:tc>
          <w:tcPr>
            <w:tcW w:type="dxa" w:w="2033"/>
            <w:vAlign w:val="center"/>
          </w:tcPr>
          <w:p>
            <w:r/>
            <w:r>
              <w:rPr>
                <w:rFonts w:ascii="Aptos" w:hAnsi="Aptos"/>
                <w:b w:val="0"/>
                <w:sz w:val="17"/>
              </w:rPr>
              <w:t>58 years</w:t>
            </w:r>
          </w:p>
        </w:tc>
        <w:tc>
          <w:tcPr>
            <w:tcW w:type="dxa" w:w="2033"/>
            <w:vAlign w:val="center"/>
          </w:tcPr>
          <w:p>
            <w:r/>
            <w:r>
              <w:rPr>
                <w:rFonts w:ascii="Aptos" w:hAnsi="Aptos"/>
                <w:b w:val="0"/>
                <w:sz w:val="17"/>
              </w:rPr>
              <w:t>oncology_note.pdf, p.1</w:t>
            </w:r>
          </w:p>
        </w:tc>
        <w:tc>
          <w:tcPr>
            <w:tcW w:type="dxa" w:w="2033"/>
            <w:vAlign w:val="center"/>
          </w:tcPr>
          <w:p>
            <w:r/>
            <w:r>
              <w:rPr>
                <w:rFonts w:ascii="Aptos" w:hAnsi="Aptos"/>
                <w:b w:val="0"/>
                <w:sz w:val="17"/>
              </w:rPr>
              <w:t>2026-03-10</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Diagnosis</w:t>
            </w:r>
          </w:p>
        </w:tc>
        <w:tc>
          <w:tcPr>
            <w:tcW w:type="dxa" w:w="2033"/>
            <w:vAlign w:val="center"/>
          </w:tcPr>
          <w:p>
            <w:r/>
            <w:r>
              <w:rPr>
                <w:rFonts w:ascii="Aptos" w:hAnsi="Aptos"/>
                <w:b w:val="0"/>
                <w:sz w:val="17"/>
              </w:rPr>
              <w:t>Metastatic colorectal adenocarcinoma</w:t>
            </w:r>
          </w:p>
        </w:tc>
        <w:tc>
          <w:tcPr>
            <w:tcW w:type="dxa" w:w="2033"/>
            <w:vAlign w:val="center"/>
          </w:tcPr>
          <w:p>
            <w:r/>
            <w:r>
              <w:rPr>
                <w:rFonts w:ascii="Aptos" w:hAnsi="Aptos"/>
                <w:b w:val="0"/>
                <w:sz w:val="17"/>
              </w:rPr>
              <w:t>oncology_note.pdf, p.1</w:t>
            </w:r>
          </w:p>
        </w:tc>
        <w:tc>
          <w:tcPr>
            <w:tcW w:type="dxa" w:w="2033"/>
            <w:vAlign w:val="center"/>
          </w:tcPr>
          <w:p>
            <w:r/>
            <w:r>
              <w:rPr>
                <w:rFonts w:ascii="Aptos" w:hAnsi="Aptos"/>
                <w:b w:val="0"/>
                <w:sz w:val="17"/>
              </w:rPr>
              <w:t>2026-03-10</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Biomarker</w:t>
            </w:r>
          </w:p>
        </w:tc>
        <w:tc>
          <w:tcPr>
            <w:tcW w:type="dxa" w:w="2033"/>
            <w:vAlign w:val="center"/>
          </w:tcPr>
          <w:p>
            <w:r/>
            <w:r>
              <w:rPr>
                <w:rFonts w:ascii="Aptos" w:hAnsi="Aptos"/>
                <w:b w:val="0"/>
                <w:sz w:val="17"/>
              </w:rPr>
              <w:t>KRAS G12C mutation detected</w:t>
            </w:r>
          </w:p>
        </w:tc>
        <w:tc>
          <w:tcPr>
            <w:tcW w:type="dxa" w:w="2033"/>
            <w:vAlign w:val="center"/>
          </w:tcPr>
          <w:p>
            <w:r/>
            <w:r>
              <w:rPr>
                <w:rFonts w:ascii="Aptos" w:hAnsi="Aptos"/>
                <w:b w:val="0"/>
                <w:sz w:val="17"/>
              </w:rPr>
              <w:t>pathology_report.pdf, p.2</w:t>
            </w:r>
          </w:p>
        </w:tc>
        <w:tc>
          <w:tcPr>
            <w:tcW w:type="dxa" w:w="2033"/>
            <w:vAlign w:val="center"/>
          </w:tcPr>
          <w:p>
            <w:r/>
            <w:r>
              <w:rPr>
                <w:rFonts w:ascii="Aptos" w:hAnsi="Aptos"/>
                <w:b w:val="0"/>
                <w:sz w:val="17"/>
              </w:rPr>
              <w:t>2026-02-24</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MSI status</w:t>
            </w:r>
          </w:p>
        </w:tc>
        <w:tc>
          <w:tcPr>
            <w:tcW w:type="dxa" w:w="2033"/>
            <w:vAlign w:val="center"/>
          </w:tcPr>
          <w:p>
            <w:r/>
            <w:r>
              <w:rPr>
                <w:rFonts w:ascii="Aptos" w:hAnsi="Aptos"/>
                <w:b w:val="0"/>
                <w:sz w:val="17"/>
              </w:rPr>
              <w:t>Microsatellite stable (MSS)</w:t>
            </w:r>
          </w:p>
        </w:tc>
        <w:tc>
          <w:tcPr>
            <w:tcW w:type="dxa" w:w="2033"/>
            <w:vAlign w:val="center"/>
          </w:tcPr>
          <w:p>
            <w:r/>
            <w:r>
              <w:rPr>
                <w:rFonts w:ascii="Aptos" w:hAnsi="Aptos"/>
                <w:b w:val="0"/>
                <w:sz w:val="17"/>
              </w:rPr>
              <w:t>pathology_report.pdf, p.2</w:t>
            </w:r>
          </w:p>
        </w:tc>
        <w:tc>
          <w:tcPr>
            <w:tcW w:type="dxa" w:w="2033"/>
            <w:vAlign w:val="center"/>
          </w:tcPr>
          <w:p>
            <w:r/>
            <w:r>
              <w:rPr>
                <w:rFonts w:ascii="Aptos" w:hAnsi="Aptos"/>
                <w:b w:val="0"/>
                <w:sz w:val="17"/>
              </w:rPr>
              <w:t>2026-02-24</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Prior therapy</w:t>
            </w:r>
          </w:p>
        </w:tc>
        <w:tc>
          <w:tcPr>
            <w:tcW w:type="dxa" w:w="2033"/>
            <w:vAlign w:val="center"/>
          </w:tcPr>
          <w:p>
            <w:r/>
            <w:r>
              <w:rPr>
                <w:rFonts w:ascii="Aptos" w:hAnsi="Aptos"/>
                <w:b w:val="0"/>
                <w:sz w:val="17"/>
              </w:rPr>
              <w:t>FOLFOX, then FOLFIRI</w:t>
            </w:r>
          </w:p>
        </w:tc>
        <w:tc>
          <w:tcPr>
            <w:tcW w:type="dxa" w:w="2033"/>
            <w:vAlign w:val="center"/>
          </w:tcPr>
          <w:p>
            <w:r/>
            <w:r>
              <w:rPr>
                <w:rFonts w:ascii="Aptos" w:hAnsi="Aptos"/>
                <w:b w:val="0"/>
                <w:sz w:val="17"/>
              </w:rPr>
              <w:t>oncology_note.pdf, p.2</w:t>
            </w:r>
          </w:p>
        </w:tc>
        <w:tc>
          <w:tcPr>
            <w:tcW w:type="dxa" w:w="2033"/>
            <w:vAlign w:val="center"/>
          </w:tcPr>
          <w:p>
            <w:r/>
            <w:r>
              <w:rPr>
                <w:rFonts w:ascii="Aptos" w:hAnsi="Aptos"/>
                <w:b w:val="0"/>
                <w:sz w:val="17"/>
              </w:rPr>
              <w:t>2026-03-10</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Lab</w:t>
            </w:r>
          </w:p>
        </w:tc>
        <w:tc>
          <w:tcPr>
            <w:tcW w:type="dxa" w:w="2033"/>
            <w:vAlign w:val="center"/>
          </w:tcPr>
          <w:p>
            <w:r/>
            <w:r>
              <w:rPr>
                <w:rFonts w:ascii="Aptos" w:hAnsi="Aptos"/>
                <w:b w:val="0"/>
                <w:sz w:val="17"/>
              </w:rPr>
              <w:t>Absolute neutrophil count 2.1 × 10⁹/L</w:t>
            </w:r>
          </w:p>
        </w:tc>
        <w:tc>
          <w:tcPr>
            <w:tcW w:type="dxa" w:w="2033"/>
            <w:vAlign w:val="center"/>
          </w:tcPr>
          <w:p>
            <w:r/>
            <w:r>
              <w:rPr>
                <w:rFonts w:ascii="Aptos" w:hAnsi="Aptos"/>
                <w:b w:val="0"/>
                <w:sz w:val="17"/>
              </w:rPr>
              <w:t>lab_report.pdf, p.1</w:t>
            </w:r>
          </w:p>
        </w:tc>
        <w:tc>
          <w:tcPr>
            <w:tcW w:type="dxa" w:w="2033"/>
            <w:vAlign w:val="center"/>
          </w:tcPr>
          <w:p>
            <w:r/>
            <w:r>
              <w:rPr>
                <w:rFonts w:ascii="Aptos" w:hAnsi="Aptos"/>
                <w:b w:val="0"/>
                <w:sz w:val="17"/>
              </w:rPr>
              <w:t>2026-03-08</w:t>
            </w:r>
          </w:p>
        </w:tc>
        <w:tc>
          <w:tcPr>
            <w:tcW w:type="dxa" w:w="2033"/>
            <w:vAlign w:val="center"/>
          </w:tcPr>
          <w:p>
            <w:r/>
            <w:r>
              <w:rPr>
                <w:rFonts w:ascii="Aptos" w:hAnsi="Aptos"/>
                <w:b w:val="0"/>
                <w:sz w:val="17"/>
              </w:rPr>
              <w:t>Supported</w:t>
            </w:r>
          </w:p>
        </w:tc>
      </w:tr>
      <w:tr>
        <w:tc>
          <w:tcPr>
            <w:tcW w:type="dxa" w:w="2033"/>
            <w:vAlign w:val="center"/>
          </w:tcPr>
          <w:p>
            <w:r/>
            <w:r>
              <w:rPr>
                <w:rFonts w:ascii="Aptos" w:hAnsi="Aptos"/>
                <w:b w:val="0"/>
                <w:sz w:val="17"/>
              </w:rPr>
              <w:t>ECOG</w:t>
            </w:r>
          </w:p>
        </w:tc>
        <w:tc>
          <w:tcPr>
            <w:tcW w:type="dxa" w:w="2033"/>
            <w:vAlign w:val="center"/>
          </w:tcPr>
          <w:p>
            <w:r/>
            <w:r>
              <w:rPr>
                <w:rFonts w:ascii="Aptos" w:hAnsi="Aptos"/>
                <w:b w:val="0"/>
                <w:sz w:val="17"/>
              </w:rPr>
              <w:t>1</w:t>
            </w:r>
          </w:p>
        </w:tc>
        <w:tc>
          <w:tcPr>
            <w:tcW w:type="dxa" w:w="2033"/>
            <w:vAlign w:val="center"/>
          </w:tcPr>
          <w:p>
            <w:r/>
            <w:r>
              <w:rPr>
                <w:rFonts w:ascii="Aptos" w:hAnsi="Aptos"/>
                <w:b w:val="0"/>
                <w:sz w:val="17"/>
              </w:rPr>
              <w:t>oncology_note.pdf, p.2</w:t>
            </w:r>
          </w:p>
        </w:tc>
        <w:tc>
          <w:tcPr>
            <w:tcW w:type="dxa" w:w="2033"/>
            <w:vAlign w:val="center"/>
          </w:tcPr>
          <w:p>
            <w:r/>
            <w:r>
              <w:rPr>
                <w:rFonts w:ascii="Aptos" w:hAnsi="Aptos"/>
                <w:b w:val="0"/>
                <w:sz w:val="17"/>
              </w:rPr>
              <w:t>2026-03-10</w:t>
            </w:r>
          </w:p>
        </w:tc>
        <w:tc>
          <w:tcPr>
            <w:tcW w:type="dxa" w:w="2033"/>
            <w:vAlign w:val="center"/>
          </w:tcPr>
          <w:p>
            <w:r/>
            <w:r>
              <w:rPr>
                <w:rFonts w:ascii="Aptos" w:hAnsi="Aptos"/>
                <w:b w:val="0"/>
                <w:sz w:val="17"/>
              </w:rPr>
              <w:t>Potential conflict</w:t>
            </w:r>
          </w:p>
        </w:tc>
      </w:tr>
      <w:tr>
        <w:tc>
          <w:tcPr>
            <w:tcW w:type="dxa" w:w="2033"/>
            <w:vAlign w:val="center"/>
          </w:tcPr>
          <w:p>
            <w:r/>
            <w:r>
              <w:rPr>
                <w:rFonts w:ascii="Aptos" w:hAnsi="Aptos"/>
                <w:b w:val="0"/>
                <w:sz w:val="17"/>
              </w:rPr>
              <w:t>ECOG</w:t>
            </w:r>
          </w:p>
        </w:tc>
        <w:tc>
          <w:tcPr>
            <w:tcW w:type="dxa" w:w="2033"/>
            <w:vAlign w:val="center"/>
          </w:tcPr>
          <w:p>
            <w:r/>
            <w:r>
              <w:rPr>
                <w:rFonts w:ascii="Aptos" w:hAnsi="Aptos"/>
                <w:b w:val="0"/>
                <w:sz w:val="17"/>
              </w:rPr>
              <w:t>2</w:t>
            </w:r>
          </w:p>
        </w:tc>
        <w:tc>
          <w:tcPr>
            <w:tcW w:type="dxa" w:w="2033"/>
            <w:vAlign w:val="center"/>
          </w:tcPr>
          <w:p>
            <w:r/>
            <w:r>
              <w:rPr>
                <w:rFonts w:ascii="Aptos" w:hAnsi="Aptos"/>
                <w:b w:val="0"/>
                <w:sz w:val="17"/>
              </w:rPr>
              <w:t>outside_referral.png, p.1</w:t>
            </w:r>
          </w:p>
        </w:tc>
        <w:tc>
          <w:tcPr>
            <w:tcW w:type="dxa" w:w="2033"/>
            <w:vAlign w:val="center"/>
          </w:tcPr>
          <w:p>
            <w:r/>
            <w:r>
              <w:rPr>
                <w:rFonts w:ascii="Aptos" w:hAnsi="Aptos"/>
                <w:b w:val="0"/>
                <w:sz w:val="17"/>
              </w:rPr>
              <w:t>2026-03-11</w:t>
            </w:r>
          </w:p>
        </w:tc>
        <w:tc>
          <w:tcPr>
            <w:tcW w:type="dxa" w:w="2033"/>
            <w:vAlign w:val="center"/>
          </w:tcPr>
          <w:p>
            <w:r/>
            <w:r>
              <w:rPr>
                <w:rFonts w:ascii="Aptos" w:hAnsi="Aptos"/>
                <w:b w:val="0"/>
                <w:sz w:val="17"/>
              </w:rPr>
              <w:t>Potential conflict</w:t>
            </w:r>
          </w:p>
        </w:tc>
      </w:tr>
      <w:tr>
        <w:tc>
          <w:tcPr>
            <w:tcW w:type="dxa" w:w="2033"/>
            <w:vAlign w:val="center"/>
          </w:tcPr>
          <w:p>
            <w:r/>
            <w:r>
              <w:rPr>
                <w:rFonts w:ascii="Aptos" w:hAnsi="Aptos"/>
                <w:b w:val="0"/>
                <w:sz w:val="17"/>
              </w:rPr>
              <w:t>Prior KRAS G12C inhibitor</w:t>
            </w:r>
          </w:p>
        </w:tc>
        <w:tc>
          <w:tcPr>
            <w:tcW w:type="dxa" w:w="2033"/>
            <w:vAlign w:val="center"/>
          </w:tcPr>
          <w:p>
            <w:r/>
            <w:r>
              <w:rPr>
                <w:rFonts w:ascii="Aptos" w:hAnsi="Aptos"/>
                <w:b w:val="0"/>
                <w:sz w:val="17"/>
              </w:rPr>
              <w:t>—</w:t>
            </w:r>
          </w:p>
        </w:tc>
        <w:tc>
          <w:tcPr>
            <w:tcW w:type="dxa" w:w="2033"/>
            <w:vAlign w:val="center"/>
          </w:tcPr>
          <w:p>
            <w:r/>
            <w:r>
              <w:rPr>
                <w:rFonts w:ascii="Aptos" w:hAnsi="Aptos"/>
                <w:b w:val="0"/>
                <w:sz w:val="17"/>
              </w:rPr>
              <w:t>No evidence found</w:t>
            </w:r>
          </w:p>
        </w:tc>
        <w:tc>
          <w:tcPr>
            <w:tcW w:type="dxa" w:w="2033"/>
            <w:vAlign w:val="center"/>
          </w:tcPr>
          <w:p>
            <w:r/>
            <w:r>
              <w:rPr>
                <w:rFonts w:ascii="Aptos" w:hAnsi="Aptos"/>
                <w:b w:val="0"/>
                <w:sz w:val="17"/>
              </w:rPr>
              <w:t>—</w:t>
            </w:r>
          </w:p>
        </w:tc>
        <w:tc>
          <w:tcPr>
            <w:tcW w:type="dxa" w:w="2033"/>
            <w:vAlign w:val="center"/>
          </w:tcPr>
          <w:p>
            <w:r/>
            <w:r>
              <w:rPr>
                <w:rFonts w:ascii="Aptos" w:hAnsi="Aptos"/>
                <w:b w:val="0"/>
                <w:sz w:val="17"/>
              </w:rPr>
              <w:t>Unknown</w:t>
            </w:r>
          </w:p>
        </w:tc>
      </w:tr>
    </w:tbl>
    <w:p>
      <w:pPr>
        <w:pStyle w:val="Heading1"/>
      </w:pPr>
      <w:r>
        <w:t>8. Trial Discovery and Matching</w:t>
      </w:r>
    </w:p>
    <w:p>
      <w:r>
        <w:t>The trial corpus comes from public ClinicalTrials.gov study information. For the competition prototype, a fixed snapshot of roughly 50–100 trial records is preferable to a huge live search. It contains relevant recruiting colorectal-cancer and KRAS G12C trials plus deliberate distractors, such as other gastrointestinal cancers and KRAS trials for other mutations, so the retrieval step has to tell them apart. The snapshot date is recorded because recruitment status changes. This makes the demo fast, reproducible, and easier to evaluate.</w:t>
      </w:r>
    </w:p>
    <w:p>
      <w:r>
        <w:t>The search query is built from the extracted patient evidence: diagnosis, stage, biomarkers and prior therapies. TrialMatch AI then uses two complementary search methods. Keyword/BM25 retrieval is good at exact terms such as drug names, biomarkers and disease phrases. Vector retrieval is good at semantic similarity when wording differs. The two ranked lists are merged with reciprocal rank fusion, and the strongest candidates are reranked before detailed eligibility review.</w:t>
      </w:r>
    </w:p>
    <w:tbl>
      <w:tblPr>
        <w:tblW w:type="auto" w:w="0"/>
        <w:jc w:val="center"/>
        <w:tblLayout w:type="autofit"/>
        <w:tblLook w:firstColumn="1" w:firstRow="1" w:lastColumn="0" w:lastRow="0" w:noHBand="0" w:noVBand="1" w:val="04A0"/>
      </w:tblPr>
      <w:tblGrid>
        <w:gridCol w:w="10166"/>
      </w:tblGrid>
      <w:tr>
        <w:tc>
          <w:tcPr>
            <w:tcW w:type="dxa" w:w="10166"/>
            <w:shd w:fill="EAF6F4"/>
          </w:tcPr>
          <w:p>
            <w:r>
              <w:rPr>
                <w:b/>
                <w:color w:val="0F857A"/>
                <w:sz w:val="21"/>
              </w:rPr>
              <w:t>Why hybrid retrieval?</w:t>
              <w:br/>
            </w:r>
            <w:r>
              <w:rPr>
                <w:sz w:val="19"/>
              </w:rPr>
              <w:t>Clinical trial matching contains both exact-match signals (for example a biomarker or prior drug) and meaning-based signals (different wording for related clinical concepts). Using both retrieval styles makes the project a natural demonstration of RAG rather than an artificial add-on.</w:t>
            </w:r>
          </w:p>
        </w:tc>
      </w:tr>
    </w:tbl>
    <w:p>
      <w:pPr>
        <w:spacing w:after="0"/>
      </w:pPr>
    </w:p>
    <w:p>
      <w:pPr>
        <w:pStyle w:val="Heading1"/>
      </w:pPr>
      <w:r>
        <w:t>9. Criterion-Level Review</w:t>
      </w:r>
    </w:p>
    <w:p>
      <w:r>
        <w:t>The system does not jump directly from a patient summary to a trial recommendation. On ClinicalTrials.gov, eligibility is stored as one free-text block, so a dedicated step first splits it into individual inclusion and exclusion criteria. Structured fields such as minimum age and sex are checked with simple code rules; the AI model handles only the free-text criteria. Each criterion is then evaluated against the available patient evidence.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F857A"/>
          </w:tcPr>
          <w:p>
            <w:r/>
            <w:r>
              <w:rPr>
                <w:rFonts w:ascii="Aptos" w:hAnsi="Aptos"/>
                <w:b/>
                <w:color w:val="FFFFFF"/>
                <w:sz w:val="18"/>
              </w:rPr>
              <w:t>Trial criterion</w:t>
            </w:r>
          </w:p>
        </w:tc>
        <w:tc>
          <w:tcPr>
            <w:tcW w:type="dxa" w:w="2541"/>
            <w:vAlign w:val="center"/>
            <w:shd w:fill="0F857A"/>
          </w:tcPr>
          <w:p>
            <w:r/>
            <w:r>
              <w:rPr>
                <w:rFonts w:ascii="Aptos" w:hAnsi="Aptos"/>
                <w:b/>
                <w:color w:val="FFFFFF"/>
                <w:sz w:val="18"/>
              </w:rPr>
              <w:t>Patient evidence</w:t>
            </w:r>
          </w:p>
        </w:tc>
        <w:tc>
          <w:tcPr>
            <w:tcW w:type="dxa" w:w="2541"/>
            <w:vAlign w:val="center"/>
            <w:shd w:fill="0F857A"/>
          </w:tcPr>
          <w:p>
            <w:r/>
            <w:r>
              <w:rPr>
                <w:rFonts w:ascii="Aptos" w:hAnsi="Aptos"/>
                <w:b/>
                <w:color w:val="FFFFFF"/>
                <w:sz w:val="18"/>
              </w:rPr>
              <w:t>Result</w:t>
            </w:r>
          </w:p>
        </w:tc>
        <w:tc>
          <w:tcPr>
            <w:tcW w:type="dxa" w:w="2541"/>
            <w:vAlign w:val="center"/>
            <w:shd w:fill="0F857A"/>
          </w:tcPr>
          <w:p>
            <w:r/>
            <w:r>
              <w:rPr>
                <w:rFonts w:ascii="Aptos" w:hAnsi="Aptos"/>
                <w:b/>
                <w:color w:val="FFFFFF"/>
                <w:sz w:val="18"/>
              </w:rPr>
              <w:t>What the reviewer sees</w:t>
            </w:r>
          </w:p>
        </w:tc>
      </w:tr>
      <w:tr>
        <w:tc>
          <w:tcPr>
            <w:tcW w:type="dxa" w:w="2541"/>
            <w:vAlign w:val="center"/>
          </w:tcPr>
          <w:p>
            <w:r/>
            <w:r>
              <w:rPr>
                <w:rFonts w:ascii="Aptos" w:hAnsi="Aptos"/>
                <w:b w:val="0"/>
                <w:sz w:val="17"/>
              </w:rPr>
              <w:t>Age ≥18</w:t>
            </w:r>
          </w:p>
        </w:tc>
        <w:tc>
          <w:tcPr>
            <w:tcW w:type="dxa" w:w="2541"/>
            <w:vAlign w:val="center"/>
          </w:tcPr>
          <w:p>
            <w:r/>
            <w:r>
              <w:rPr>
                <w:rFonts w:ascii="Aptos" w:hAnsi="Aptos"/>
                <w:b w:val="0"/>
                <w:sz w:val="17"/>
              </w:rPr>
              <w:t>Age 58 (oncology note, p.1)</w:t>
            </w:r>
          </w:p>
        </w:tc>
        <w:tc>
          <w:tcPr>
            <w:tcW w:type="dxa" w:w="2541"/>
            <w:vAlign w:val="center"/>
          </w:tcPr>
          <w:p>
            <w:r/>
            <w:r>
              <w:rPr>
                <w:rFonts w:ascii="Aptos" w:hAnsi="Aptos"/>
                <w:b w:val="0"/>
                <w:sz w:val="17"/>
              </w:rPr>
              <w:t>MEETS</w:t>
            </w:r>
          </w:p>
        </w:tc>
        <w:tc>
          <w:tcPr>
            <w:tcW w:type="dxa" w:w="2541"/>
            <w:vAlign w:val="center"/>
          </w:tcPr>
          <w:p>
            <w:r/>
            <w:r>
              <w:rPr>
                <w:rFonts w:ascii="Aptos" w:hAnsi="Aptos"/>
                <w:b w:val="0"/>
                <w:sz w:val="17"/>
              </w:rPr>
              <w:t>Evidence and source</w:t>
            </w:r>
          </w:p>
        </w:tc>
      </w:tr>
      <w:tr>
        <w:tc>
          <w:tcPr>
            <w:tcW w:type="dxa" w:w="2541"/>
            <w:vAlign w:val="center"/>
          </w:tcPr>
          <w:p>
            <w:r/>
            <w:r>
              <w:rPr>
                <w:rFonts w:ascii="Aptos" w:hAnsi="Aptos"/>
                <w:b w:val="0"/>
                <w:sz w:val="17"/>
              </w:rPr>
              <w:t>Metastatic colorectal cancer</w:t>
            </w:r>
          </w:p>
        </w:tc>
        <w:tc>
          <w:tcPr>
            <w:tcW w:type="dxa" w:w="2541"/>
            <w:vAlign w:val="center"/>
          </w:tcPr>
          <w:p>
            <w:r/>
            <w:r>
              <w:rPr>
                <w:rFonts w:ascii="Aptos" w:hAnsi="Aptos"/>
                <w:b w:val="0"/>
                <w:sz w:val="17"/>
              </w:rPr>
              <w:t>Documented diagnosis (oncology note, p.1)</w:t>
            </w:r>
          </w:p>
        </w:tc>
        <w:tc>
          <w:tcPr>
            <w:tcW w:type="dxa" w:w="2541"/>
            <w:vAlign w:val="center"/>
          </w:tcPr>
          <w:p>
            <w:r/>
            <w:r>
              <w:rPr>
                <w:rFonts w:ascii="Aptos" w:hAnsi="Aptos"/>
                <w:b w:val="0"/>
                <w:sz w:val="17"/>
              </w:rPr>
              <w:t>MEETS</w:t>
            </w:r>
          </w:p>
        </w:tc>
        <w:tc>
          <w:tcPr>
            <w:tcW w:type="dxa" w:w="2541"/>
            <w:vAlign w:val="center"/>
          </w:tcPr>
          <w:p>
            <w:r/>
            <w:r>
              <w:rPr>
                <w:rFonts w:ascii="Aptos" w:hAnsi="Aptos"/>
                <w:b w:val="0"/>
                <w:sz w:val="17"/>
              </w:rPr>
              <w:t>Evidence and source</w:t>
            </w:r>
          </w:p>
        </w:tc>
      </w:tr>
      <w:tr>
        <w:tc>
          <w:tcPr>
            <w:tcW w:type="dxa" w:w="2541"/>
            <w:vAlign w:val="center"/>
          </w:tcPr>
          <w:p>
            <w:r/>
            <w:r>
              <w:rPr>
                <w:rFonts w:ascii="Aptos" w:hAnsi="Aptos"/>
                <w:b w:val="0"/>
                <w:sz w:val="17"/>
              </w:rPr>
              <w:t>KRAS G12C mutation</w:t>
            </w:r>
          </w:p>
        </w:tc>
        <w:tc>
          <w:tcPr>
            <w:tcW w:type="dxa" w:w="2541"/>
            <w:vAlign w:val="center"/>
          </w:tcPr>
          <w:p>
            <w:r/>
            <w:r>
              <w:rPr>
                <w:rFonts w:ascii="Aptos" w:hAnsi="Aptos"/>
                <w:b w:val="0"/>
                <w:sz w:val="17"/>
              </w:rPr>
              <w:t>KRAS G12C detected (pathology report, p.2)</w:t>
            </w:r>
          </w:p>
        </w:tc>
        <w:tc>
          <w:tcPr>
            <w:tcW w:type="dxa" w:w="2541"/>
            <w:vAlign w:val="center"/>
          </w:tcPr>
          <w:p>
            <w:r/>
            <w:r>
              <w:rPr>
                <w:rFonts w:ascii="Aptos" w:hAnsi="Aptos"/>
                <w:b w:val="0"/>
                <w:sz w:val="17"/>
              </w:rPr>
              <w:t>MEETS</w:t>
            </w:r>
          </w:p>
        </w:tc>
        <w:tc>
          <w:tcPr>
            <w:tcW w:type="dxa" w:w="2541"/>
            <w:vAlign w:val="center"/>
          </w:tcPr>
          <w:p>
            <w:r/>
            <w:r>
              <w:rPr>
                <w:rFonts w:ascii="Aptos" w:hAnsi="Aptos"/>
                <w:b w:val="0"/>
                <w:sz w:val="17"/>
              </w:rPr>
              <w:t>Evidence and source</w:t>
            </w:r>
          </w:p>
        </w:tc>
      </w:tr>
      <w:tr>
        <w:tc>
          <w:tcPr>
            <w:tcW w:type="dxa" w:w="2541"/>
            <w:vAlign w:val="center"/>
          </w:tcPr>
          <w:p>
            <w:r/>
            <w:r>
              <w:rPr>
                <w:rFonts w:ascii="Aptos" w:hAnsi="Aptos"/>
                <w:b w:val="0"/>
                <w:sz w:val="17"/>
              </w:rPr>
              <w:t>Absolute neutrophil count ≥1.5 × 10⁹/L</w:t>
            </w:r>
          </w:p>
        </w:tc>
        <w:tc>
          <w:tcPr>
            <w:tcW w:type="dxa" w:w="2541"/>
            <w:vAlign w:val="center"/>
          </w:tcPr>
          <w:p>
            <w:r/>
            <w:r>
              <w:rPr>
                <w:rFonts w:ascii="Aptos" w:hAnsi="Aptos"/>
                <w:b w:val="0"/>
                <w:sz w:val="17"/>
              </w:rPr>
              <w:t>ANC 2.1 × 10⁹/L (lab report, p.1)</w:t>
            </w:r>
          </w:p>
        </w:tc>
        <w:tc>
          <w:tcPr>
            <w:tcW w:type="dxa" w:w="2541"/>
            <w:vAlign w:val="center"/>
          </w:tcPr>
          <w:p>
            <w:r/>
            <w:r>
              <w:rPr>
                <w:rFonts w:ascii="Aptos" w:hAnsi="Aptos"/>
                <w:b w:val="0"/>
                <w:sz w:val="17"/>
              </w:rPr>
              <w:t>MEETS</w:t>
            </w:r>
          </w:p>
        </w:tc>
        <w:tc>
          <w:tcPr>
            <w:tcW w:type="dxa" w:w="2541"/>
            <w:vAlign w:val="center"/>
          </w:tcPr>
          <w:p>
            <w:r/>
            <w:r>
              <w:rPr>
                <w:rFonts w:ascii="Aptos" w:hAnsi="Aptos"/>
                <w:b w:val="0"/>
                <w:sz w:val="17"/>
              </w:rPr>
              <w:t>Value, date and source</w:t>
            </w:r>
          </w:p>
        </w:tc>
      </w:tr>
      <w:tr>
        <w:tc>
          <w:tcPr>
            <w:tcW w:type="dxa" w:w="2541"/>
            <w:vAlign w:val="center"/>
          </w:tcPr>
          <w:p>
            <w:r/>
            <w:r>
              <w:rPr>
                <w:rFonts w:ascii="Aptos" w:hAnsi="Aptos"/>
                <w:b w:val="0"/>
                <w:sz w:val="17"/>
              </w:rPr>
              <w:t>ECOG 0–1</w:t>
            </w:r>
          </w:p>
        </w:tc>
        <w:tc>
          <w:tcPr>
            <w:tcW w:type="dxa" w:w="2541"/>
            <w:vAlign w:val="center"/>
          </w:tcPr>
          <w:p>
            <w:r/>
            <w:r>
              <w:rPr>
                <w:rFonts w:ascii="Aptos" w:hAnsi="Aptos"/>
                <w:b w:val="0"/>
                <w:sz w:val="17"/>
              </w:rPr>
              <w:t>ECOG 1 and ECOG 2, recorded one day apart</w:t>
            </w:r>
          </w:p>
        </w:tc>
        <w:tc>
          <w:tcPr>
            <w:tcW w:type="dxa" w:w="2541"/>
            <w:vAlign w:val="center"/>
          </w:tcPr>
          <w:p>
            <w:r/>
            <w:r>
              <w:rPr>
                <w:rFonts w:ascii="Aptos" w:hAnsi="Aptos"/>
                <w:b w:val="0"/>
                <w:sz w:val="17"/>
              </w:rPr>
              <w:t>POTENTIAL CONFLICT</w:t>
            </w:r>
          </w:p>
        </w:tc>
        <w:tc>
          <w:tcPr>
            <w:tcW w:type="dxa" w:w="2541"/>
            <w:vAlign w:val="center"/>
          </w:tcPr>
          <w:p>
            <w:r/>
            <w:r>
              <w:rPr>
                <w:rFonts w:ascii="Aptos" w:hAnsi="Aptos"/>
                <w:b w:val="0"/>
                <w:sz w:val="17"/>
              </w:rPr>
              <w:t>Both values with dates; reviewer reconciles</w:t>
            </w:r>
          </w:p>
        </w:tc>
      </w:tr>
      <w:tr>
        <w:tc>
          <w:tcPr>
            <w:tcW w:type="dxa" w:w="2541"/>
            <w:vAlign w:val="center"/>
          </w:tcPr>
          <w:p>
            <w:r/>
            <w:r>
              <w:rPr>
                <w:rFonts w:ascii="Aptos" w:hAnsi="Aptos"/>
                <w:b w:val="0"/>
                <w:sz w:val="17"/>
              </w:rPr>
              <w:t>No prior KRAS G12C inhibitor</w:t>
            </w:r>
          </w:p>
        </w:tc>
        <w:tc>
          <w:tcPr>
            <w:tcW w:type="dxa" w:w="2541"/>
            <w:vAlign w:val="center"/>
          </w:tcPr>
          <w:p>
            <w:r/>
            <w:r>
              <w:rPr>
                <w:rFonts w:ascii="Aptos" w:hAnsi="Aptos"/>
                <w:b w:val="0"/>
                <w:sz w:val="17"/>
              </w:rPr>
              <w:t>Not mentioned in documented treatment history</w:t>
            </w:r>
          </w:p>
        </w:tc>
        <w:tc>
          <w:tcPr>
            <w:tcW w:type="dxa" w:w="2541"/>
            <w:vAlign w:val="center"/>
          </w:tcPr>
          <w:p>
            <w:r/>
            <w:r>
              <w:rPr>
                <w:rFonts w:ascii="Aptos" w:hAnsi="Aptos"/>
                <w:b w:val="0"/>
                <w:sz w:val="17"/>
              </w:rPr>
              <w:t>UNKNOWN</w:t>
            </w:r>
          </w:p>
        </w:tc>
        <w:tc>
          <w:tcPr>
            <w:tcW w:type="dxa" w:w="2541"/>
            <w:vAlign w:val="center"/>
          </w:tcPr>
          <w:p>
            <w:r/>
            <w:r>
              <w:rPr>
                <w:rFonts w:ascii="Aptos" w:hAnsi="Aptos"/>
                <w:b w:val="0"/>
                <w:sz w:val="17"/>
              </w:rPr>
              <w:t>No negative inference; verify</w:t>
            </w:r>
          </w:p>
        </w:tc>
      </w:tr>
    </w:tbl>
    <w:p>
      <w:pPr>
        <w:spacing w:before="160"/>
      </w:pPr>
      <w:r>
        <w:t>At the trial level, the reviewer sees a count rather than a verdict, for example “4 met, 1 potential conflict, 1 unknown,” and the trial is labeled “Potential match — needs verification.” The system never labels a trial “eligible.”</w:t>
      </w:r>
    </w:p>
    <w:p>
      <w:pPr>
        <w:pStyle w:val="Heading1"/>
      </w:pPr>
      <w:r>
        <w:t>10. Agentic Workflow</w:t>
      </w:r>
    </w:p>
    <w:p>
      <w:r>
        <w:t>The prototype uses a controlled agentic workflow rather than several free-running chatbots. Each step has one responsibility, a defined input/output, and a trace.</w:t>
      </w:r>
    </w:p>
    <w:p>
      <w:r>
        <w:rPr>
          <w:b/>
        </w:rPr>
        <w:t xml:space="preserve">Document Intake — </w:t>
      </w:r>
      <w:r>
        <w:t>Reads supported files and extracts/transcribes text while preserving page/source.</w:t>
      </w:r>
    </w:p>
    <w:p>
      <w:r>
        <w:rPr>
          <w:b/>
        </w:rPr>
        <w:t xml:space="preserve">Clinical Evidence — </w:t>
      </w:r>
      <w:r>
        <w:t>Extracts trial-relevant facts only when they are explicitly supported.</w:t>
      </w:r>
    </w:p>
    <w:p>
      <w:r>
        <w:rPr>
          <w:b/>
        </w:rPr>
        <w:t xml:space="preserve">Conflict Check — </w:t>
      </w:r>
      <w:r>
        <w:t>Detects differing values for the same fact across sources and shows them side by side with their dates. Whether a difference is a true conflict or a change over time is left to the human reviewer.</w:t>
      </w:r>
    </w:p>
    <w:p>
      <w:r>
        <w:rPr>
          <w:b/>
        </w:rPr>
        <w:t xml:space="preserve">Trial Discovery — </w:t>
      </w:r>
      <w:r>
        <w:t>Uses hybrid retrieval to identify potentially relevant public trials.</w:t>
      </w:r>
    </w:p>
    <w:p>
      <w:r>
        <w:rPr>
          <w:b/>
        </w:rPr>
        <w:t xml:space="preserve">Criteria Parsing — </w:t>
      </w:r>
      <w:r>
        <w:t>Splits each candidate trial’s eligibility text into individual inclusion and exclusion criteria; checks structured fields such as age with code.</w:t>
      </w:r>
    </w:p>
    <w:p>
      <w:r>
        <w:rPr>
          <w:b/>
        </w:rPr>
        <w:t xml:space="preserve">Eligibility Review — </w:t>
      </w:r>
      <w:r>
        <w:t>Compares patient evidence with individual trial criteria.</w:t>
      </w:r>
    </w:p>
    <w:p>
      <w:r>
        <w:rPr>
          <w:b/>
        </w:rPr>
        <w:t xml:space="preserve">Safety / Human Review — </w:t>
      </w:r>
      <w:r>
        <w:t>Checks grounding, prevents definitive eligibility language, and prepares the reviewer view.</w:t>
      </w:r>
    </w:p>
    <w:p>
      <w:pPr>
        <w:pStyle w:val="Heading1"/>
      </w:pPr>
      <w:r>
        <w:t>11.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AF6F4"/>
          </w:tcPr>
          <w:p>
            <w:r/>
            <w:r>
              <w:rPr>
                <w:rFonts w:ascii="Aptos" w:hAnsi="Aptos"/>
                <w:b/>
                <w:sz w:val="17"/>
              </w:rPr>
              <w:t>Experience</w:t>
            </w:r>
          </w:p>
        </w:tc>
        <w:tc>
          <w:tcPr>
            <w:tcW w:type="dxa" w:w="3389"/>
            <w:vAlign w:val="center"/>
          </w:tcPr>
          <w:p>
            <w:r/>
            <w:r>
              <w:rPr>
                <w:rFonts w:ascii="Aptos" w:hAnsi="Aptos"/>
                <w:b w:val="0"/>
                <w:sz w:val="17"/>
              </w:rPr>
              <w:t>Streamlit</w:t>
            </w:r>
          </w:p>
        </w:tc>
        <w:tc>
          <w:tcPr>
            <w:tcW w:type="dxa" w:w="3389"/>
            <w:vAlign w:val="center"/>
          </w:tcPr>
          <w:p>
            <w:r/>
            <w:r>
              <w:rPr>
                <w:rFonts w:ascii="Aptos" w:hAnsi="Aptos"/>
                <w:b w:val="0"/>
                <w:sz w:val="17"/>
              </w:rPr>
              <w:t>Upload, evidence review, trial cards, safety/trace</w:t>
            </w:r>
          </w:p>
        </w:tc>
      </w:tr>
      <w:tr>
        <w:tc>
          <w:tcPr>
            <w:tcW w:type="dxa" w:w="3389"/>
            <w:vAlign w:val="center"/>
            <w:shd w:fill="EAF6F4"/>
          </w:tcPr>
          <w:p>
            <w:r/>
            <w:r>
              <w:rPr>
                <w:rFonts w:ascii="Aptos" w:hAnsi="Aptos"/>
                <w:b/>
                <w:sz w:val="17"/>
              </w:rPr>
              <w:t>Orchestration</w:t>
            </w:r>
          </w:p>
        </w:tc>
        <w:tc>
          <w:tcPr>
            <w:tcW w:type="dxa" w:w="3389"/>
            <w:vAlign w:val="center"/>
          </w:tcPr>
          <w:p>
            <w:r/>
            <w:r>
              <w:rPr>
                <w:rFonts w:ascii="Aptos" w:hAnsi="Aptos"/>
                <w:b w:val="0"/>
                <w:sz w:val="17"/>
              </w:rPr>
              <w:t>LangGraph</w:t>
            </w:r>
          </w:p>
        </w:tc>
        <w:tc>
          <w:tcPr>
            <w:tcW w:type="dxa" w:w="3389"/>
            <w:vAlign w:val="center"/>
          </w:tcPr>
          <w:p>
            <w:r/>
            <w:r>
              <w:rPr>
                <w:rFonts w:ascii="Aptos" w:hAnsi="Aptos"/>
                <w:b w:val="0"/>
                <w:sz w:val="17"/>
              </w:rPr>
              <w:t>Runs the controlled multi-step workflow</w:t>
            </w:r>
          </w:p>
        </w:tc>
      </w:tr>
      <w:tr>
        <w:tc>
          <w:tcPr>
            <w:tcW w:type="dxa" w:w="3389"/>
            <w:vAlign w:val="center"/>
            <w:shd w:fill="EAF6F4"/>
          </w:tcPr>
          <w:p>
            <w:r/>
            <w:r>
              <w:rPr>
                <w:rFonts w:ascii="Aptos" w:hAnsi="Aptos"/>
                <w:b/>
                <w:sz w:val="17"/>
              </w:rPr>
              <w:t>AI / reasoning</w:t>
            </w:r>
          </w:p>
        </w:tc>
        <w:tc>
          <w:tcPr>
            <w:tcW w:type="dxa" w:w="3389"/>
            <w:vAlign w:val="center"/>
          </w:tcPr>
          <w:p>
            <w:r/>
            <w:r>
              <w:rPr>
                <w:rFonts w:ascii="Aptos" w:hAnsi="Aptos"/>
                <w:b w:val="0"/>
                <w:sz w:val="17"/>
              </w:rPr>
              <w:t>OpenAI model via API</w:t>
            </w:r>
          </w:p>
        </w:tc>
        <w:tc>
          <w:tcPr>
            <w:tcW w:type="dxa" w:w="3389"/>
            <w:vAlign w:val="center"/>
          </w:tcPr>
          <w:p>
            <w:r/>
            <w:r>
              <w:rPr>
                <w:rFonts w:ascii="Aptos" w:hAnsi="Aptos"/>
                <w:b w:val="0"/>
                <w:sz w:val="17"/>
              </w:rPr>
              <w:t>Structured extraction, reranking and criterion reasoning</w:t>
            </w:r>
          </w:p>
        </w:tc>
      </w:tr>
      <w:tr>
        <w:tc>
          <w:tcPr>
            <w:tcW w:type="dxa" w:w="3389"/>
            <w:vAlign w:val="center"/>
            <w:shd w:fill="EAF6F4"/>
          </w:tcPr>
          <w:p>
            <w:r/>
            <w:r>
              <w:rPr>
                <w:rFonts w:ascii="Aptos" w:hAnsi="Aptos"/>
                <w:b/>
                <w:sz w:val="17"/>
              </w:rPr>
              <w:t>Retrieval</w:t>
            </w:r>
          </w:p>
        </w:tc>
        <w:tc>
          <w:tcPr>
            <w:tcW w:type="dxa" w:w="3389"/>
            <w:vAlign w:val="center"/>
          </w:tcPr>
          <w:p>
            <w:r/>
            <w:r>
              <w:rPr>
                <w:rFonts w:ascii="Aptos" w:hAnsi="Aptos"/>
                <w:b w:val="0"/>
                <w:sz w:val="17"/>
              </w:rPr>
              <w:t>Chroma + sentence-transformers + BM25</w:t>
            </w:r>
          </w:p>
        </w:tc>
        <w:tc>
          <w:tcPr>
            <w:tcW w:type="dxa" w:w="3389"/>
            <w:vAlign w:val="center"/>
          </w:tcPr>
          <w:p>
            <w:r/>
            <w:r>
              <w:rPr>
                <w:rFonts w:ascii="Aptos" w:hAnsi="Aptos"/>
                <w:b w:val="0"/>
                <w:sz w:val="17"/>
              </w:rPr>
              <w:t>Vector search, keyword search and hybrid fusion</w:t>
            </w:r>
          </w:p>
        </w:tc>
      </w:tr>
      <w:tr>
        <w:tc>
          <w:tcPr>
            <w:tcW w:type="dxa" w:w="3389"/>
            <w:vAlign w:val="center"/>
            <w:shd w:fill="EAF6F4"/>
          </w:tcPr>
          <w:p>
            <w:r/>
            <w:r>
              <w:rPr>
                <w:rFonts w:ascii="Aptos" w:hAnsi="Aptos"/>
                <w:b/>
                <w:sz w:val="17"/>
              </w:rPr>
              <w:t>Data</w:t>
            </w:r>
          </w:p>
        </w:tc>
        <w:tc>
          <w:tcPr>
            <w:tcW w:type="dxa" w:w="3389"/>
            <w:vAlign w:val="center"/>
          </w:tcPr>
          <w:p>
            <w:r/>
            <w:r>
              <w:rPr>
                <w:rFonts w:ascii="Aptos" w:hAnsi="Aptos"/>
                <w:b w:val="0"/>
                <w:sz w:val="17"/>
              </w:rPr>
              <w:t>Synthetic documents + ClinicalTrials.gov corpus</w:t>
            </w:r>
          </w:p>
        </w:tc>
        <w:tc>
          <w:tcPr>
            <w:tcW w:type="dxa" w:w="3389"/>
            <w:vAlign w:val="center"/>
          </w:tcPr>
          <w:p>
            <w:r/>
            <w:r>
              <w:rPr>
                <w:rFonts w:ascii="Aptos" w:hAnsi="Aptos"/>
                <w:b w:val="0"/>
                <w:sz w:val="17"/>
              </w:rPr>
              <w:t>No production PHI; public trial information</w:t>
            </w:r>
          </w:p>
        </w:tc>
      </w:tr>
    </w:tbl>
    <w:p>
      <w:pPr>
        <w:pStyle w:val="Heading1"/>
      </w:pPr>
      <w:r>
        <w:t>12. Technology Stack</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0F857A"/>
          </w:tcPr>
          <w:p>
            <w:r/>
            <w:r>
              <w:rPr>
                <w:rFonts w:ascii="Aptos" w:hAnsi="Aptos"/>
                <w:b/>
                <w:color w:val="FFFFFF"/>
                <w:sz w:val="18"/>
              </w:rPr>
              <w:t>Technology</w:t>
            </w:r>
          </w:p>
        </w:tc>
        <w:tc>
          <w:tcPr>
            <w:tcW w:type="dxa" w:w="3389"/>
            <w:vAlign w:val="center"/>
            <w:shd w:fill="0F857A"/>
          </w:tcPr>
          <w:p>
            <w:r/>
            <w:r>
              <w:rPr>
                <w:rFonts w:ascii="Aptos" w:hAnsi="Aptos"/>
                <w:b/>
                <w:color w:val="FFFFFF"/>
                <w:sz w:val="18"/>
              </w:rPr>
              <w:t>Purpose</w:t>
            </w:r>
          </w:p>
        </w:tc>
        <w:tc>
          <w:tcPr>
            <w:tcW w:type="dxa" w:w="3389"/>
            <w:vAlign w:val="center"/>
            <w:shd w:fill="0F857A"/>
          </w:tcPr>
          <w:p>
            <w:r/>
            <w:r>
              <w:rPr>
                <w:rFonts w:ascii="Aptos" w:hAnsi="Aptos"/>
                <w:b/>
                <w:color w:val="FFFFFF"/>
                <w:sz w:val="18"/>
              </w:rPr>
              <w:t>Why it fits the prototype</w:t>
            </w:r>
          </w:p>
        </w:tc>
      </w:tr>
      <w:tr>
        <w:tc>
          <w:tcPr>
            <w:tcW w:type="dxa" w:w="3389"/>
            <w:vAlign w:val="center"/>
          </w:tcPr>
          <w:p>
            <w:r/>
            <w:r>
              <w:rPr>
                <w:rFonts w:ascii="Aptos" w:hAnsi="Aptos"/>
                <w:b w:val="0"/>
                <w:sz w:val="16"/>
              </w:rPr>
              <w:t>Python</w:t>
            </w:r>
          </w:p>
        </w:tc>
        <w:tc>
          <w:tcPr>
            <w:tcW w:type="dxa" w:w="3389"/>
            <w:vAlign w:val="center"/>
          </w:tcPr>
          <w:p>
            <w:r/>
            <w:r>
              <w:rPr>
                <w:rFonts w:ascii="Aptos" w:hAnsi="Aptos"/>
                <w:b w:val="0"/>
                <w:sz w:val="16"/>
              </w:rPr>
              <w:t>Backend/application logic</w:t>
            </w:r>
          </w:p>
        </w:tc>
        <w:tc>
          <w:tcPr>
            <w:tcW w:type="dxa" w:w="3389"/>
            <w:vAlign w:val="center"/>
          </w:tcPr>
          <w:p>
            <w:r/>
            <w:r>
              <w:rPr>
                <w:rFonts w:ascii="Aptos" w:hAnsi="Aptos"/>
                <w:b w:val="0"/>
                <w:sz w:val="16"/>
              </w:rPr>
              <w:t>Fast ecosystem for AI, retrieval and data work</w:t>
            </w:r>
          </w:p>
        </w:tc>
      </w:tr>
      <w:tr>
        <w:tc>
          <w:tcPr>
            <w:tcW w:type="dxa" w:w="3389"/>
            <w:vAlign w:val="center"/>
          </w:tcPr>
          <w:p>
            <w:r/>
            <w:r>
              <w:rPr>
                <w:rFonts w:ascii="Aptos" w:hAnsi="Aptos"/>
                <w:b w:val="0"/>
                <w:sz w:val="16"/>
              </w:rPr>
              <w:t>Streamlit</w:t>
            </w:r>
          </w:p>
        </w:tc>
        <w:tc>
          <w:tcPr>
            <w:tcW w:type="dxa" w:w="3389"/>
            <w:vAlign w:val="center"/>
          </w:tcPr>
          <w:p>
            <w:r/>
            <w:r>
              <w:rPr>
                <w:rFonts w:ascii="Aptos" w:hAnsi="Aptos"/>
                <w:b w:val="0"/>
                <w:sz w:val="16"/>
              </w:rPr>
              <w:t>Demo interface</w:t>
            </w:r>
          </w:p>
        </w:tc>
        <w:tc>
          <w:tcPr>
            <w:tcW w:type="dxa" w:w="3389"/>
            <w:vAlign w:val="center"/>
          </w:tcPr>
          <w:p>
            <w:r/>
            <w:r>
              <w:rPr>
                <w:rFonts w:ascii="Aptos" w:hAnsi="Aptos"/>
                <w:b w:val="0"/>
                <w:sz w:val="16"/>
              </w:rPr>
              <w:t>Very fast way to build an interactive data/AI app</w:t>
            </w:r>
          </w:p>
        </w:tc>
      </w:tr>
      <w:tr>
        <w:tc>
          <w:tcPr>
            <w:tcW w:type="dxa" w:w="3389"/>
            <w:vAlign w:val="center"/>
          </w:tcPr>
          <w:p>
            <w:r/>
            <w:r>
              <w:rPr>
                <w:rFonts w:ascii="Aptos" w:hAnsi="Aptos"/>
                <w:b w:val="0"/>
                <w:sz w:val="16"/>
              </w:rPr>
              <w:t>LangGraph</w:t>
            </w:r>
          </w:p>
        </w:tc>
        <w:tc>
          <w:tcPr>
            <w:tcW w:type="dxa" w:w="3389"/>
            <w:vAlign w:val="center"/>
          </w:tcPr>
          <w:p>
            <w:r/>
            <w:r>
              <w:rPr>
                <w:rFonts w:ascii="Aptos" w:hAnsi="Aptos"/>
                <w:b w:val="0"/>
                <w:sz w:val="16"/>
              </w:rPr>
              <w:t>Workflow orchestration</w:t>
            </w:r>
          </w:p>
        </w:tc>
        <w:tc>
          <w:tcPr>
            <w:tcW w:type="dxa" w:w="3389"/>
            <w:vAlign w:val="center"/>
          </w:tcPr>
          <w:p>
            <w:r/>
            <w:r>
              <w:rPr>
                <w:rFonts w:ascii="Aptos" w:hAnsi="Aptos"/>
                <w:b w:val="0"/>
                <w:sz w:val="16"/>
              </w:rPr>
              <w:t>Makes agent steps and state transitions explicit</w:t>
            </w:r>
          </w:p>
        </w:tc>
      </w:tr>
      <w:tr>
        <w:tc>
          <w:tcPr>
            <w:tcW w:type="dxa" w:w="3389"/>
            <w:vAlign w:val="center"/>
          </w:tcPr>
          <w:p>
            <w:r/>
            <w:r>
              <w:rPr>
                <w:rFonts w:ascii="Aptos" w:hAnsi="Aptos"/>
                <w:b w:val="0"/>
                <w:sz w:val="16"/>
              </w:rPr>
              <w:t>OpenAI API</w:t>
            </w:r>
          </w:p>
        </w:tc>
        <w:tc>
          <w:tcPr>
            <w:tcW w:type="dxa" w:w="3389"/>
            <w:vAlign w:val="center"/>
          </w:tcPr>
          <w:p>
            <w:r/>
            <w:r>
              <w:rPr>
                <w:rFonts w:ascii="Aptos" w:hAnsi="Aptos"/>
                <w:b w:val="0"/>
                <w:sz w:val="16"/>
              </w:rPr>
              <w:t>Extraction/reasoning</w:t>
            </w:r>
          </w:p>
        </w:tc>
        <w:tc>
          <w:tcPr>
            <w:tcW w:type="dxa" w:w="3389"/>
            <w:vAlign w:val="center"/>
          </w:tcPr>
          <w:p>
            <w:r/>
            <w:r>
              <w:rPr>
                <w:rFonts w:ascii="Aptos" w:hAnsi="Aptos"/>
                <w:b w:val="0"/>
                <w:sz w:val="16"/>
              </w:rPr>
              <w:t>Structured outputs and multimodal option for scanned inputs</w:t>
            </w:r>
          </w:p>
        </w:tc>
      </w:tr>
      <w:tr>
        <w:tc>
          <w:tcPr>
            <w:tcW w:type="dxa" w:w="3389"/>
            <w:vAlign w:val="center"/>
          </w:tcPr>
          <w:p>
            <w:r/>
            <w:r>
              <w:rPr>
                <w:rFonts w:ascii="Aptos" w:hAnsi="Aptos"/>
                <w:b w:val="0"/>
                <w:sz w:val="16"/>
              </w:rPr>
              <w:t>PyMuPDF</w:t>
            </w:r>
          </w:p>
        </w:tc>
        <w:tc>
          <w:tcPr>
            <w:tcW w:type="dxa" w:w="3389"/>
            <w:vAlign w:val="center"/>
          </w:tcPr>
          <w:p>
            <w:r/>
            <w:r>
              <w:rPr>
                <w:rFonts w:ascii="Aptos" w:hAnsi="Aptos"/>
                <w:b w:val="0"/>
                <w:sz w:val="16"/>
              </w:rPr>
              <w:t>PDF text extraction</w:t>
            </w:r>
          </w:p>
        </w:tc>
        <w:tc>
          <w:tcPr>
            <w:tcW w:type="dxa" w:w="3389"/>
            <w:vAlign w:val="center"/>
          </w:tcPr>
          <w:p>
            <w:r/>
            <w:r>
              <w:rPr>
                <w:rFonts w:ascii="Aptos" w:hAnsi="Aptos"/>
                <w:b w:val="0"/>
                <w:sz w:val="16"/>
              </w:rPr>
              <w:t>Simple text-PDF ingestion with page preservation</w:t>
            </w:r>
          </w:p>
        </w:tc>
      </w:tr>
      <w:tr>
        <w:tc>
          <w:tcPr>
            <w:tcW w:type="dxa" w:w="3389"/>
            <w:vAlign w:val="center"/>
          </w:tcPr>
          <w:p>
            <w:r/>
            <w:r>
              <w:rPr>
                <w:rFonts w:ascii="Aptos" w:hAnsi="Aptos"/>
                <w:b w:val="0"/>
                <w:sz w:val="16"/>
              </w:rPr>
              <w:t>sentence-transformers</w:t>
            </w:r>
          </w:p>
        </w:tc>
        <w:tc>
          <w:tcPr>
            <w:tcW w:type="dxa" w:w="3389"/>
            <w:vAlign w:val="center"/>
          </w:tcPr>
          <w:p>
            <w:r/>
            <w:r>
              <w:rPr>
                <w:rFonts w:ascii="Aptos" w:hAnsi="Aptos"/>
                <w:b w:val="0"/>
                <w:sz w:val="16"/>
              </w:rPr>
              <w:t>Embeddings</w:t>
            </w:r>
          </w:p>
        </w:tc>
        <w:tc>
          <w:tcPr>
            <w:tcW w:type="dxa" w:w="3389"/>
            <w:vAlign w:val="center"/>
          </w:tcPr>
          <w:p>
            <w:r/>
            <w:r>
              <w:rPr>
                <w:rFonts w:ascii="Aptos" w:hAnsi="Aptos"/>
                <w:b w:val="0"/>
                <w:sz w:val="16"/>
              </w:rPr>
              <w:t>Local semantic embeddings for the prototype</w:t>
            </w:r>
          </w:p>
        </w:tc>
      </w:tr>
      <w:tr>
        <w:tc>
          <w:tcPr>
            <w:tcW w:type="dxa" w:w="3389"/>
            <w:vAlign w:val="center"/>
          </w:tcPr>
          <w:p>
            <w:r/>
            <w:r>
              <w:rPr>
                <w:rFonts w:ascii="Aptos" w:hAnsi="Aptos"/>
                <w:b w:val="0"/>
                <w:sz w:val="16"/>
              </w:rPr>
              <w:t>Chroma</w:t>
            </w:r>
          </w:p>
        </w:tc>
        <w:tc>
          <w:tcPr>
            <w:tcW w:type="dxa" w:w="3389"/>
            <w:vAlign w:val="center"/>
          </w:tcPr>
          <w:p>
            <w:r/>
            <w:r>
              <w:rPr>
                <w:rFonts w:ascii="Aptos" w:hAnsi="Aptos"/>
                <w:b w:val="0"/>
                <w:sz w:val="16"/>
              </w:rPr>
              <w:t>Vector store</w:t>
            </w:r>
          </w:p>
        </w:tc>
        <w:tc>
          <w:tcPr>
            <w:tcW w:type="dxa" w:w="3389"/>
            <w:vAlign w:val="center"/>
          </w:tcPr>
          <w:p>
            <w:r/>
            <w:r>
              <w:rPr>
                <w:rFonts w:ascii="Aptos" w:hAnsi="Aptos"/>
                <w:b w:val="0"/>
                <w:sz w:val="16"/>
              </w:rPr>
              <w:t>Lightweight local persistence</w:t>
            </w:r>
          </w:p>
        </w:tc>
      </w:tr>
      <w:tr>
        <w:tc>
          <w:tcPr>
            <w:tcW w:type="dxa" w:w="3389"/>
            <w:vAlign w:val="center"/>
          </w:tcPr>
          <w:p>
            <w:r/>
            <w:r>
              <w:rPr>
                <w:rFonts w:ascii="Aptos" w:hAnsi="Aptos"/>
                <w:b w:val="0"/>
                <w:sz w:val="16"/>
              </w:rPr>
              <w:t>rank-bm25</w:t>
            </w:r>
          </w:p>
        </w:tc>
        <w:tc>
          <w:tcPr>
            <w:tcW w:type="dxa" w:w="3389"/>
            <w:vAlign w:val="center"/>
          </w:tcPr>
          <w:p>
            <w:r/>
            <w:r>
              <w:rPr>
                <w:rFonts w:ascii="Aptos" w:hAnsi="Aptos"/>
                <w:b w:val="0"/>
                <w:sz w:val="16"/>
              </w:rPr>
              <w:t>Keyword retrieval</w:t>
            </w:r>
          </w:p>
        </w:tc>
        <w:tc>
          <w:tcPr>
            <w:tcW w:type="dxa" w:w="3389"/>
            <w:vAlign w:val="center"/>
          </w:tcPr>
          <w:p>
            <w:r/>
            <w:r>
              <w:rPr>
                <w:rFonts w:ascii="Aptos" w:hAnsi="Aptos"/>
                <w:b w:val="0"/>
                <w:sz w:val="16"/>
              </w:rPr>
              <w:t>Exact lexical matching for drugs/biomarkers/terms</w:t>
            </w:r>
          </w:p>
        </w:tc>
      </w:tr>
      <w:tr>
        <w:tc>
          <w:tcPr>
            <w:tcW w:type="dxa" w:w="3389"/>
            <w:vAlign w:val="center"/>
          </w:tcPr>
          <w:p>
            <w:r/>
            <w:r>
              <w:rPr>
                <w:rFonts w:ascii="Aptos" w:hAnsi="Aptos"/>
                <w:b w:val="0"/>
                <w:sz w:val="16"/>
              </w:rPr>
              <w:t>Pydantic</w:t>
            </w:r>
          </w:p>
        </w:tc>
        <w:tc>
          <w:tcPr>
            <w:tcW w:type="dxa" w:w="3389"/>
            <w:vAlign w:val="center"/>
          </w:tcPr>
          <w:p>
            <w:r/>
            <w:r>
              <w:rPr>
                <w:rFonts w:ascii="Aptos" w:hAnsi="Aptos"/>
                <w:b w:val="0"/>
                <w:sz w:val="16"/>
              </w:rPr>
              <w:t>Schemas</w:t>
            </w:r>
          </w:p>
        </w:tc>
        <w:tc>
          <w:tcPr>
            <w:tcW w:type="dxa" w:w="3389"/>
            <w:vAlign w:val="center"/>
          </w:tcPr>
          <w:p>
            <w:r/>
            <w:r>
              <w:rPr>
                <w:rFonts w:ascii="Aptos" w:hAnsi="Aptos"/>
                <w:b w:val="0"/>
                <w:sz w:val="16"/>
              </w:rPr>
              <w:t>Validates structured AI outputs</w:t>
            </w:r>
          </w:p>
        </w:tc>
      </w:tr>
      <w:tr>
        <w:tc>
          <w:tcPr>
            <w:tcW w:type="dxa" w:w="3389"/>
            <w:vAlign w:val="center"/>
          </w:tcPr>
          <w:p>
            <w:r/>
            <w:r>
              <w:rPr>
                <w:rFonts w:ascii="Aptos" w:hAnsi="Aptos"/>
                <w:b w:val="0"/>
                <w:sz w:val="16"/>
              </w:rPr>
              <w:t>ClinicalTrials.gov</w:t>
            </w:r>
          </w:p>
        </w:tc>
        <w:tc>
          <w:tcPr>
            <w:tcW w:type="dxa" w:w="3389"/>
            <w:vAlign w:val="center"/>
          </w:tcPr>
          <w:p>
            <w:r/>
            <w:r>
              <w:rPr>
                <w:rFonts w:ascii="Aptos" w:hAnsi="Aptos"/>
                <w:b w:val="0"/>
                <w:sz w:val="16"/>
              </w:rPr>
              <w:t>Trial source</w:t>
            </w:r>
          </w:p>
        </w:tc>
        <w:tc>
          <w:tcPr>
            <w:tcW w:type="dxa" w:w="3389"/>
            <w:vAlign w:val="center"/>
          </w:tcPr>
          <w:p>
            <w:r/>
            <w:r>
              <w:rPr>
                <w:rFonts w:ascii="Aptos" w:hAnsi="Aptos"/>
                <w:b w:val="0"/>
                <w:sz w:val="16"/>
              </w:rPr>
              <w:t>Public, authoritative study registry data</w:t>
            </w:r>
          </w:p>
        </w:tc>
      </w:tr>
      <w:tr>
        <w:tc>
          <w:tcPr>
            <w:tcW w:type="dxa" w:w="3389"/>
            <w:vAlign w:val="center"/>
          </w:tcPr>
          <w:p>
            <w:r/>
            <w:r>
              <w:rPr>
                <w:rFonts w:ascii="Aptos" w:hAnsi="Aptos"/>
                <w:b w:val="0"/>
                <w:sz w:val="16"/>
              </w:rPr>
              <w:t>Git/GitHub</w:t>
            </w:r>
          </w:p>
        </w:tc>
        <w:tc>
          <w:tcPr>
            <w:tcW w:type="dxa" w:w="3389"/>
            <w:vAlign w:val="center"/>
          </w:tcPr>
          <w:p>
            <w:r/>
            <w:r>
              <w:rPr>
                <w:rFonts w:ascii="Aptos" w:hAnsi="Aptos"/>
                <w:b w:val="0"/>
                <w:sz w:val="16"/>
              </w:rPr>
              <w:t>Version control</w:t>
            </w:r>
          </w:p>
        </w:tc>
        <w:tc>
          <w:tcPr>
            <w:tcW w:type="dxa" w:w="3389"/>
            <w:vAlign w:val="center"/>
          </w:tcPr>
          <w:p>
            <w:r/>
            <w:r>
              <w:rPr>
                <w:rFonts w:ascii="Aptos" w:hAnsi="Aptos"/>
                <w:b w:val="0"/>
                <w:sz w:val="16"/>
              </w:rPr>
              <w:t>Reproducible competition submission</w:t>
            </w:r>
          </w:p>
        </w:tc>
      </w:tr>
      <w:tr>
        <w:tc>
          <w:tcPr>
            <w:tcW w:type="dxa" w:w="3389"/>
            <w:vAlign w:val="center"/>
          </w:tcPr>
          <w:p>
            <w:r/>
            <w:r>
              <w:rPr>
                <w:rFonts w:ascii="Aptos" w:hAnsi="Aptos"/>
                <w:b w:val="0"/>
                <w:sz w:val="16"/>
              </w:rPr>
              <w:t>Codex in VS Code</w:t>
            </w:r>
          </w:p>
        </w:tc>
        <w:tc>
          <w:tcPr>
            <w:tcW w:type="dxa" w:w="3389"/>
            <w:vAlign w:val="center"/>
          </w:tcPr>
          <w:p>
            <w:r/>
            <w:r>
              <w:rPr>
                <w:rFonts w:ascii="Aptos" w:hAnsi="Aptos"/>
                <w:b w:val="0"/>
                <w:sz w:val="16"/>
              </w:rPr>
              <w:t>Vibe coding / coding agent</w:t>
            </w:r>
          </w:p>
        </w:tc>
        <w:tc>
          <w:tcPr>
            <w:tcW w:type="dxa" w:w="3389"/>
            <w:vAlign w:val="center"/>
          </w:tcPr>
          <w:p>
            <w:r/>
            <w:r>
              <w:rPr>
                <w:rFonts w:ascii="Aptos" w:hAnsi="Aptos"/>
                <w:b w:val="0"/>
                <w:sz w:val="16"/>
              </w:rPr>
              <w:t>Accelerates implementation, tests and debugging</w:t>
            </w:r>
          </w:p>
        </w:tc>
      </w:tr>
    </w:tbl>
    <w:p>
      <w:pPr>
        <w:pStyle w:val="Heading1"/>
      </w:pPr>
      <w:r>
        <w:t>13. Safety and Responsible-AI Design</w:t>
      </w:r>
    </w:p>
    <w:p>
      <w:pPr>
        <w:pStyle w:val="ListBullet"/>
        <w:spacing w:after="40"/>
      </w:pPr>
      <w:r>
        <w:t>Synthetic patient data only for the prototype.</w:t>
      </w:r>
    </w:p>
    <w:p>
      <w:pPr>
        <w:pStyle w:val="ListBullet"/>
        <w:spacing w:after="40"/>
      </w:pPr>
      <w:r>
        <w:t>No definitive “eligible/ineligible” final decision.</w:t>
      </w:r>
    </w:p>
    <w:p>
      <w:pPr>
        <w:pStyle w:val="ListBullet"/>
        <w:spacing w:after="40"/>
      </w:pPr>
      <w:r>
        <w:t>Every patient fact requires provenance.</w:t>
      </w:r>
    </w:p>
    <w:p>
      <w:pPr>
        <w:pStyle w:val="ListBullet"/>
        <w:spacing w:after="40"/>
      </w:pPr>
      <w:r>
        <w:t>Missing evidence stays UNKNOWN; absence is not converted into a negative fact.</w:t>
      </w:r>
    </w:p>
    <w:p>
      <w:pPr>
        <w:pStyle w:val="ListBullet"/>
        <w:spacing w:after="40"/>
      </w:pPr>
      <w:r>
        <w:t>Conflicting evidence is surfaced rather than silently resolved.</w:t>
      </w:r>
    </w:p>
    <w:p>
      <w:pPr>
        <w:pStyle w:val="ListBullet"/>
        <w:spacing w:after="40"/>
      </w:pPr>
      <w:r>
        <w:t>Retrieved clinical documents and trial text are treated as untrusted data, not model instructions.</w:t>
      </w:r>
    </w:p>
    <w:p>
      <w:pPr>
        <w:pStyle w:val="ListBullet"/>
        <w:spacing w:after="40"/>
      </w:pPr>
      <w:r>
        <w:t>A deliberately malicious sentence can be embedded in a test document to demonstrate prompt-injection resistance.</w:t>
      </w:r>
    </w:p>
    <w:p>
      <w:pPr>
        <w:pStyle w:val="ListBullet"/>
        <w:spacing w:after="40"/>
      </w:pPr>
      <w:r>
        <w:t>Human research staff remain responsible for final eligibility confirmation.</w:t>
      </w:r>
    </w:p>
    <w:p>
      <w:pPr>
        <w:pStyle w:val="Heading1"/>
      </w:pPr>
      <w:r>
        <w:t>14. Evaluation Plan</w:t>
      </w:r>
    </w:p>
    <w:p>
      <w:r>
        <w:t>A small synthetic gold set makes the project measurable. The goal is not to claim clinical validation; the goal is to show that the prototype can be tested systematically.</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0F857A"/>
          </w:tcPr>
          <w:p>
            <w:r/>
            <w:r>
              <w:rPr>
                <w:rFonts w:ascii="Aptos" w:hAnsi="Aptos"/>
                <w:b/>
                <w:color w:val="FFFFFF"/>
                <w:sz w:val="18"/>
              </w:rPr>
              <w:t>Layer</w:t>
            </w:r>
          </w:p>
        </w:tc>
        <w:tc>
          <w:tcPr>
            <w:tcW w:type="dxa" w:w="3389"/>
            <w:vAlign w:val="center"/>
            <w:shd w:fill="0F857A"/>
          </w:tcPr>
          <w:p>
            <w:r/>
            <w:r>
              <w:rPr>
                <w:rFonts w:ascii="Aptos" w:hAnsi="Aptos"/>
                <w:b/>
                <w:color w:val="FFFFFF"/>
                <w:sz w:val="18"/>
              </w:rPr>
              <w:t>Question</w:t>
            </w:r>
          </w:p>
        </w:tc>
        <w:tc>
          <w:tcPr>
            <w:tcW w:type="dxa" w:w="3389"/>
            <w:vAlign w:val="center"/>
            <w:shd w:fill="0F857A"/>
          </w:tcPr>
          <w:p>
            <w:r/>
            <w:r>
              <w:rPr>
                <w:rFonts w:ascii="Aptos" w:hAnsi="Aptos"/>
                <w:b/>
                <w:color w:val="FFFFFF"/>
                <w:sz w:val="18"/>
              </w:rPr>
              <w:t>Example metric</w:t>
            </w:r>
          </w:p>
        </w:tc>
      </w:tr>
      <w:tr>
        <w:tc>
          <w:tcPr>
            <w:tcW w:type="dxa" w:w="3389"/>
            <w:vAlign w:val="center"/>
          </w:tcPr>
          <w:p>
            <w:r/>
            <w:r>
              <w:rPr>
                <w:rFonts w:ascii="Aptos" w:hAnsi="Aptos"/>
                <w:b w:val="0"/>
                <w:sz w:val="16"/>
              </w:rPr>
              <w:t>Extraction</w:t>
            </w:r>
          </w:p>
        </w:tc>
        <w:tc>
          <w:tcPr>
            <w:tcW w:type="dxa" w:w="3389"/>
            <w:vAlign w:val="center"/>
          </w:tcPr>
          <w:p>
            <w:r/>
            <w:r>
              <w:rPr>
                <w:rFonts w:ascii="Aptos" w:hAnsi="Aptos"/>
                <w:b w:val="0"/>
                <w:sz w:val="16"/>
              </w:rPr>
              <w:t>Did the system extract the expected facts?</w:t>
            </w:r>
          </w:p>
        </w:tc>
        <w:tc>
          <w:tcPr>
            <w:tcW w:type="dxa" w:w="3389"/>
            <w:vAlign w:val="center"/>
          </w:tcPr>
          <w:p>
            <w:r/>
            <w:r>
              <w:rPr>
                <w:rFonts w:ascii="Aptos" w:hAnsi="Aptos"/>
                <w:b w:val="0"/>
                <w:sz w:val="16"/>
              </w:rPr>
              <w:t>Precision / recall</w:t>
            </w:r>
          </w:p>
        </w:tc>
      </w:tr>
      <w:tr>
        <w:tc>
          <w:tcPr>
            <w:tcW w:type="dxa" w:w="3389"/>
            <w:vAlign w:val="center"/>
          </w:tcPr>
          <w:p>
            <w:r/>
            <w:r>
              <w:rPr>
                <w:rFonts w:ascii="Aptos" w:hAnsi="Aptos"/>
                <w:b w:val="0"/>
                <w:sz w:val="16"/>
              </w:rPr>
              <w:t>Provenance</w:t>
            </w:r>
          </w:p>
        </w:tc>
        <w:tc>
          <w:tcPr>
            <w:tcW w:type="dxa" w:w="3389"/>
            <w:vAlign w:val="center"/>
          </w:tcPr>
          <w:p>
            <w:r/>
            <w:r>
              <w:rPr>
                <w:rFonts w:ascii="Aptos" w:hAnsi="Aptos"/>
                <w:b w:val="0"/>
                <w:sz w:val="16"/>
              </w:rPr>
              <w:t>Did each fact point to the correct source?</w:t>
            </w:r>
          </w:p>
        </w:tc>
        <w:tc>
          <w:tcPr>
            <w:tcW w:type="dxa" w:w="3389"/>
            <w:vAlign w:val="center"/>
          </w:tcPr>
          <w:p>
            <w:r/>
            <w:r>
              <w:rPr>
                <w:rFonts w:ascii="Aptos" w:hAnsi="Aptos"/>
                <w:b w:val="0"/>
                <w:sz w:val="16"/>
              </w:rPr>
              <w:t>Source accuracy; quote found verbatim in source</w:t>
            </w:r>
          </w:p>
        </w:tc>
      </w:tr>
      <w:tr>
        <w:tc>
          <w:tcPr>
            <w:tcW w:type="dxa" w:w="3389"/>
            <w:vAlign w:val="center"/>
          </w:tcPr>
          <w:p>
            <w:r/>
            <w:r>
              <w:rPr>
                <w:rFonts w:ascii="Aptos" w:hAnsi="Aptos"/>
                <w:b w:val="0"/>
                <w:sz w:val="16"/>
              </w:rPr>
              <w:t>Retrieval</w:t>
            </w:r>
          </w:p>
        </w:tc>
        <w:tc>
          <w:tcPr>
            <w:tcW w:type="dxa" w:w="3389"/>
            <w:vAlign w:val="center"/>
          </w:tcPr>
          <w:p>
            <w:r/>
            <w:r>
              <w:rPr>
                <w:rFonts w:ascii="Aptos" w:hAnsi="Aptos"/>
                <w:b w:val="0"/>
                <w:sz w:val="16"/>
              </w:rPr>
              <w:t>Was the expected trial retrieved?</w:t>
            </w:r>
          </w:p>
        </w:tc>
        <w:tc>
          <w:tcPr>
            <w:tcW w:type="dxa" w:w="3389"/>
            <w:vAlign w:val="center"/>
          </w:tcPr>
          <w:p>
            <w:r/>
            <w:r>
              <w:rPr>
                <w:rFonts w:ascii="Aptos" w:hAnsi="Aptos"/>
                <w:b w:val="0"/>
                <w:sz w:val="16"/>
              </w:rPr>
              <w:t>Recall@5 and rank of expected trial (corpus includes distractors)</w:t>
            </w:r>
          </w:p>
        </w:tc>
      </w:tr>
      <w:tr>
        <w:tc>
          <w:tcPr>
            <w:tcW w:type="dxa" w:w="3389"/>
            <w:vAlign w:val="center"/>
          </w:tcPr>
          <w:p>
            <w:r/>
            <w:r>
              <w:rPr>
                <w:rFonts w:ascii="Aptos" w:hAnsi="Aptos"/>
                <w:b w:val="0"/>
                <w:sz w:val="16"/>
              </w:rPr>
              <w:t>Comparison</w:t>
            </w:r>
          </w:p>
        </w:tc>
        <w:tc>
          <w:tcPr>
            <w:tcW w:type="dxa" w:w="3389"/>
            <w:vAlign w:val="center"/>
          </w:tcPr>
          <w:p>
            <w:r/>
            <w:r>
              <w:rPr>
                <w:rFonts w:ascii="Aptos" w:hAnsi="Aptos"/>
                <w:b w:val="0"/>
                <w:sz w:val="16"/>
              </w:rPr>
              <w:t>Did it classify criteria correctly?</w:t>
            </w:r>
          </w:p>
        </w:tc>
        <w:tc>
          <w:tcPr>
            <w:tcW w:type="dxa" w:w="3389"/>
            <w:vAlign w:val="center"/>
          </w:tcPr>
          <w:p>
            <w:r/>
            <w:r>
              <w:rPr>
                <w:rFonts w:ascii="Aptos" w:hAnsi="Aptos"/>
                <w:b w:val="0"/>
                <w:sz w:val="16"/>
              </w:rPr>
              <w:t>Accuracy / F1</w:t>
            </w:r>
          </w:p>
        </w:tc>
      </w:tr>
      <w:tr>
        <w:tc>
          <w:tcPr>
            <w:tcW w:type="dxa" w:w="3389"/>
            <w:vAlign w:val="center"/>
          </w:tcPr>
          <w:p>
            <w:r/>
            <w:r>
              <w:rPr>
                <w:rFonts w:ascii="Aptos" w:hAnsi="Aptos"/>
                <w:b w:val="0"/>
                <w:sz w:val="16"/>
              </w:rPr>
              <w:t>Grounding</w:t>
            </w:r>
          </w:p>
        </w:tc>
        <w:tc>
          <w:tcPr>
            <w:tcW w:type="dxa" w:w="3389"/>
            <w:vAlign w:val="center"/>
          </w:tcPr>
          <w:p>
            <w:r/>
            <w:r>
              <w:rPr>
                <w:rFonts w:ascii="Aptos" w:hAnsi="Aptos"/>
                <w:b w:val="0"/>
                <w:sz w:val="16"/>
              </w:rPr>
              <w:t>Is the explanation supported by evidence?</w:t>
            </w:r>
          </w:p>
        </w:tc>
        <w:tc>
          <w:tcPr>
            <w:tcW w:type="dxa" w:w="3389"/>
            <w:vAlign w:val="center"/>
          </w:tcPr>
          <w:p>
            <w:r/>
            <w:r>
              <w:rPr>
                <w:rFonts w:ascii="Aptos" w:hAnsi="Aptos"/>
                <w:b w:val="0"/>
                <w:sz w:val="16"/>
              </w:rPr>
              <w:t>Rule checks + LLM-as-judge</w:t>
            </w:r>
          </w:p>
        </w:tc>
      </w:tr>
      <w:tr>
        <w:tc>
          <w:tcPr>
            <w:tcW w:type="dxa" w:w="3389"/>
            <w:vAlign w:val="center"/>
          </w:tcPr>
          <w:p>
            <w:r/>
            <w:r>
              <w:rPr>
                <w:rFonts w:ascii="Aptos" w:hAnsi="Aptos"/>
                <w:b w:val="0"/>
                <w:sz w:val="16"/>
              </w:rPr>
              <w:t>Safety</w:t>
            </w:r>
          </w:p>
        </w:tc>
        <w:tc>
          <w:tcPr>
            <w:tcW w:type="dxa" w:w="3389"/>
            <w:vAlign w:val="center"/>
          </w:tcPr>
          <w:p>
            <w:r/>
            <w:r>
              <w:rPr>
                <w:rFonts w:ascii="Aptos" w:hAnsi="Aptos"/>
                <w:b w:val="0"/>
                <w:sz w:val="16"/>
              </w:rPr>
              <w:t>Did missing/conflicting data stay uncertain?</w:t>
            </w:r>
          </w:p>
        </w:tc>
        <w:tc>
          <w:tcPr>
            <w:tcW w:type="dxa" w:w="3389"/>
            <w:vAlign w:val="center"/>
          </w:tcPr>
          <w:p>
            <w:r/>
            <w:r>
              <w:rPr>
                <w:rFonts w:ascii="Aptos" w:hAnsi="Aptos"/>
                <w:b w:val="0"/>
                <w:sz w:val="16"/>
              </w:rPr>
              <w:t>Unknown/conflict error rate</w:t>
            </w:r>
          </w:p>
        </w:tc>
      </w:tr>
      <w:tr>
        <w:tc>
          <w:tcPr>
            <w:tcW w:type="dxa" w:w="3389"/>
            <w:vAlign w:val="center"/>
          </w:tcPr>
          <w:p>
            <w:r/>
            <w:r>
              <w:rPr>
                <w:rFonts w:ascii="Aptos" w:hAnsi="Aptos"/>
                <w:b w:val="0"/>
                <w:sz w:val="16"/>
              </w:rPr>
              <w:t>Security</w:t>
            </w:r>
          </w:p>
        </w:tc>
        <w:tc>
          <w:tcPr>
            <w:tcW w:type="dxa" w:w="3389"/>
            <w:vAlign w:val="center"/>
          </w:tcPr>
          <w:p>
            <w:r/>
            <w:r>
              <w:rPr>
                <w:rFonts w:ascii="Aptos" w:hAnsi="Aptos"/>
                <w:b w:val="0"/>
                <w:sz w:val="16"/>
              </w:rPr>
              <w:t>Did source-text instructions alter behavior?</w:t>
            </w:r>
          </w:p>
        </w:tc>
        <w:tc>
          <w:tcPr>
            <w:tcW w:type="dxa" w:w="3389"/>
            <w:vAlign w:val="center"/>
          </w:tcPr>
          <w:p>
            <w:r/>
            <w:r>
              <w:rPr>
                <w:rFonts w:ascii="Aptos" w:hAnsi="Aptos"/>
                <w:b w:val="0"/>
                <w:sz w:val="16"/>
              </w:rPr>
              <w:t>Prompt-injection test pass/fail</w:t>
            </w:r>
          </w:p>
        </w:tc>
      </w:tr>
    </w:tbl>
    <w:p>
      <w:pPr>
        <w:pStyle w:val="Heading1"/>
      </w:pPr>
      <w:r>
        <w:t>15. Demonstration Scenario</w:t>
      </w:r>
    </w:p>
    <w:p>
      <w:r>
        <w:t>The recommended demo uses one fictional 58-year-old patient with metastatic colorectal adenocarcinoma. Information is distributed across an oncology note, pathology report, laboratory report and scanned referral. The pathology report shows a KRAS G12C mutation and microsatellite-stable (MSS) status. Potential conflict: the oncology note records ECOG 1 and an outside referral dated one day later records ECOG 2; both values are retained and surfaced for reviewer reconciliation. Whether the patient previously received a KRAS G12C inhibitor is intentionally not documented, allowing the demo to show how the system handles a trial criterion when required patient information is unavailable.</w:t>
      </w:r>
    </w:p>
    <w:p>
      <w:pPr>
        <w:pStyle w:val="ListNumber"/>
        <w:spacing w:after="40"/>
      </w:pPr>
      <w:r>
        <w:t>Upload the documents.</w:t>
      </w:r>
    </w:p>
    <w:p>
      <w:pPr>
        <w:pStyle w:val="ListNumber"/>
        <w:spacing w:after="40"/>
      </w:pPr>
      <w:r>
        <w:t>Show extracted evidence and source/page provenance.</w:t>
      </w:r>
    </w:p>
    <w:p>
      <w:pPr>
        <w:pStyle w:val="ListNumber"/>
        <w:spacing w:after="40"/>
      </w:pPr>
      <w:r>
        <w:t>Point out the potential ECOG conflict and the missing KRAS G12C inhibitor history.</w:t>
      </w:r>
    </w:p>
    <w:p>
      <w:pPr>
        <w:pStyle w:val="ListNumber"/>
        <w:spacing w:after="40"/>
      </w:pPr>
      <w:r>
        <w:t>Run trial discovery.</w:t>
      </w:r>
    </w:p>
    <w:p>
      <w:pPr>
        <w:pStyle w:val="ListNumber"/>
        <w:spacing w:after="40"/>
      </w:pPr>
      <w:r>
        <w:t>Open a candidate trial and show criterion-level results.</w:t>
      </w:r>
    </w:p>
    <w:p>
      <w:pPr>
        <w:pStyle w:val="ListNumber"/>
        <w:spacing w:after="40"/>
      </w:pPr>
      <w:r>
        <w:t>Expand a criterion to show both the trial text and patient evidence.</w:t>
      </w:r>
    </w:p>
    <w:p>
      <w:pPr>
        <w:pStyle w:val="ListNumber"/>
        <w:spacing w:after="40"/>
      </w:pPr>
      <w:r>
        <w:t>Show that missing information remains UNKNOWN.</w:t>
      </w:r>
    </w:p>
    <w:p>
      <w:pPr>
        <w:pStyle w:val="ListNumber"/>
        <w:spacing w:after="40"/>
      </w:pPr>
      <w:r>
        <w:t>Show the safety/trace panel and prompt-injection test.</w:t>
      </w:r>
    </w:p>
    <w:p>
      <w:pPr>
        <w:pStyle w:val="ListNumber"/>
        <w:spacing w:after="40"/>
      </w:pPr>
      <w:r>
        <w:t>End with the human-review requirement.</w:t>
      </w:r>
    </w:p>
    <w:p>
      <w:pPr>
        <w:pStyle w:val="Heading1"/>
      </w:pPr>
      <w:r>
        <w:t>16. What Makes the Project Different</w:t>
      </w:r>
    </w:p>
    <w:p>
      <w:r>
        <w:t>A basic trial chatbot searches for studies and returns links. TrialMatch AI focuses on the difficult middle layer: converting messy patient documents into auditable evidence and using that evidence to support criterion-level prescreening.</w:t>
      </w:r>
    </w:p>
    <w:tbl>
      <w:tblPr>
        <w:tblW w:type="auto" w:w="0"/>
        <w:jc w:val="center"/>
        <w:tblLayout w:type="autofit"/>
        <w:tblLook w:firstColumn="1" w:firstRow="1" w:lastColumn="0" w:lastRow="0" w:noHBand="0" w:noVBand="1" w:val="04A0"/>
      </w:tblPr>
      <w:tblGrid>
        <w:gridCol w:w="10166"/>
      </w:tblGrid>
      <w:tr>
        <w:tc>
          <w:tcPr>
            <w:tcW w:type="dxa" w:w="10166"/>
            <w:shd w:fill="EAF6F4"/>
          </w:tcPr>
          <w:p>
            <w:r>
              <w:rPr>
                <w:b/>
                <w:color w:val="0F857A"/>
                <w:sz w:val="21"/>
              </w:rPr>
              <w:t>Differentiator</w:t>
              <w:br/>
            </w:r>
            <w:r>
              <w:rPr>
                <w:sz w:val="19"/>
              </w:rPr>
              <w:t>Messy documents → evidence provenance → hybrid retrieval → criterion-level reasoning → uncertainty/conflict handling → human review → measurable evaluation.</w:t>
            </w:r>
          </w:p>
        </w:tc>
      </w:tr>
    </w:tbl>
    <w:p>
      <w:pPr>
        <w:spacing w:after="0"/>
      </w:pPr>
    </w:p>
    <w:p>
      <w:pPr>
        <w:pStyle w:val="Heading1"/>
      </w:pPr>
      <w:r>
        <w:t>17. Prototype Scope</w:t>
      </w:r>
    </w:p>
    <w:tbl>
      <w:tblPr>
        <w:tblStyle w:val="TableGrid"/>
        <w:tblW w:type="auto" w:w="0"/>
        <w:tblLook w:firstColumn="1" w:firstRow="1" w:lastColumn="0" w:lastRow="0" w:noHBand="0" w:noVBand="1" w:val="04A0"/>
      </w:tblPr>
      <w:tblGrid>
        <w:gridCol w:w="5083"/>
        <w:gridCol w:w="5083"/>
      </w:tblGrid>
      <w:tr>
        <w:tc>
          <w:tcPr>
            <w:tcW w:type="dxa" w:w="5083"/>
            <w:vAlign w:val="center"/>
            <w:shd w:fill="0F857A"/>
          </w:tcPr>
          <w:p>
            <w:r/>
            <w:r>
              <w:rPr>
                <w:rFonts w:ascii="Aptos" w:hAnsi="Aptos"/>
                <w:b/>
                <w:color w:val="FFFFFF"/>
                <w:sz w:val="18"/>
              </w:rPr>
              <w:t>Must have</w:t>
            </w:r>
          </w:p>
        </w:tc>
        <w:tc>
          <w:tcPr>
            <w:tcW w:type="dxa" w:w="5083"/>
            <w:vAlign w:val="center"/>
            <w:shd w:fill="0F857A"/>
          </w:tcPr>
          <w:p>
            <w:r/>
            <w:r>
              <w:rPr>
                <w:rFonts w:ascii="Aptos" w:hAnsi="Aptos"/>
                <w:b/>
                <w:color w:val="FFFFFF"/>
                <w:sz w:val="18"/>
              </w:rPr>
              <w:t>Only if time remains</w:t>
            </w:r>
          </w:p>
        </w:tc>
      </w:tr>
      <w:tr>
        <w:tc>
          <w:tcPr>
            <w:tcW w:type="dxa" w:w="5083"/>
            <w:vAlign w:val="center"/>
          </w:tcPr>
          <w:p>
            <w:r/>
            <w:r>
              <w:rPr>
                <w:rFonts w:ascii="Aptos" w:hAnsi="Aptos"/>
                <w:b w:val="0"/>
                <w:sz w:val="17"/>
              </w:rPr>
              <w:t>• PDF + image input</w:t>
            </w:r>
          </w:p>
        </w:tc>
        <w:tc>
          <w:tcPr>
            <w:tcW w:type="dxa" w:w="5083"/>
            <w:vAlign w:val="center"/>
          </w:tcPr>
          <w:p>
            <w:r/>
            <w:r>
              <w:rPr>
                <w:rFonts w:ascii="Aptos" w:hAnsi="Aptos"/>
                <w:b w:val="0"/>
                <w:sz w:val="17"/>
              </w:rPr>
              <w:t>• Handwriting demo</w:t>
            </w:r>
          </w:p>
        </w:tc>
      </w:tr>
      <w:tr>
        <w:tc>
          <w:tcPr>
            <w:tcW w:type="dxa" w:w="5083"/>
            <w:vAlign w:val="center"/>
          </w:tcPr>
          <w:p>
            <w:r/>
            <w:r>
              <w:rPr>
                <w:rFonts w:ascii="Aptos" w:hAnsi="Aptos"/>
                <w:b w:val="0"/>
                <w:sz w:val="17"/>
              </w:rPr>
              <w:t>• Evidence provenance</w:t>
            </w:r>
          </w:p>
        </w:tc>
        <w:tc>
          <w:tcPr>
            <w:tcW w:type="dxa" w:w="5083"/>
            <w:vAlign w:val="center"/>
          </w:tcPr>
          <w:p>
            <w:r/>
            <w:r>
              <w:rPr>
                <w:rFonts w:ascii="Aptos" w:hAnsi="Aptos"/>
                <w:b w:val="0"/>
                <w:sz w:val="17"/>
              </w:rPr>
              <w:t>• Live ClinicalTrials.gov API calls</w:t>
            </w:r>
          </w:p>
        </w:tc>
      </w:tr>
      <w:tr>
        <w:tc>
          <w:tcPr>
            <w:tcW w:type="dxa" w:w="5083"/>
            <w:vAlign w:val="center"/>
          </w:tcPr>
          <w:p>
            <w:r/>
            <w:r>
              <w:rPr>
                <w:rFonts w:ascii="Aptos" w:hAnsi="Aptos"/>
                <w:b w:val="0"/>
                <w:sz w:val="17"/>
              </w:rPr>
              <w:t>• Fixed ClinicalTrials.gov snapshot (~50–100 trials)</w:t>
            </w:r>
          </w:p>
        </w:tc>
        <w:tc>
          <w:tcPr>
            <w:tcW w:type="dxa" w:w="5083"/>
            <w:vAlign w:val="center"/>
          </w:tcPr>
          <w:p>
            <w:r/>
            <w:r>
              <w:rPr>
                <w:rFonts w:ascii="Aptos" w:hAnsi="Aptos"/>
                <w:b w:val="0"/>
                <w:sz w:val="17"/>
              </w:rPr>
              <w:t>• MCP server</w:t>
            </w:r>
          </w:p>
        </w:tc>
      </w:tr>
      <w:tr>
        <w:tc>
          <w:tcPr>
            <w:tcW w:type="dxa" w:w="5083"/>
            <w:vAlign w:val="center"/>
          </w:tcPr>
          <w:p>
            <w:r/>
            <w:r>
              <w:rPr>
                <w:rFonts w:ascii="Aptos" w:hAnsi="Aptos"/>
                <w:b w:val="0"/>
                <w:sz w:val="17"/>
              </w:rPr>
              <w:t>• Hybrid retrieval</w:t>
            </w:r>
          </w:p>
        </w:tc>
        <w:tc>
          <w:tcPr>
            <w:tcW w:type="dxa" w:w="5083"/>
            <w:vAlign w:val="center"/>
          </w:tcPr>
          <w:p>
            <w:r/>
            <w:r>
              <w:rPr>
                <w:rFonts w:ascii="Aptos" w:hAnsi="Aptos"/>
                <w:b w:val="0"/>
                <w:sz w:val="17"/>
              </w:rPr>
              <w:t>• Local Ollama model comparison</w:t>
            </w:r>
          </w:p>
        </w:tc>
      </w:tr>
      <w:tr>
        <w:tc>
          <w:tcPr>
            <w:tcW w:type="dxa" w:w="5083"/>
            <w:vAlign w:val="center"/>
          </w:tcPr>
          <w:p>
            <w:r/>
            <w:r>
              <w:rPr>
                <w:rFonts w:ascii="Aptos" w:hAnsi="Aptos"/>
                <w:b w:val="0"/>
                <w:sz w:val="17"/>
              </w:rPr>
              <w:t>• Criterion-level assessment</w:t>
            </w:r>
          </w:p>
        </w:tc>
        <w:tc>
          <w:tcPr>
            <w:tcW w:type="dxa" w:w="5083"/>
            <w:vAlign w:val="center"/>
          </w:tcPr>
          <w:p>
            <w:r/>
            <w:r>
              <w:rPr>
                <w:rFonts w:ascii="Aptos" w:hAnsi="Aptos"/>
                <w:b w:val="0"/>
                <w:sz w:val="17"/>
              </w:rPr>
              <w:t>• Fine-tuning</w:t>
            </w:r>
          </w:p>
        </w:tc>
      </w:tr>
      <w:tr>
        <w:tc>
          <w:tcPr>
            <w:tcW w:type="dxa" w:w="5083"/>
            <w:vAlign w:val="center"/>
          </w:tcPr>
          <w:p>
            <w:r/>
            <w:r>
              <w:rPr>
                <w:rFonts w:ascii="Aptos" w:hAnsi="Aptos"/>
                <w:b w:val="0"/>
                <w:sz w:val="17"/>
              </w:rPr>
              <w:t>• Unknown/conflict handling</w:t>
            </w:r>
          </w:p>
        </w:tc>
        <w:tc>
          <w:tcPr>
            <w:tcW w:type="dxa" w:w="5083"/>
            <w:vAlign w:val="center"/>
          </w:tcPr>
          <w:p>
            <w:r/>
            <w:r>
              <w:rPr>
                <w:rFonts w:ascii="Aptos" w:hAnsi="Aptos"/>
                <w:b w:val="0"/>
                <w:sz w:val="17"/>
              </w:rPr>
              <w:t>• Cloud deployment</w:t>
            </w:r>
          </w:p>
        </w:tc>
      </w:tr>
      <w:tr>
        <w:tc>
          <w:tcPr>
            <w:tcW w:type="dxa" w:w="5083"/>
            <w:vAlign w:val="center"/>
          </w:tcPr>
          <w:p>
            <w:r/>
            <w:r>
              <w:rPr>
                <w:rFonts w:ascii="Aptos" w:hAnsi="Aptos"/>
                <w:b w:val="0"/>
                <w:sz w:val="17"/>
              </w:rPr>
              <w:t>• LangGraph workflow</w:t>
            </w:r>
          </w:p>
        </w:tc>
        <w:tc>
          <w:tcPr>
            <w:tcW w:type="dxa" w:w="5083"/>
            <w:vAlign w:val="center"/>
          </w:tcPr>
          <w:p>
            <w:r/>
            <w:r>
              <w:rPr>
                <w:rFonts w:ascii="Aptos" w:hAnsi="Aptos"/>
                <w:b w:val="0"/>
                <w:sz w:val="17"/>
              </w:rPr>
            </w:r>
          </w:p>
        </w:tc>
      </w:tr>
      <w:tr>
        <w:tc>
          <w:tcPr>
            <w:tcW w:type="dxa" w:w="5083"/>
            <w:vAlign w:val="center"/>
          </w:tcPr>
          <w:p>
            <w:r/>
            <w:r>
              <w:rPr>
                <w:rFonts w:ascii="Aptos" w:hAnsi="Aptos"/>
                <w:b w:val="0"/>
                <w:sz w:val="17"/>
              </w:rPr>
              <w:t>• Streamlit UI</w:t>
            </w:r>
          </w:p>
        </w:tc>
        <w:tc>
          <w:tcPr>
            <w:tcW w:type="dxa" w:w="5083"/>
            <w:vAlign w:val="center"/>
          </w:tcPr>
          <w:p>
            <w:r/>
            <w:r>
              <w:rPr>
                <w:rFonts w:ascii="Aptos" w:hAnsi="Aptos"/>
                <w:b w:val="0"/>
                <w:sz w:val="17"/>
              </w:rPr>
            </w:r>
          </w:p>
        </w:tc>
      </w:tr>
      <w:tr>
        <w:tc>
          <w:tcPr>
            <w:tcW w:type="dxa" w:w="5083"/>
            <w:vAlign w:val="center"/>
          </w:tcPr>
          <w:p>
            <w:r/>
            <w:r>
              <w:rPr>
                <w:rFonts w:ascii="Aptos" w:hAnsi="Aptos"/>
                <w:b w:val="0"/>
                <w:sz w:val="17"/>
              </w:rPr>
              <w:t>• Small evaluation set</w:t>
            </w:r>
          </w:p>
        </w:tc>
        <w:tc>
          <w:tcPr>
            <w:tcW w:type="dxa" w:w="5083"/>
            <w:vAlign w:val="center"/>
          </w:tcPr>
          <w:p>
            <w:r/>
            <w:r>
              <w:rPr>
                <w:rFonts w:ascii="Aptos" w:hAnsi="Aptos"/>
                <w:b w:val="0"/>
                <w:sz w:val="17"/>
              </w:rPr>
            </w:r>
          </w:p>
        </w:tc>
      </w:tr>
      <w:tr>
        <w:tc>
          <w:tcPr>
            <w:tcW w:type="dxa" w:w="5083"/>
            <w:vAlign w:val="center"/>
          </w:tcPr>
          <w:p>
            <w:r/>
            <w:r>
              <w:rPr>
                <w:rFonts w:ascii="Aptos" w:hAnsi="Aptos"/>
                <w:b w:val="0"/>
                <w:sz w:val="17"/>
              </w:rPr>
              <w:t>• Safety/prompt-injection demo</w:t>
            </w:r>
          </w:p>
        </w:tc>
        <w:tc>
          <w:tcPr>
            <w:tcW w:type="dxa" w:w="5083"/>
            <w:vAlign w:val="center"/>
          </w:tcPr>
          <w:p>
            <w:r/>
            <w:r>
              <w:rPr>
                <w:rFonts w:ascii="Aptos" w:hAnsi="Aptos"/>
                <w:b w:val="0"/>
                <w:sz w:val="17"/>
              </w:rPr>
            </w:r>
          </w:p>
        </w:tc>
      </w:tr>
      <w:tr>
        <w:tc>
          <w:tcPr>
            <w:tcW w:type="dxa" w:w="5083"/>
            <w:vAlign w:val="center"/>
          </w:tcPr>
          <w:p>
            <w:r/>
            <w:r>
              <w:rPr>
                <w:rFonts w:ascii="Aptos" w:hAnsi="Aptos"/>
                <w:b w:val="0"/>
                <w:sz w:val="17"/>
              </w:rPr>
              <w:t>• Recorded demo video</w:t>
            </w:r>
          </w:p>
        </w:tc>
        <w:tc>
          <w:tcPr>
            <w:tcW w:type="dxa" w:w="5083"/>
            <w:vAlign w:val="center"/>
          </w:tcPr>
          <w:p>
            <w:r/>
            <w:r>
              <w:rPr>
                <w:rFonts w:ascii="Aptos" w:hAnsi="Aptos"/>
                <w:b w:val="0"/>
                <w:sz w:val="17"/>
              </w:rPr>
            </w:r>
          </w:p>
        </w:tc>
      </w:tr>
    </w:tbl>
    <w:p>
      <w:pPr>
        <w:pStyle w:val="Heading1"/>
      </w:pPr>
      <w:r>
        <w:t>18. Limitations</w:t>
      </w:r>
    </w:p>
    <w:p>
      <w:pPr>
        <w:pStyle w:val="ListBullet"/>
        <w:spacing w:after="40"/>
      </w:pPr>
      <w:r>
        <w:t>The prototype is not clinically validated and must not be used for real enrollment decisions.</w:t>
      </w:r>
    </w:p>
    <w:p>
      <w:pPr>
        <w:pStyle w:val="ListBullet"/>
        <w:spacing w:after="40"/>
      </w:pPr>
      <w:r>
        <w:t>Eligibility language can be complex, temporally dependent and require information not present in the supplied documents.</w:t>
      </w:r>
    </w:p>
    <w:p>
      <w:pPr>
        <w:pStyle w:val="ListBullet"/>
        <w:spacing w:after="40"/>
      </w:pPr>
      <w:r>
        <w:t>OCR and handwriting recognition can introduce transcription errors.</w:t>
      </w:r>
    </w:p>
    <w:p>
      <w:pPr>
        <w:pStyle w:val="ListBullet"/>
        <w:spacing w:after="40"/>
      </w:pPr>
      <w:r>
        <w:t>A curated trial corpus may not represent every currently available trial.</w:t>
      </w:r>
    </w:p>
    <w:p>
      <w:pPr>
        <w:pStyle w:val="ListBullet"/>
        <w:spacing w:after="40"/>
      </w:pPr>
      <w:r>
        <w:t>Trial records can change; a production system would need freshness controls and source synchronization.</w:t>
      </w:r>
    </w:p>
    <w:p>
      <w:pPr>
        <w:pStyle w:val="ListBullet"/>
        <w:spacing w:after="40"/>
      </w:pPr>
      <w:r>
        <w:t>The demo does not solve identity matching, EHR integration, consent, governance or production privacy/security requirements.</w:t>
      </w:r>
    </w:p>
    <w:p>
      <w:pPr>
        <w:pStyle w:val="Heading1"/>
      </w:pPr>
      <w:r>
        <w:t>19. Future Vision</w:t>
      </w:r>
    </w:p>
    <w:p>
      <w:r>
        <w:t>A production evolution could connect to authorized clinical data sources, add stronger document processing, synchronize trial records, introduce role-based review, maintain audit trails, and support institution-specific workflows. MCP could standardize access to bounded tools, and a local model could be evaluated for selected privacy-sensitive or high-volume tasks. Those are future directions, not claims about the prototype.</w:t>
      </w:r>
    </w:p>
    <w:p>
      <w:pPr>
        <w:pStyle w:val="Heading1"/>
      </w:pPr>
      <w:r>
        <w:t>20. Scientific and Data References</w:t>
      </w:r>
    </w:p>
    <w:p>
      <w:pPr>
        <w:pStyle w:val="ListNumber"/>
        <w:numPr>
          <w:ilvl w:val="0"/>
          <w:numId w:val="10"/>
        </w:numPr>
      </w:pPr>
      <w:r>
        <w:rPr>
          <w:b/>
        </w:rPr>
        <w:t xml:space="preserve">Unlu O, et al. Manual vs AI-Assisted Prescreening for Trial Eligibility Using Large Language Models—A Randomized Clinical Trial. JAMA. 2025;333(12):1084-1087. doi:10.1001/jama.2024.28047. </w:t>
      </w:r>
      <w:r>
        <w:t>https://jamanetwork.com/journals/jama/fullarticle/2830514</w:t>
      </w:r>
    </w:p>
    <w:p>
      <w:pPr>
        <w:pStyle w:val="ListNumber"/>
        <w:numPr>
          <w:ilvl w:val="0"/>
          <w:numId w:val="10"/>
        </w:numPr>
      </w:pPr>
      <w:r>
        <w:rPr>
          <w:b/>
        </w:rPr>
        <w:t xml:space="preserve">A systematic review on natural language processing systems for eligibility prescreening in clinical research. </w:t>
      </w:r>
      <w:r>
        <w:t>https://pubmed.ncbi.nlm.nih.gov/34725689/</w:t>
      </w:r>
    </w:p>
    <w:p>
      <w:pPr>
        <w:pStyle w:val="ListNumber"/>
        <w:numPr>
          <w:ilvl w:val="0"/>
          <w:numId w:val="10"/>
        </w:numPr>
      </w:pPr>
      <w:r>
        <w:rPr>
          <w:b/>
        </w:rPr>
        <w:t xml:space="preserve">Increasing the efficiency of trial-patient matching: automated clinical trial eligibility pre-screening for pediatric oncology patients. </w:t>
      </w:r>
      <w:r>
        <w:t>https://pubmed.ncbi.nlm.nih.gov/25881112/</w:t>
      </w:r>
    </w:p>
    <w:p>
      <w:pPr>
        <w:pStyle w:val="ListNumber"/>
        <w:numPr>
          <w:ilvl w:val="0"/>
          <w:numId w:val="10"/>
        </w:numPr>
      </w:pPr>
      <w:r>
        <w:rPr>
          <w:b/>
        </w:rPr>
        <w:t xml:space="preserve">Automating Clinical Trial Matches Via Natural Language Processing of Synthetic Electronic Health Records and Clinical Trial Eligibility Criteria. AMIA 2024. </w:t>
      </w:r>
      <w:r>
        <w:t>https://pubmed.ncbi.nlm.nih.gov/38827083/</w:t>
      </w:r>
    </w:p>
    <w:p>
      <w:pPr>
        <w:pStyle w:val="ListNumber"/>
        <w:numPr>
          <w:ilvl w:val="0"/>
          <w:numId w:val="10"/>
        </w:numPr>
      </w:pPr>
      <w:r>
        <w:rPr>
          <w:b/>
        </w:rPr>
        <w:t xml:space="preserve">ClinicalTrials.gov — public study registry and study-data downloads. </w:t>
      </w:r>
      <w:r>
        <w:t>https://clinicaltrials.gov/</w:t>
      </w:r>
    </w:p>
    <w:p>
      <w:pPr>
        <w:pStyle w:val="ListNumber"/>
        <w:numPr>
          <w:ilvl w:val="0"/>
          <w:numId w:val="10"/>
        </w:numPr>
      </w:pPr>
      <w:r>
        <w:rPr>
          <w:b/>
        </w:rPr>
        <w:t xml:space="preserve">ClinicalTrials.gov CSV data fields. </w:t>
      </w:r>
      <w:r>
        <w:t>https://clinicaltrials.gov/data-about-studies/csv-download</w:t>
      </w:r>
    </w:p>
    <w:p>
      <w:pPr>
        <w:pStyle w:val="Heading1"/>
      </w:pPr>
      <w:r>
        <w:t>21. Competition Pitch</w:t>
      </w:r>
    </w:p>
    <w:tbl>
      <w:tblPr>
        <w:tblW w:type="auto" w:w="0"/>
        <w:jc w:val="center"/>
        <w:tblLayout w:type="autofit"/>
        <w:tblLook w:firstColumn="1" w:firstRow="1" w:lastColumn="0" w:lastRow="0" w:noHBand="0" w:noVBand="1" w:val="04A0"/>
      </w:tblPr>
      <w:tblGrid>
        <w:gridCol w:w="10166"/>
      </w:tblGrid>
      <w:tr>
        <w:tc>
          <w:tcPr>
            <w:tcW w:type="dxa" w:w="10166"/>
            <w:shd w:fill="EAF6F4"/>
          </w:tcPr>
          <w:p>
            <w:r>
              <w:rPr>
                <w:b/>
                <w:color w:val="0F857A"/>
                <w:sz w:val="21"/>
              </w:rPr>
              <w:t>30-second version</w:t>
              <w:br/>
            </w:r>
            <w:r>
              <w:rPr>
                <w:sz w:val="19"/>
              </w:rPr>
              <w:t>Clinical-trial prescreening still requires people to reconcile complex eligibility rules with patient information buried across unstructured records. TrialMatch AI turns synthetic notes, reports and scanned documents into traceable patient evidence, uses hybrid RAG to find potentially relevant trials, and performs criterion-level prescreening with citations, explicit uncertainty, conflict detection and mandatory human review. The result is not an eligibility decision; it is an auditable first-pass review designed to help research teams focus their time.</w:t>
            </w:r>
          </w:p>
        </w:tc>
      </w:tr>
    </w:tbl>
    <w:p>
      <w:pPr>
        <w:spacing w:after="0"/>
      </w:pPr>
    </w:p>
    <w:p/>
    <w:p>
      <w:pPr>
        <w:jc w:val="center"/>
      </w:pPr>
      <w:r>
        <w:rPr>
          <w:b/>
          <w:color w:val="0F857A"/>
        </w:rPr>
        <w:t>Prototype concept • Synthetic patient data • Human review required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85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32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