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Xd1fe3eb0f1b17731fe40ecc336f4c198991492a"/>
    <w:p>
      <w:pPr>
        <w:pStyle w:val="Heading2"/>
      </w:pPr>
      <w:r>
        <w:t xml:space="preserve">title: "TrialMatch AI Demo Recording Instructions"</w:t>
      </w:r>
      <w:r>
        <w:t xml:space="preserve"> </w:t>
      </w:r>
      <w:r>
        <w:t xml:space="preserve">subtitle: "Fast step-by-step walkthrough"</w:t>
      </w:r>
      <w:r>
        <w:t xml:space="preserve"> </w:t>
      </w:r>
      <w:r>
        <w:t xml:space="preserve">author: "TrialMatch AI"</w:t>
      </w:r>
      <w:r>
        <w:t xml:space="preserve"> </w:t>
      </w:r>
      <w:r>
        <w:t xml:space="preserve">date: "October 2, 2026"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guide gives the shortest reliable sequence for recording the TrialMatch AI</w:t>
      </w:r>
      <w:r>
        <w:t xml:space="preserve"> </w:t>
      </w:r>
      <w:r>
        <w:t xml:space="preserve">demonstration. Use the saved SYN-001 replay so network latency or an API failure</w:t>
      </w:r>
      <w:r>
        <w:t xml:space="preserve"> </w:t>
      </w:r>
      <w:r>
        <w:t xml:space="preserve">cannot interrupt the recording. The complete walkthrough should take about</w:t>
      </w:r>
      <w:r>
        <w:t xml:space="preserve"> </w:t>
      </w:r>
      <w:r>
        <w:t xml:space="preserve">three to five minutes.</w:t>
      </w:r>
    </w:p>
    <w:p>
      <w:pPr>
        <w:pStyle w:val="BodyText"/>
      </w:pPr>
      <w:r>
        <w:t xml:space="preserve">Throughout the recording, describe the application as a</w:t>
      </w:r>
      <w:r>
        <w:t xml:space="preserve"> </w:t>
      </w:r>
      <w:r>
        <w:rPr>
          <w:bCs/>
          <w:b/>
        </w:rPr>
        <w:t xml:space="preserve">research-trial</w:t>
      </w:r>
      <w:r>
        <w:rPr>
          <w:bCs/>
          <w:b/>
        </w:rPr>
        <w:t xml:space="preserve"> </w:t>
      </w:r>
      <w:r>
        <w:rPr>
          <w:bCs/>
          <w:b/>
        </w:rPr>
        <w:t xml:space="preserve">prescreening tool</w:t>
      </w:r>
      <w:r>
        <w:t xml:space="preserve">. Do not describe the patient as definitively eligible or</w:t>
      </w:r>
      <w:r>
        <w:t xml:space="preserve"> </w:t>
      </w:r>
      <w:r>
        <w:t xml:space="preserve">ineligible.</w:t>
      </w:r>
    </w:p>
    <w:bookmarkEnd w:id="21"/>
    <w:bookmarkStart w:id="23" w:name="Xc8d659769a524b42870e44348eaa9eba3b1c5a7"/>
    <w:p>
      <w:pPr>
        <w:pStyle w:val="Heading1"/>
      </w:pPr>
      <w:r>
        <w:t xml:space="preserve">1. Open the application</w:t>
      </w:r>
    </w:p>
    <w:p>
      <w:pPr>
        <w:pStyle w:val="FirstParagraph"/>
      </w:pPr>
      <w:r>
        <w:t xml:space="preserve">Open PowerShell in:</w:t>
      </w:r>
    </w:p>
    <w:p>
      <w:pPr>
        <w:pStyle w:val="SourceCode"/>
      </w:pPr>
      <w:r>
        <w:rPr>
          <w:rStyle w:val="VerbatimChar"/>
        </w:rPr>
        <w:t xml:space="preserve">C:\Users\laksh\Documents\MasteringGenAI\TrialMatch AI\TrialMatch_AI</w:t>
      </w:r>
    </w:p>
    <w:p>
      <w:pPr>
        <w:pStyle w:val="FirstParagraph"/>
      </w:pPr>
      <w:r>
        <w:t xml:space="preserve">If the app is not already running, enter:</w:t>
      </w:r>
    </w:p>
    <w:p>
      <w:pPr>
        <w:pStyle w:val="SourceCode"/>
      </w:pP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streamlit run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Open this address in a browser:</w:t>
      </w:r>
    </w:p>
    <w:p>
      <w:pPr>
        <w:pStyle w:val="BodyText"/>
      </w:pPr>
      <w:hyperlink r:id="rId22">
        <w:r>
          <w:rPr>
            <w:rStyle w:val="Hyperlink"/>
          </w:rPr>
          <w:t xml:space="preserve">http://127.0.0.1:8501</w:t>
        </w:r>
      </w:hyperlink>
    </w:p>
    <w:bookmarkEnd w:id="23"/>
    <w:bookmarkStart w:id="24" w:name="X631d08fff282c66f71294cf0a916b910d2f82b7"/>
    <w:p>
      <w:pPr>
        <w:pStyle w:val="Heading1"/>
      </w:pPr>
      <w:r>
        <w:t xml:space="preserve">2. Load the prepared demonstration</w:t>
      </w:r>
    </w:p>
    <w:p>
      <w:pPr>
        <w:numPr>
          <w:ilvl w:val="0"/>
          <w:numId w:val="1001"/>
        </w:numPr>
      </w:pPr>
      <w:r>
        <w:t xml:space="preserve">Select the</w:t>
      </w:r>
      <w:r>
        <w:t xml:space="preserve"> </w:t>
      </w:r>
      <w:r>
        <w:rPr>
          <w:bCs/>
          <w:b/>
        </w:rPr>
        <w:t xml:space="preserve">Patient Documents</w:t>
      </w:r>
      <w:r>
        <w:t xml:space="preserve"> </w:t>
      </w:r>
      <w:r>
        <w:t xml:space="preserve">tab.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Replay saved SYN-001 run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Wait for this confirmation: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Loaded the pre-tested saved run; no API call was made.</w:t>
      </w:r>
    </w:p>
    <w:p>
      <w:pPr>
        <w:pStyle w:val="FirstParagraph"/>
      </w:pPr>
      <w:r>
        <w:t xml:space="preserve">Suggested narration:</w:t>
      </w:r>
    </w:p>
    <w:p>
      <w:pPr>
        <w:pStyle w:val="BlockText"/>
      </w:pPr>
      <w:r>
        <w:t xml:space="preserve">TrialMatch AI performs research-trial prescreening using synthetic patient</w:t>
      </w:r>
      <w:r>
        <w:t xml:space="preserve"> </w:t>
      </w:r>
      <w:r>
        <w:t xml:space="preserve">records. This replay contains a previously validated run and avoids API</w:t>
      </w:r>
      <w:r>
        <w:t xml:space="preserve"> </w:t>
      </w:r>
      <w:r>
        <w:t xml:space="preserve">delays during the demonstration.</w:t>
      </w:r>
    </w:p>
    <w:bookmarkEnd w:id="24"/>
    <w:bookmarkStart w:id="25" w:name="X04bbd72fe9320c9240d551cf800d60fd03d5944"/>
    <w:p>
      <w:pPr>
        <w:pStyle w:val="Heading1"/>
      </w:pPr>
      <w:r>
        <w:t xml:space="preserve">3. Show the extracted evidence</w:t>
      </w:r>
    </w:p>
    <w:p>
      <w:pPr>
        <w:pStyle w:val="FirstParagraph"/>
      </w:pPr>
      <w:r>
        <w:t xml:space="preserve">Select the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At the top, point out these three values: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 records:</w:t>
      </w:r>
      <w:r>
        <w:t xml:space="preserve"> </w:t>
      </w:r>
      <w:r>
        <w:t xml:space="preserve">16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Potential conflicts:</w:t>
      </w:r>
      <w:r>
        <w:t xml:space="preserve"> </w:t>
      </w:r>
      <w:r>
        <w:t xml:space="preserve">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Unknown facts:</w:t>
      </w:r>
      <w:r>
        <w:t xml:space="preserve"> </w:t>
      </w:r>
      <w:r>
        <w:t xml:space="preserve">1</w:t>
      </w:r>
    </w:p>
    <w:p>
      <w:pPr>
        <w:pStyle w:val="FirstParagraph"/>
      </w:pPr>
      <w:r>
        <w:t xml:space="preserve">Explain that each evidence card includes:</w:t>
      </w:r>
    </w:p>
    <w:p>
      <w:pPr>
        <w:numPr>
          <w:ilvl w:val="0"/>
          <w:numId w:val="1003"/>
        </w:numPr>
        <w:pStyle w:val="Compact"/>
      </w:pPr>
      <w:r>
        <w:t xml:space="preserve">The extracted value</w:t>
      </w:r>
    </w:p>
    <w:p>
      <w:pPr>
        <w:numPr>
          <w:ilvl w:val="0"/>
          <w:numId w:val="1003"/>
        </w:numPr>
        <w:pStyle w:val="Compact"/>
      </w:pPr>
      <w:r>
        <w:t xml:space="preserve">Source filename</w:t>
      </w:r>
    </w:p>
    <w:p>
      <w:pPr>
        <w:numPr>
          <w:ilvl w:val="0"/>
          <w:numId w:val="1003"/>
        </w:numPr>
        <w:pStyle w:val="Compact"/>
      </w:pPr>
      <w:r>
        <w:t xml:space="preserve">Page number</w:t>
      </w:r>
    </w:p>
    <w:p>
      <w:pPr>
        <w:numPr>
          <w:ilvl w:val="0"/>
          <w:numId w:val="1003"/>
        </w:numPr>
        <w:pStyle w:val="Compact"/>
      </w:pPr>
      <w:r>
        <w:t xml:space="preserve">Document date</w:t>
      </w:r>
    </w:p>
    <w:p>
      <w:pPr>
        <w:numPr>
          <w:ilvl w:val="0"/>
          <w:numId w:val="1003"/>
        </w:numPr>
        <w:pStyle w:val="Compact"/>
      </w:pPr>
      <w:r>
        <w:t xml:space="preserve">Quote-verification status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Supporting quote</w:t>
      </w:r>
      <w:r>
        <w:t xml:space="preserve"> </w:t>
      </w:r>
      <w:r>
        <w:t xml:space="preserve">expander</w:t>
      </w:r>
    </w:p>
    <w:p>
      <w:pPr>
        <w:pStyle w:val="FirstParagraph"/>
      </w:pPr>
      <w:r>
        <w:t xml:space="preserve">Open one</w:t>
      </w:r>
      <w:r>
        <w:t xml:space="preserve"> </w:t>
      </w:r>
      <w:r>
        <w:rPr>
          <w:bCs/>
          <w:b/>
        </w:rPr>
        <w:t xml:space="preserve">Supporting quote</w:t>
      </w:r>
      <w:r>
        <w:t xml:space="preserve"> </w:t>
      </w:r>
      <w:r>
        <w:t xml:space="preserve">expander under</w:t>
      </w:r>
      <w:r>
        <w:t xml:space="preserve"> </w:t>
      </w:r>
      <w:r>
        <w:rPr>
          <w:bCs/>
          <w:b/>
        </w:rPr>
        <w:t xml:space="preserve">Diagnosis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KRAS status</w:t>
      </w:r>
      <w:r>
        <w:t xml:space="preserve">.</w:t>
      </w:r>
    </w:p>
    <w:p>
      <w:pPr>
        <w:pStyle w:val="BodyText"/>
      </w:pPr>
      <w:r>
        <w:t xml:space="preserve">Suggested narration:</w:t>
      </w:r>
    </w:p>
    <w:p>
      <w:pPr>
        <w:pStyle w:val="BlockText"/>
      </w:pPr>
      <w:r>
        <w:t xml:space="preserve">Every extracted fact retains its source file, page, date, and exact</w:t>
      </w:r>
      <w:r>
        <w:t xml:space="preserve"> </w:t>
      </w:r>
      <w:r>
        <w:t xml:space="preserve">supporting quote. Quote verification is performed against the source text.</w:t>
      </w:r>
    </w:p>
    <w:bookmarkEnd w:id="25"/>
    <w:bookmarkStart w:id="26" w:name="X86280c20e1070547a6fb400c2936e26956f8089"/>
    <w:p>
      <w:pPr>
        <w:pStyle w:val="Heading1"/>
      </w:pPr>
      <w:r>
        <w:t xml:space="preserve">4. Show the ECOG conflict</w:t>
      </w:r>
    </w:p>
    <w:p>
      <w:pPr>
        <w:pStyle w:val="FirstParagraph"/>
      </w:pPr>
      <w:r>
        <w:t xml:space="preserve">Remain in the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tab and find:</w:t>
      </w:r>
    </w:p>
    <w:p>
      <w:pPr>
        <w:pStyle w:val="SourceCode"/>
      </w:pPr>
      <w:r>
        <w:rPr>
          <w:rStyle w:val="VerbatimChar"/>
        </w:rPr>
        <w:t xml:space="preserve">Performance status (ECOG)</w:t>
      </w:r>
    </w:p>
    <w:p>
      <w:pPr>
        <w:pStyle w:val="FirstParagraph"/>
      </w:pPr>
      <w:r>
        <w:t xml:space="preserve">Show both values: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ECOG 1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ECOG 2</w:t>
      </w:r>
    </w:p>
    <w:p>
      <w:pPr>
        <w:pStyle w:val="FirstParagraph"/>
      </w:pPr>
      <w:r>
        <w:t xml:space="preserve">Also show the</w:t>
      </w:r>
      <w:r>
        <w:t xml:space="preserve"> </w:t>
      </w:r>
      <w:r>
        <w:rPr>
          <w:bCs/>
          <w:b/>
        </w:rPr>
        <w:t xml:space="preserve">Potential conflict</w:t>
      </w:r>
      <w:r>
        <w:t xml:space="preserve"> </w:t>
      </w:r>
      <w:r>
        <w:t xml:space="preserve">warning and the separate sources: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oncology_note.pdf</w:t>
      </w:r>
      <w:r>
        <w:t xml:space="preserve">, page 2, dated 2026-03-10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outside_referral_scan.png</w:t>
      </w:r>
      <w:r>
        <w:t xml:space="preserve">, page 1, dated 2026-03-11</w:t>
      </w:r>
    </w:p>
    <w:p>
      <w:pPr>
        <w:pStyle w:val="FirstParagraph"/>
      </w:pPr>
      <w:r>
        <w:t xml:space="preserve">Suggested narration:</w:t>
      </w:r>
    </w:p>
    <w:p>
      <w:pPr>
        <w:pStyle w:val="BlockText"/>
      </w:pPr>
      <w:r>
        <w:t xml:space="preserve">The documents contain different ECOG values. The system retains both values</w:t>
      </w:r>
      <w:r>
        <w:t xml:space="preserve"> </w:t>
      </w:r>
      <w:r>
        <w:t xml:space="preserve">and marks a potential conflict instead of choosing one automatically.</w:t>
      </w:r>
    </w:p>
    <w:bookmarkEnd w:id="26"/>
    <w:bookmarkStart w:id="27" w:name="Xa2391c336fcb768caad1da9e366d21d50419ef2"/>
    <w:p>
      <w:pPr>
        <w:pStyle w:val="Heading1"/>
      </w:pPr>
      <w:r>
        <w:t xml:space="preserve">5. Show the missing treatment fact</w:t>
      </w:r>
    </w:p>
    <w:p>
      <w:pPr>
        <w:pStyle w:val="FirstParagraph"/>
      </w:pPr>
      <w:r>
        <w:t xml:space="preserve">Still in</w:t>
      </w:r>
      <w:r>
        <w:t xml:space="preserve"> </w:t>
      </w:r>
      <w:r>
        <w:rPr>
          <w:bCs/>
          <w:b/>
        </w:rPr>
        <w:t xml:space="preserve">Evidence</w:t>
      </w:r>
      <w:r>
        <w:t xml:space="preserve">, scroll to:</w:t>
      </w:r>
    </w:p>
    <w:p>
      <w:pPr>
        <w:pStyle w:val="SourceCode"/>
      </w:pPr>
      <w:r>
        <w:rPr>
          <w:rStyle w:val="VerbatimChar"/>
        </w:rPr>
        <w:t xml:space="preserve">Prior KRAS G12C inhibitor</w:t>
      </w:r>
    </w:p>
    <w:p>
      <w:pPr>
        <w:pStyle w:val="FirstParagraph"/>
      </w:pPr>
      <w:r>
        <w:t xml:space="preserve">Show the message:</w:t>
      </w:r>
    </w:p>
    <w:p>
      <w:pPr>
        <w:pStyle w:val="SourceCode"/>
      </w:pPr>
      <w:r>
        <w:rPr>
          <w:rStyle w:val="VerbatimChar"/>
        </w:rPr>
        <w:t xml:space="preserve">UNKNOWN - no supporting evidence found in supplied documents.</w:t>
      </w:r>
    </w:p>
    <w:p>
      <w:pPr>
        <w:pStyle w:val="FirstParagraph"/>
      </w:pPr>
      <w:r>
        <w:t xml:space="preserve">Suggested narration:</w:t>
      </w:r>
    </w:p>
    <w:p>
      <w:pPr>
        <w:pStyle w:val="BlockText"/>
      </w:pPr>
      <w:r>
        <w:t xml:space="preserve">KRAS G12C mutation status does not prove prior treatment with a KRAS G12C</w:t>
      </w:r>
      <w:r>
        <w:t xml:space="preserve"> </w:t>
      </w:r>
      <w:r>
        <w:t xml:space="preserve">inhibitor. Because treatment history is missing, the result remains UNKNOWN.</w:t>
      </w:r>
    </w:p>
    <w:p>
      <w:pPr>
        <w:pStyle w:val="FirstParagraph"/>
      </w:pPr>
      <w:r>
        <w:t xml:space="preserve">This is one of the most important safety behaviors in the demonstration.</w:t>
      </w:r>
    </w:p>
    <w:bookmarkEnd w:id="27"/>
    <w:bookmarkStart w:id="28" w:name="X35df0cff4a520304b0c6f9dd66493023d1e3817"/>
    <w:p>
      <w:pPr>
        <w:pStyle w:val="Heading1"/>
      </w:pPr>
      <w:r>
        <w:t xml:space="preserve">6. Show trial retrieval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Trial Matches</w:t>
      </w:r>
      <w:r>
        <w:t xml:space="preserve">. Five candidate-trial expanders should be visible.</w:t>
      </w:r>
    </w:p>
    <w:p>
      <w:pPr>
        <w:pStyle w:val="BodyText"/>
      </w:pPr>
      <w:r>
        <w:t xml:space="preserve">Open the first candidate:</w:t>
      </w:r>
    </w:p>
    <w:p>
      <w:pPr>
        <w:pStyle w:val="SourceCode"/>
      </w:pPr>
      <w:r>
        <w:rPr>
          <w:rStyle w:val="VerbatimChar"/>
        </w:rPr>
        <w:t xml:space="preserve">NCT06412198</w:t>
      </w:r>
    </w:p>
    <w:p>
      <w:pPr>
        <w:pStyle w:val="FirstParagraph"/>
      </w:pPr>
      <w:r>
        <w:t xml:space="preserve">Point out:</w:t>
      </w:r>
    </w:p>
    <w:p>
      <w:pPr>
        <w:numPr>
          <w:ilvl w:val="0"/>
          <w:numId w:val="1006"/>
        </w:numPr>
        <w:pStyle w:val="Compact"/>
      </w:pPr>
      <w:r>
        <w:t xml:space="preserve">The trial-level review label</w:t>
      </w:r>
    </w:p>
    <w:p>
      <w:pPr>
        <w:numPr>
          <w:ilvl w:val="0"/>
          <w:numId w:val="1006"/>
        </w:numPr>
        <w:pStyle w:val="Compact"/>
      </w:pPr>
      <w:r>
        <w:t xml:space="preserve">Meets count</w:t>
      </w:r>
    </w:p>
    <w:p>
      <w:pPr>
        <w:numPr>
          <w:ilvl w:val="0"/>
          <w:numId w:val="1006"/>
        </w:numPr>
        <w:pStyle w:val="Compact"/>
      </w:pPr>
      <w:r>
        <w:t xml:space="preserve">Does Not Meet count</w:t>
      </w:r>
    </w:p>
    <w:p>
      <w:pPr>
        <w:numPr>
          <w:ilvl w:val="0"/>
          <w:numId w:val="1006"/>
        </w:numPr>
        <w:pStyle w:val="Compact"/>
      </w:pPr>
      <w:r>
        <w:t xml:space="preserve">Unknown count</w:t>
      </w:r>
    </w:p>
    <w:p>
      <w:pPr>
        <w:numPr>
          <w:ilvl w:val="0"/>
          <w:numId w:val="1006"/>
        </w:numPr>
        <w:pStyle w:val="Compact"/>
      </w:pPr>
      <w:r>
        <w:t xml:space="preserve">Potential Conflict count</w:t>
      </w:r>
    </w:p>
    <w:p>
      <w:pPr>
        <w:numPr>
          <w:ilvl w:val="0"/>
          <w:numId w:val="1006"/>
        </w:numPr>
        <w:pStyle w:val="Compact"/>
      </w:pPr>
      <w:r>
        <w:t xml:space="preserve">The reranking explanation</w:t>
      </w:r>
    </w:p>
    <w:p>
      <w:pPr>
        <w:pStyle w:val="FirstParagraph"/>
      </w:pPr>
      <w:r>
        <w:t xml:space="preserve">Suggested narration:</w:t>
      </w:r>
    </w:p>
    <w:p>
      <w:pPr>
        <w:pStyle w:val="BlockText"/>
      </w:pPr>
      <w:r>
        <w:t xml:space="preserve">Candidates come from a frozen 75-trial ClinicalTrials.gov snapshot.</w:t>
      </w:r>
      <w:r>
        <w:t xml:space="preserve"> </w:t>
      </w:r>
      <w:r>
        <w:t xml:space="preserve">Discovery combines vector retrieval and BM25 using reciprocal rank fusion,</w:t>
      </w:r>
      <w:r>
        <w:t xml:space="preserve"> </w:t>
      </w:r>
      <w:r>
        <w:t xml:space="preserve">followed by reranking.</w:t>
      </w:r>
    </w:p>
    <w:p>
      <w:pPr>
        <w:pStyle w:val="FirstParagraph"/>
      </w:pPr>
      <w:r>
        <w:t xml:space="preserve">Do not say that the patient is eligible or ineligible.</w:t>
      </w:r>
    </w:p>
    <w:bookmarkEnd w:id="28"/>
    <w:bookmarkStart w:id="29" w:name="Xce4525c78df8d2dca344291efcca70f5dac22bb"/>
    <w:p>
      <w:pPr>
        <w:pStyle w:val="Heading1"/>
      </w:pPr>
      <w:r>
        <w:t xml:space="preserve">7. Show deterministic age and sex checks</w:t>
      </w:r>
    </w:p>
    <w:p>
      <w:pPr>
        <w:pStyle w:val="FirstParagraph"/>
      </w:pPr>
      <w:r>
        <w:t xml:space="preserve">Inside the expanded trial, find the first two assessments:</w:t>
      </w:r>
    </w:p>
    <w:p>
      <w:pPr>
        <w:pStyle w:val="SourceCode"/>
      </w:pPr>
      <w:r>
        <w:rPr>
          <w:rStyle w:val="VerbatimChar"/>
        </w:rPr>
        <w:t xml:space="preserve">RULE-AGE</w:t>
      </w:r>
      <w:r>
        <w:br/>
      </w:r>
      <w:r>
        <w:rPr>
          <w:rStyle w:val="VerbatimChar"/>
        </w:rPr>
        <w:t xml:space="preserve">RULE-SEX</w:t>
      </w:r>
    </w:p>
    <w:p>
      <w:pPr>
        <w:pStyle w:val="FirstParagraph"/>
      </w:pPr>
      <w:r>
        <w:t xml:space="preserve">Both should identify their method as</w:t>
      </w:r>
      <w:r>
        <w:t xml:space="preserve"> </w:t>
      </w:r>
      <w:r>
        <w:rPr>
          <w:rStyle w:val="VerbatimChar"/>
        </w:rPr>
        <w:t xml:space="preserve">rule</w:t>
      </w:r>
      <w:r>
        <w:t xml:space="preserve">.</w:t>
      </w:r>
    </w:p>
    <w:p>
      <w:pPr>
        <w:pStyle w:val="BodyText"/>
      </w:pPr>
      <w:r>
        <w:t xml:space="preserve">Suggested narration:</w:t>
      </w:r>
    </w:p>
    <w:p>
      <w:pPr>
        <w:pStyle w:val="BlockText"/>
      </w:pPr>
      <w:r>
        <w:t xml:space="preserve">Age and sex are checked deterministically against the structured trial</w:t>
      </w:r>
      <w:r>
        <w:t xml:space="preserve"> </w:t>
      </w:r>
      <w:r>
        <w:t xml:space="preserve">fields. They are not delegated to the language model.</w:t>
      </w:r>
    </w:p>
    <w:bookmarkEnd w:id="29"/>
    <w:bookmarkStart w:id="30" w:name="X5e097f18ed4a136d42d037721af85ddb7cd0dde"/>
    <w:p>
      <w:pPr>
        <w:pStyle w:val="Heading1"/>
      </w:pPr>
      <w:r>
        <w:t xml:space="preserve">8. Show an LLM criterion assessment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NCT06412198</w:t>
      </w:r>
      <w:r>
        <w:t xml:space="preserve">, find:</w:t>
      </w:r>
    </w:p>
    <w:p>
      <w:pPr>
        <w:pStyle w:val="SourceCode"/>
      </w:pPr>
      <w:r>
        <w:rPr>
          <w:rStyle w:val="VerbatimChar"/>
        </w:rPr>
        <w:t xml:space="preserve">INC-01</w:t>
      </w:r>
    </w:p>
    <w:p>
      <w:pPr>
        <w:pStyle w:val="FirstParagraph"/>
      </w:pPr>
      <w:r>
        <w:t xml:space="preserve">It should show:</w:t>
      </w:r>
    </w:p>
    <w:p>
      <w:pPr>
        <w:pStyle w:val="SourceCode"/>
      </w:pPr>
      <w:r>
        <w:rPr>
          <w:rStyle w:val="VerbatimChar"/>
        </w:rPr>
        <w:t xml:space="preserve">method: llm</w:t>
      </w:r>
      <w:r>
        <w:br/>
      </w:r>
      <w:r>
        <w:rPr>
          <w:rStyle w:val="VerbatimChar"/>
        </w:rPr>
        <w:t xml:space="preserve">status: MEETS</w:t>
      </w:r>
    </w:p>
    <w:p>
      <w:pPr>
        <w:pStyle w:val="FirstParagraph"/>
      </w:pPr>
      <w:r>
        <w:t xml:space="preserve">Show the patient evidence cited below the assessment.</w:t>
      </w:r>
    </w:p>
    <w:p>
      <w:pPr>
        <w:pStyle w:val="BodyText"/>
      </w:pPr>
      <w:r>
        <w:t xml:space="preserve">Suggested narration:</w:t>
      </w:r>
    </w:p>
    <w:p>
      <w:pPr>
        <w:pStyle w:val="BlockText"/>
      </w:pPr>
      <w:r>
        <w:t xml:space="preserve">Free-text eligibility criteria are assessed individually. The result cites</w:t>
      </w:r>
      <w:r>
        <w:t xml:space="preserve"> </w:t>
      </w:r>
      <w:r>
        <w:t xml:space="preserve">the exact patient evidence used and remains subject to human verification.</w:t>
      </w:r>
    </w:p>
    <w:p>
      <w:pPr>
        <w:pStyle w:val="FirstParagraph"/>
      </w:pPr>
      <w:r>
        <w:rPr>
          <w:rStyle w:val="VerbatimChar"/>
        </w:rPr>
        <w:t xml:space="preserve">MEETS</w:t>
      </w:r>
      <w:r>
        <w:t xml:space="preserve"> </w:t>
      </w:r>
      <w:r>
        <w:t xml:space="preserve">describes only that individual criterion. It is not an overall patient</w:t>
      </w:r>
      <w:r>
        <w:t xml:space="preserve"> </w:t>
      </w:r>
      <w:r>
        <w:t xml:space="preserve">eligibility decision.</w:t>
      </w:r>
    </w:p>
    <w:bookmarkEnd w:id="30"/>
    <w:bookmarkStart w:id="31" w:name="X18122dc40cfda2e2bbcf4c857b0ed701cf752aa"/>
    <w:p>
      <w:pPr>
        <w:pStyle w:val="Heading1"/>
      </w:pPr>
      <w:r>
        <w:t xml:space="preserve">9. Show an UNKNOWN criterion</w:t>
      </w:r>
    </w:p>
    <w:p>
      <w:pPr>
        <w:pStyle w:val="FirstParagraph"/>
      </w:pPr>
      <w:r>
        <w:t xml:space="preserve">Continue within the same trial until an assessment marked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is visible.</w:t>
      </w:r>
      <w:r>
        <w:t xml:space="preserve"> </w:t>
      </w:r>
      <w:r>
        <w:t xml:space="preserve">There is no need to read the entire criterion.</w:t>
      </w:r>
    </w:p>
    <w:p>
      <w:pPr>
        <w:pStyle w:val="BodyText"/>
      </w:pPr>
      <w:r>
        <w:t xml:space="preserve">Suggested narration:</w:t>
      </w:r>
    </w:p>
    <w:p>
      <w:pPr>
        <w:pStyle w:val="BlockText"/>
      </w:pPr>
      <w:r>
        <w:t xml:space="preserve">Missing documentation stays UNKNOWN. The system does not use general medical</w:t>
      </w:r>
      <w:r>
        <w:t xml:space="preserve"> </w:t>
      </w:r>
      <w:r>
        <w:t xml:space="preserve">knowledge to invent patient facts.</w:t>
      </w:r>
    </w:p>
    <w:bookmarkEnd w:id="31"/>
    <w:bookmarkStart w:id="32" w:name="Xe80d73d6358c1ec3132c05f105d364c136be05b"/>
    <w:p>
      <w:pPr>
        <w:pStyle w:val="Heading1"/>
      </w:pPr>
      <w:r>
        <w:t xml:space="preserve">10. Show prompt-injection defense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Safety &amp; Trace</w:t>
      </w:r>
      <w:r>
        <w:t xml:space="preserve"> </w:t>
      </w:r>
      <w:r>
        <w:t xml:space="preserve">and find the green message:</w:t>
      </w:r>
    </w:p>
    <w:p>
      <w:pPr>
        <w:pStyle w:val="SourceCode"/>
      </w:pPr>
      <w:r>
        <w:rPr>
          <w:rStyle w:val="VerbatimChar"/>
        </w:rPr>
        <w:t xml:space="preserve">Prompt-injection test passed: source instruction was treated as untrusted data.</w:t>
      </w:r>
    </w:p>
    <w:p>
      <w:pPr>
        <w:pStyle w:val="FirstParagraph"/>
      </w:pPr>
      <w:r>
        <w:t xml:space="preserve">Suggested narration:</w:t>
      </w:r>
    </w:p>
    <w:p>
      <w:pPr>
        <w:pStyle w:val="BlockText"/>
      </w:pPr>
      <w:r>
        <w:t xml:space="preserve">One synthetic source document contains an instruction telling the system to</w:t>
      </w:r>
      <w:r>
        <w:t xml:space="preserve"> </w:t>
      </w:r>
      <w:r>
        <w:t xml:space="preserve">ignore the criteria and mark the patient eligible. The application treats</w:t>
      </w:r>
      <w:r>
        <w:t xml:space="preserve"> </w:t>
      </w:r>
      <w:r>
        <w:t xml:space="preserve">that sentence as untrusted document content, so it cannot control the</w:t>
      </w:r>
      <w:r>
        <w:t xml:space="preserve"> </w:t>
      </w:r>
      <w:r>
        <w:t xml:space="preserve">workflow.</w:t>
      </w:r>
    </w:p>
    <w:bookmarkEnd w:id="32"/>
    <w:bookmarkStart w:id="33" w:name="Xbfd007c56fb86243536d94ac891e7d1b12f645a"/>
    <w:p>
      <w:pPr>
        <w:pStyle w:val="Heading1"/>
      </w:pPr>
      <w:r>
        <w:t xml:space="preserve">11. Show the workflow trace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Safety &amp; Trace</w:t>
      </w:r>
      <w:r>
        <w:t xml:space="preserve">, show the trace table. It contains these 12 steps: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ingest_documents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extract_evidence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verify_quotes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detect_conflicts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build_patient_query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retrieve_trials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rerank_trials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load_trial_criteria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check_structured_rules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assess_criteria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safety_review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prepare_human_review</w:t>
      </w:r>
    </w:p>
    <w:p>
      <w:pPr>
        <w:pStyle w:val="FirstParagraph"/>
      </w:pPr>
      <w:r>
        <w:t xml:space="preserve">Point out the status, latency, input/output counts, LLM-call count, and model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Suggested narration:</w:t>
      </w:r>
    </w:p>
    <w:p>
      <w:pPr>
        <w:pStyle w:val="BlockText"/>
      </w:pPr>
      <w:r>
        <w:t xml:space="preserve">Every workflow stage records its status, latency, input and output counts,</w:t>
      </w:r>
      <w:r>
        <w:t xml:space="preserve"> </w:t>
      </w:r>
      <w:r>
        <w:t xml:space="preserve">and model usage, making the result auditable.</w:t>
      </w:r>
    </w:p>
    <w:bookmarkEnd w:id="33"/>
    <w:bookmarkStart w:id="34" w:name="X9abcdb47f0d58c2aa9bb7cb28a2ca2f70ed053f"/>
    <w:p>
      <w:pPr>
        <w:pStyle w:val="Heading1"/>
      </w:pPr>
      <w:r>
        <w:t xml:space="preserve">12. Finish on the disclaimer</w:t>
      </w:r>
    </w:p>
    <w:p>
      <w:pPr>
        <w:pStyle w:val="FirstParagraph"/>
      </w:pPr>
      <w:r>
        <w:t xml:space="preserve">Show the visible disclaimer:</w:t>
      </w:r>
    </w:p>
    <w:p>
      <w:pPr>
        <w:pStyle w:val="SourceCode"/>
      </w:pPr>
      <w:r>
        <w:rPr>
          <w:rStyle w:val="VerbatimChar"/>
        </w:rPr>
        <w:t xml:space="preserve">AI-assisted prescreening only.</w:t>
      </w:r>
      <w:r>
        <w:br/>
      </w:r>
      <w:r>
        <w:rPr>
          <w:rStyle w:val="VerbatimChar"/>
        </w:rPr>
        <w:t xml:space="preserve">This system does not determine final clinical-trial eligibility.</w:t>
      </w:r>
      <w:r>
        <w:br/>
      </w:r>
      <w:r>
        <w:rPr>
          <w:rStyle w:val="VerbatimChar"/>
        </w:rPr>
        <w:t xml:space="preserve">Research staff must verify source records and trial criteria.</w:t>
      </w:r>
    </w:p>
    <w:p>
      <w:pPr>
        <w:pStyle w:val="FirstParagraph"/>
      </w:pPr>
      <w:r>
        <w:t xml:space="preserve">Closing narration:</w:t>
      </w:r>
    </w:p>
    <w:p>
      <w:pPr>
        <w:pStyle w:val="BlockText"/>
      </w:pPr>
      <w:r>
        <w:t xml:space="preserve">TrialMatch AI retrieves candidate trials and organizes source-supported</w:t>
      </w:r>
      <w:r>
        <w:t xml:space="preserve"> </w:t>
      </w:r>
      <w:r>
        <w:t xml:space="preserve">evidence for research staff. It preserves missing information and conflicts,</w:t>
      </w:r>
      <w:r>
        <w:t xml:space="preserve"> </w:t>
      </w:r>
      <w:r>
        <w:t xml:space="preserve">while final eligibility remains with the study team.</w:t>
      </w:r>
    </w:p>
    <w:bookmarkEnd w:id="34"/>
    <w:bookmarkStart w:id="35" w:name="final-recording-checklist"/>
    <w:p>
      <w:pPr>
        <w:pStyle w:val="Heading1"/>
      </w:pPr>
      <w:r>
        <w:t xml:space="preserve">Final recording checklist</w:t>
      </w:r>
    </w:p>
    <w:p>
      <w:pPr>
        <w:pStyle w:val="FirstParagraph"/>
      </w:pPr>
      <w:r>
        <w:t xml:space="preserve">Before uploading, confirm all of the following:</w:t>
      </w:r>
    </w:p>
    <w:p>
      <w:pPr>
        <w:numPr>
          <w:ilvl w:val="0"/>
          <w:numId w:val="1008"/>
        </w:numPr>
        <w:pStyle w:val="Compact"/>
      </w:pPr>
      <w:r>
        <w:t xml:space="preserve">☐ The API key never appeared on screen.</w:t>
      </w:r>
    </w:p>
    <w:p>
      <w:pPr>
        <w:numPr>
          <w:ilvl w:val="0"/>
          <w:numId w:val="1008"/>
        </w:numPr>
        <w:pStyle w:val="Compact"/>
      </w:pPr>
      <w:r>
        <w:t xml:space="preserve">☐ ECOG 1 and ECOG 2 were both visible.</w:t>
      </w:r>
    </w:p>
    <w:p>
      <w:pPr>
        <w:numPr>
          <w:ilvl w:val="0"/>
          <w:numId w:val="1008"/>
        </w:numPr>
        <w:pStyle w:val="Compact"/>
      </w:pPr>
      <w:r>
        <w:t xml:space="preserve">☐ Prior KRAS G12C inhibitor history showed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At least one supporting source quote was expanded.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RULE-AGE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RULE-SEX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INC-01</w:t>
      </w:r>
      <w:r>
        <w:t xml:space="preserve"> </w:t>
      </w:r>
      <w:r>
        <w:t xml:space="preserve">were shown.</w:t>
      </w:r>
    </w:p>
    <w:p>
      <w:pPr>
        <w:numPr>
          <w:ilvl w:val="0"/>
          <w:numId w:val="1008"/>
        </w:numPr>
        <w:pStyle w:val="Compact"/>
      </w:pPr>
      <w:r>
        <w:t xml:space="preserve">☐ The prompt-injection defense result was visible.</w:t>
      </w:r>
    </w:p>
    <w:p>
      <w:pPr>
        <w:numPr>
          <w:ilvl w:val="0"/>
          <w:numId w:val="1008"/>
        </w:numPr>
        <w:pStyle w:val="Compact"/>
      </w:pPr>
      <w:r>
        <w:t xml:space="preserve">☐ The workflow trace was visible.</w:t>
      </w:r>
    </w:p>
    <w:p>
      <w:pPr>
        <w:numPr>
          <w:ilvl w:val="0"/>
          <w:numId w:val="1008"/>
        </w:numPr>
        <w:pStyle w:val="Compact"/>
      </w:pPr>
      <w:r>
        <w:t xml:space="preserve">☐ The human-review disclaimer was visible.</w:t>
      </w:r>
    </w:p>
    <w:p>
      <w:pPr>
        <w:numPr>
          <w:ilvl w:val="0"/>
          <w:numId w:val="1008"/>
        </w:numPr>
        <w:pStyle w:val="Compact"/>
      </w:pPr>
      <w:r>
        <w:t xml:space="preserve">☐ The patient was never described as definitively eligible or ineligible.</w:t>
      </w:r>
    </w:p>
    <w:p>
      <w:pPr>
        <w:numPr>
          <w:ilvl w:val="0"/>
          <w:numId w:val="1008"/>
        </w:numPr>
        <w:pStyle w:val="Compact"/>
      </w:pPr>
      <w:r>
        <w:t xml:space="preserve">☐ The exported video meets the competition's duration and file-format rules.</w:t>
      </w:r>
    </w:p>
    <w:p>
      <w:pPr>
        <w:numPr>
          <w:ilvl w:val="0"/>
          <w:numId w:val="1008"/>
        </w:numPr>
        <w:pStyle w:val="Compact"/>
      </w:pPr>
      <w:r>
        <w:t xml:space="preserve">☐ The uploaded video was played back successfully from the submission page.</w:t>
      </w:r>
    </w:p>
    <w:bookmarkEnd w:id="35"/>
    <w:sectPr w:rsidR="00FC693F" w:rsidRPr="0006063C" w:rsidSect="00034616">
      <w:pgSz w:h="15840" w:w="12240"/>
      <w:pgMar w:bottom="936" w:footer="720" w:gutter="0" w:header="720" w:left="1037" w:right="1037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F857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6323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127.0.0.1:85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127.0.0.1:85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2026-10-02T22:03:23Z</dcterms:created>
  <dcterms:modified xsi:type="dcterms:W3CDTF">2026-10-02T22:03:23Z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