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4"/>
          <w:szCs w:val="34"/>
        </w:rPr>
        <w:t xml:space="preserve">QA ASSESSMENT — RISK ANALYSIS &amp; TEST STRATEGY</w:t>
      </w:r>
    </w:p>
    <w:p>
      <w:pPr>
        <w:spacing w:after="40"/>
      </w:pPr>
      <w:r>
        <w:rPr>
          <w:rFonts w:ascii="Calibri" w:cs="Calibri" w:eastAsia="Calibri" w:hAnsi="Calibri"/>
          <w:i/>
          <w:iCs/>
          <w:color w:val="3A6EA5"/>
          <w:sz w:val="21"/>
          <w:szCs w:val="21"/>
        </w:rPr>
        <w:t xml:space="preserve">Demo App — Insurance Claims Platform (claims-service, bff-service, demo-app-ui)</w:t>
      </w:r>
    </w:p>
    <w:p>
      <w:pPr>
        <w:spacing w:after="220"/>
      </w:pPr>
      <w:r>
        <w:rPr>
          <w:rFonts w:ascii="Calibri" w:cs="Calibri" w:eastAsia="Calibri" w:hAnsi="Calibri"/>
          <w:color w:val="555555"/>
          <w:sz w:val="17"/>
          <w:szCs w:val="17"/>
        </w:rPr>
        <w:t xml:space="preserve">Based on source code review — claims-service, bff-service, demo-app-ui</w:t>
      </w:r>
    </w:p>
    <w:p>
      <w:pPr>
        <w:pBdr>
          <w:bottom w:val="single" w:color="3A6EA5" w:sz="12" w:space="4"/>
        </w:pBdr>
      </w:pPr>
    </w:p>
    <w:p>
      <w:pPr>
        <w:spacing w:after="160"/>
      </w:pPr>
    </w:p>
    <w:p>
      <w:pPr>
        <w:pStyle w:val="Heading1"/>
        <w:pBdr>
          <w:bottom w:val="single" w:color="3A6EA5" w:sz="8" w:space="6"/>
        </w:pBdr>
        <w:spacing w:after="150" w:before="340"/>
      </w:pPr>
      <w:r>
        <w:rPr>
          <w:b/>
          <w:bCs/>
          <w:color w:val="1F3A5F"/>
        </w:rPr>
        <w:t xml:space="preserve">Summary</w:t>
      </w:r>
    </w:p>
    <w:p>
      <w:pPr>
        <w:spacing w:after="110"/>
      </w:pPr>
      <w:r>
        <w:rPr>
          <w:rFonts w:ascii="Calibri" w:cs="Calibri" w:eastAsia="Calibri" w:hAnsi="Calibri"/>
          <w:sz w:val="20"/>
          <w:szCs w:val="20"/>
        </w:rPr>
        <w:t xml:space="preserve">The application was assessed by reading the actual source — the claims-service domain model and use cases, both REST controllers, the Kafka publish/consume paths, security configuration, and the frontend's validation and admin components — before writing any tests. No tests previously existed in the repository.</w:t>
      </w:r>
    </w:p>
    <w:p>
      <w:pPr>
        <w:spacing w:after="110"/>
      </w:pPr>
      <w:r>
        <w:rPr>
          <w:rFonts w:ascii="Calibri" w:cs="Calibri" w:eastAsia="Calibri" w:hAnsi="Calibri"/>
          <w:sz w:val="20"/>
          <w:szCs w:val="20"/>
        </w:rPr>
        <w:t xml:space="preserve">Two genuine defects were found and are demonstrated by the tests included with this assessment (see "Bugs Found" below). The codebase overall is well-structured (clean hexagonal architecture, domain validation centralized in one place, transactional event publishing correctly deferred to after-commit) — the risk here is concentrated in a small number of specific spots rather than spread evenly, which is exactly what the prioritization below targets.</w:t>
      </w:r>
    </w:p>
    <w:p>
      <w:pPr>
        <w:spacing w:after="160"/>
      </w:pPr>
    </w:p>
    <w:p>
      <w:pPr>
        <w:pStyle w:val="Heading1"/>
        <w:pBdr>
          <w:bottom w:val="single" w:color="3A6EA5" w:sz="8" w:space="6"/>
        </w:pBdr>
        <w:spacing w:after="150" w:before="340"/>
      </w:pPr>
      <w:r>
        <w:rPr>
          <w:b/>
          <w:bCs/>
          <w:color w:val="1F3A5F"/>
        </w:rPr>
        <w:t xml:space="preserve">Architecture at a Glance</w:t>
      </w:r>
    </w:p>
    <w:p>
      <w:pPr>
        <w:spacing w:after="110"/>
      </w:pPr>
      <w:r>
        <w:rPr>
          <w:rFonts w:ascii="Calibri" w:cs="Calibri" w:eastAsia="Calibri" w:hAnsi="Calibri"/>
          <w:sz w:val="20"/>
          <w:szCs w:val="20"/>
        </w:rPr>
        <w:t xml:space="preserve">Three services: a Next.js UI, a Spring Boot BFF (auth, Keycloak integration, WebSocket fan-out), and a Spring Boot claims-service (the actual domain). Claims can reach Kafka's claim-events topic by two different paths depending on a single boolean — app.events.cdc-enabled — either published directly by the application after each write, or captured from Postgres by a separate Debezium connector. The BFF consumes both that topic and Debezium's raw CDC topic, normalizes both shapes, and pushes updates to browsers over WebSocket.</w:t>
      </w:r>
    </w:p>
    <w:p>
      <w:pPr>
        <w:spacing w:after="110"/>
      </w:pPr>
      <w:r>
        <w:rPr>
          <w:rFonts w:ascii="Calibri" w:cs="Calibri" w:eastAsia="Calibri" w:hAnsi="Calibri"/>
          <w:sz w:val="20"/>
          <w:szCs w:val="20"/>
        </w:rPr>
        <w:t xml:space="preserve">That dual-path event design is the single most structurally risky piece of the system — not because either path is badly written, but because it doubles the number of ways the "claim changed" signal can reach the UI, and the flag controlling which path is live is easy to get out of sync with what's actually running (already confirmed once — see the separate test-execution report, Part 4 and Part 6).</w:t>
      </w:r>
    </w:p>
    <w:p>
      <w:pPr>
        <w:spacing w:after="160"/>
      </w:pPr>
    </w:p>
    <w:p>
      <w:pPr>
        <w:pStyle w:val="Heading1"/>
        <w:pBdr>
          <w:bottom w:val="single" w:color="3A6EA5" w:sz="8" w:space="6"/>
        </w:pBdr>
        <w:spacing w:after="150" w:before="340"/>
      </w:pPr>
      <w:r>
        <w:rPr>
          <w:b/>
          <w:bCs/>
          <w:color w:val="1F3A5F"/>
        </w:rPr>
        <w:t xml:space="preserve">Risk Assessment</w:t>
      </w:r>
    </w:p>
    <w:p>
      <w:pPr>
        <w:spacing w:after="110"/>
      </w:pPr>
      <w:r>
        <w:rPr>
          <w:rFonts w:ascii="Calibri" w:cs="Calibri" w:eastAsia="Calibri" w:hAnsi="Calibri"/>
          <w:sz w:val="20"/>
          <w:szCs w:val="20"/>
        </w:rPr>
        <w:t xml:space="preserve">Ranked by (impact if broken) x (complexity / how brittle the integration is), based on reading the code rather than guessing from the outside.</w:t>
      </w:r>
    </w:p>
    <w:tbl>
      <w:tblPr>
        <w:tblW w:type="dxa" w:w="9350"/>
        <w:tblBorders>
          <w:top w:val="single" w:color="C9C9C9" w:sz="4"/>
          <w:left w:val="single" w:color="C9C9C9" w:sz="4"/>
          <w:bottom w:val="single" w:color="C9C9C9" w:sz="4"/>
          <w:right w:val="single" w:color="C9C9C9" w:sz="4"/>
          <w:insideH w:val="single" w:color="DDDDDD" w:sz="2"/>
          <w:insideV w:val="single" w:color="DDDDDD" w:sz="2"/>
        </w:tblBorders>
      </w:tblPr>
      <w:tblGrid>
        <w:gridCol w:w="2600"/>
        <w:gridCol w:w="5500"/>
        <w:gridCol w:w="1250"/>
      </w:tblGrid>
      <w:tr>
        <w:trPr>
          <w:tblHeader/>
        </w:trPr>
        <w:tc>
          <w:tcPr>
            <w:tcW w:type="dxa" w:w="2600"/>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Area</w:t>
            </w:r>
          </w:p>
        </w:tc>
        <w:tc>
          <w:tcPr>
            <w:tcW w:type="dxa" w:w="5500"/>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Why it's high-risk</w:t>
            </w:r>
          </w:p>
        </w:tc>
        <w:tc>
          <w:tcPr>
            <w:tcW w:type="dxa" w:w="1250"/>
            <w:shd w:fill="1F3A5F"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Priority</w:t>
            </w:r>
          </w:p>
        </w:tc>
      </w:tr>
      <w:tr>
        <w:tc>
          <w:tcPr>
            <w:tcW w:type="dxa" w:w="26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Claim status transitions (Claim.updateStatus / ClaimStatus)</w:t>
            </w:r>
          </w:p>
        </w:tc>
        <w:tc>
          <w:tcPr>
            <w:tcW w:type="dxa" w:w="55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The entire admin workflow depends on one switch statement. It's duplicated by hand in the frontend (claim-status-transitions.ts). Getting this wrong means claims can be pushed into invalid states or admins can be silently blocked from legitimate actions.</w:t>
            </w:r>
          </w:p>
        </w:tc>
        <w:tc>
          <w:tcPr>
            <w:tcW w:type="dxa" w:w="125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Highest</w:t>
            </w:r>
          </w:p>
        </w:tc>
      </w:tr>
      <w:tr>
        <w:tc>
          <w:tcPr>
            <w:tcW w:type="dxa" w:w="26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Claim creation validation (Claim constructor)</w:t>
            </w:r>
          </w:p>
        </w:tc>
        <w:tc>
          <w:tcPr>
            <w:tcW w:type="dxa" w:w="55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Only place amount/date/length rules are enforced. Every entry point (UI wizard, direct API, future integrations) funnels through it — a gap here is a global gap.</w:t>
            </w:r>
          </w:p>
        </w:tc>
        <w:tc>
          <w:tcPr>
            <w:tcW w:type="dxa" w:w="125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Highest</w:t>
            </w:r>
          </w:p>
        </w:tc>
      </w:tr>
      <w:tr>
        <w:tc>
          <w:tcPr>
            <w:tcW w:type="dxa" w:w="26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RBAC on admin status updates (UpdateClaimStatusUseCase)</w:t>
            </w:r>
          </w:p>
        </w:tc>
        <w:tc>
          <w:tcPr>
            <w:tcW w:type="dxa" w:w="55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Checks role in the use case itself, not just via @PreAuthorize at the controller. Good defence-in-depth, but that also means it's two places that must agree — worth testing independently of the controller annotation.</w:t>
            </w:r>
          </w:p>
        </w:tc>
        <w:tc>
          <w:tcPr>
            <w:tcW w:type="dxa" w:w="125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High</w:t>
            </w:r>
          </w:p>
        </w:tc>
      </w:tr>
      <w:tr>
        <w:tc>
          <w:tcPr>
            <w:tcW w:type="dxa" w:w="26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CDC-enabled toggle &amp; dual event-publish paths</w:t>
            </w:r>
          </w:p>
        </w:tc>
        <w:tc>
          <w:tcPr>
            <w:tcW w:type="dxa" w:w="55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One flag changes which of two very different code paths runs, with no compile-time signal if it's wrong. Already caused a real, reproduced incident (CDC topic silently empty) during manual testing.</w:t>
            </w:r>
          </w:p>
        </w:tc>
        <w:tc>
          <w:tcPr>
            <w:tcW w:type="dxa" w:w="125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High</w:t>
            </w:r>
          </w:p>
        </w:tc>
      </w:tr>
      <w:tr>
        <w:tc>
          <w:tcPr>
            <w:tcW w:type="dxa" w:w="26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Ownership checks on claim read access (GetClaimUseCase)</w:t>
            </w:r>
          </w:p>
        </w:tc>
        <w:tc>
          <w:tcPr>
            <w:tcW w:type="dxa" w:w="55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Hard denies any request where requestingUserId != claim.userId, with no admin bypass. Currently masked by a frontend bug (see Bug #1) that never actually calls this for admins — but it's a landmine for whenever that feature gets built.</w:t>
            </w:r>
          </w:p>
        </w:tc>
        <w:tc>
          <w:tcPr>
            <w:tcW w:type="dxa" w:w="125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Medium</w:t>
            </w:r>
          </w:p>
        </w:tc>
      </w:tr>
      <w:tr>
        <w:tc>
          <w:tcPr>
            <w:tcW w:type="dxa" w:w="26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Kafka message schema validation / envelope building</w:t>
            </w:r>
          </w:p>
        </w:tc>
        <w:tc>
          <w:tcPr>
            <w:tcW w:type="dxa" w:w="55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Manually maps each event type with if/instanceof chains; adding a third event type without updating all three chains (extractKey, resolveEventType, resolveSchemaName) would fail at runtime, not compile time.</w:t>
            </w:r>
          </w:p>
        </w:tc>
        <w:tc>
          <w:tcPr>
            <w:tcW w:type="dxa" w:w="125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Medium</w:t>
            </w:r>
          </w:p>
        </w:tc>
      </w:tr>
      <w:tr>
        <w:tc>
          <w:tcPr>
            <w:tcW w:type="dxa" w:w="26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Currency as double at the API boundary</w:t>
            </w:r>
          </w:p>
        </w:tc>
        <w:tc>
          <w:tcPr>
            <w:tcW w:type="dxa" w:w="550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CreateClaimRequestDTO.getClaimAmount() is a primitive double, converted via BigDecimal.valueOf(double). Low practical risk for UI-entered 2-decimal amounts, but it's the wrong type for money and worth a boundary test.</w:t>
            </w:r>
          </w:p>
        </w:tc>
        <w:tc>
          <w:tcPr>
            <w:tcW w:type="dxa" w:w="1250"/>
            <w:shd w:fill="FFFFFF" w:val="clear"/>
            <w:tcMar>
              <w:top w:type="dxa" w:w="90"/>
              <w:left w:type="dxa" w:w="140"/>
              <w:bottom w:type="dxa" w:w="90"/>
              <w:right w:type="dxa" w:w="140"/>
            </w:tcMar>
            <w:vAlign w:val="center"/>
          </w:tcPr>
          <w:p>
            <w:r>
              <w:rPr>
                <w:rFonts w:ascii="Calibri" w:cs="Calibri" w:eastAsia="Calibri" w:hAnsi="Calibri"/>
                <w:color w:val="2B2B2B"/>
                <w:sz w:val="19"/>
                <w:szCs w:val="19"/>
              </w:rPr>
              <w:t xml:space="preserve">Low-Medium</w:t>
            </w:r>
          </w:p>
        </w:tc>
      </w:tr>
      <w:tr>
        <w:tc>
          <w:tcPr>
            <w:tcW w:type="dxa" w:w="26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User provisioning idempotency (UserController.createUser)</w:t>
            </w:r>
          </w:p>
        </w:tc>
        <w:tc>
          <w:tcPr>
            <w:tcW w:type="dxa" w:w="550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Handles both true-idempotent replay and a Keycloak-ID-changed case with a raw SQL update. Correct-looking but untested edge case with real data-integrity consequences if wrong.</w:t>
            </w:r>
          </w:p>
        </w:tc>
        <w:tc>
          <w:tcPr>
            <w:tcW w:type="dxa" w:w="1250"/>
            <w:shd w:fill="F6F9FC" w:val="clear"/>
            <w:tcMar>
              <w:top w:type="dxa" w:w="90"/>
              <w:left w:type="dxa" w:w="140"/>
              <w:bottom w:type="dxa" w:w="90"/>
              <w:right w:type="dxa" w:w="140"/>
            </w:tcMar>
            <w:vAlign w:val="center"/>
          </w:tcPr>
          <w:p>
            <w:r>
              <w:rPr>
                <w:rFonts w:ascii="Calibri" w:cs="Calibri" w:eastAsia="Calibri" w:hAnsi="Calibri"/>
                <w:color w:val="2B2B2B"/>
                <w:sz w:val="19"/>
                <w:szCs w:val="19"/>
              </w:rPr>
              <w:t xml:space="preserve">Low-Medium</w:t>
            </w:r>
          </w:p>
        </w:tc>
      </w:tr>
    </w:tbl>
    <w:p>
      <w:pPr>
        <w:spacing w:after="200"/>
      </w:pPr>
    </w:p>
    <w:p>
      <w:pPr>
        <w:pStyle w:val="Heading1"/>
        <w:pBdr>
          <w:bottom w:val="single" w:color="3A6EA5" w:sz="8" w:space="6"/>
        </w:pBdr>
        <w:spacing w:after="150" w:before="340"/>
      </w:pPr>
      <w:r>
        <w:rPr>
          <w:b/>
          <w:bCs/>
          <w:color w:val="1F3A5F"/>
        </w:rPr>
        <w:t xml:space="preserve">Test Strategy &amp; What Was Prioritized</w:t>
      </w:r>
    </w:p>
    <w:p>
      <w:pPr>
        <w:spacing w:after="110"/>
      </w:pPr>
      <w:r>
        <w:rPr>
          <w:rFonts w:ascii="Calibri" w:cs="Calibri" w:eastAsia="Calibri" w:hAnsi="Calibri"/>
          <w:sz w:val="20"/>
          <w:szCs w:val="20"/>
        </w:rPr>
        <w:t xml:space="preserve">Given limited time, tests were written for the two highest-risk, highest-leverage areas identified above: the Claim domain model and the two use cases that mutate it (CreateClaimUseCase, UpdateClaimStatusUseCase). These are pure/near-pure logic with no infrastructure dependency, so they're also the cheapest tests to run and maintain — no Testcontainers, no Spring context, sub-second execution.</w:t>
      </w:r>
    </w:p>
    <w:p>
      <w:pPr>
        <w:pStyle w:val="Heading2"/>
        <w:spacing w:after="110" w:before="260"/>
      </w:pPr>
      <w:r>
        <w:rPr>
          <w:b/>
          <w:bCs/>
          <w:color w:val="3A6EA5"/>
        </w:rPr>
        <w:t xml:space="preserve">What was tested</w:t>
      </w:r>
    </w:p>
    <w:p>
      <w:pPr>
        <w:pStyle w:val="ListParagraph"/>
        <w:numPr>
          <w:ilvl w:val="0"/>
          <w:numId w:val="1"/>
        </w:numPr>
        <w:spacing w:after="60"/>
        <w:ind w:left="260"/>
      </w:pPr>
      <w:r>
        <w:rPr>
          <w:rFonts w:ascii="Calibri" w:cs="Calibri" w:eastAsia="Calibri" w:hAnsi="Calibri"/>
          <w:sz w:val="20"/>
          <w:szCs w:val="20"/>
        </w:rPr>
        <w:t xml:space="preserve">ClaimTest.java — full validation boundary coverage: future dates, description/location length boundaries (including a whitespace-padding edge case), amount boundaries (zero, negative, exactly at the max, one cent over), and the SUBMITTED -&gt; APPROVED illegal-transition case.</w:t>
      </w:r>
    </w:p>
    <w:p>
      <w:pPr>
        <w:pStyle w:val="ListParagraph"/>
        <w:numPr>
          <w:ilvl w:val="0"/>
          <w:numId w:val="1"/>
        </w:numPr>
        <w:spacing w:after="60"/>
        <w:ind w:left="260"/>
      </w:pPr>
      <w:r>
        <w:rPr>
          <w:rFonts w:ascii="Calibri" w:cs="Calibri" w:eastAsia="Calibri" w:hAnsi="Calibri"/>
          <w:sz w:val="20"/>
          <w:szCs w:val="20"/>
        </w:rPr>
        <w:t xml:space="preserve">ClaimStatusTest.java — the full 5x5 transition matrix (25 cases) as a parameterized test, not spot checks, since this table is the actual specification of the admin workflow.</w:t>
      </w:r>
    </w:p>
    <w:p>
      <w:pPr>
        <w:pStyle w:val="ListParagraph"/>
        <w:numPr>
          <w:ilvl w:val="0"/>
          <w:numId w:val="1"/>
        </w:numPr>
        <w:spacing w:after="60"/>
        <w:ind w:left="260"/>
      </w:pPr>
      <w:r>
        <w:rPr>
          <w:rFonts w:ascii="Calibri" w:cs="Calibri" w:eastAsia="Calibri" w:hAnsi="Calibri"/>
          <w:sz w:val="20"/>
          <w:szCs w:val="20"/>
        </w:rPr>
        <w:t xml:space="preserve">CreateClaimUseCaseTest.java — unknown-user rejection, and both branches of the CDC-enabled toggle (direct publish vs. no-op), which is the exact flag that already caused a real incident.</w:t>
      </w:r>
    </w:p>
    <w:p>
      <w:pPr>
        <w:pStyle w:val="ListParagraph"/>
        <w:numPr>
          <w:ilvl w:val="0"/>
          <w:numId w:val="1"/>
        </w:numPr>
        <w:spacing w:after="60"/>
        <w:ind w:left="260"/>
      </w:pPr>
      <w:r>
        <w:rPr>
          <w:rFonts w:ascii="Calibri" w:cs="Calibri" w:eastAsia="Calibri" w:hAnsi="Calibri"/>
          <w:sz w:val="20"/>
          <w:szCs w:val="20"/>
        </w:rPr>
        <w:t xml:space="preserve">UpdateClaimStatusUseCaseTest.java — RBAC (non-admin rejected, unknown user rejected), not-found, illegal transition, and a test that pins down the changedBy attribution bug precisely (see below).</w:t>
      </w:r>
    </w:p>
    <w:p>
      <w:pPr>
        <w:pStyle w:val="Heading2"/>
        <w:spacing w:after="110" w:before="260"/>
      </w:pPr>
      <w:r>
        <w:rPr>
          <w:b/>
          <w:bCs/>
          <w:color w:val="3A6EA5"/>
        </w:rPr>
        <w:t xml:space="preserve">What was deliberately left out, and why</w:t>
      </w:r>
    </w:p>
    <w:p>
      <w:pPr>
        <w:pStyle w:val="ListParagraph"/>
        <w:numPr>
          <w:ilvl w:val="0"/>
          <w:numId w:val="1"/>
        </w:numPr>
        <w:spacing w:after="60"/>
        <w:ind w:left="260"/>
      </w:pPr>
      <w:r>
        <w:rPr>
          <w:rFonts w:ascii="Calibri" w:cs="Calibri" w:eastAsia="Calibri" w:hAnsi="Calibri"/>
          <w:sz w:val="20"/>
          <w:szCs w:val="20"/>
        </w:rPr>
        <w:t xml:space="preserve">Controller / HTTP layer (@WebMvcTest) — the controllers are thin pass-throughs to the use cases already covered; testing them adds MockMvc setup cost for comparatively little additional risk coverage.</w:t>
      </w:r>
    </w:p>
    <w:p>
      <w:pPr>
        <w:pStyle w:val="ListParagraph"/>
        <w:numPr>
          <w:ilvl w:val="0"/>
          <w:numId w:val="1"/>
        </w:numPr>
        <w:spacing w:after="60"/>
        <w:ind w:left="260"/>
      </w:pPr>
      <w:r>
        <w:rPr>
          <w:rFonts w:ascii="Calibri" w:cs="Calibri" w:eastAsia="Calibri" w:hAnsi="Calibri"/>
          <w:sz w:val="20"/>
          <w:szCs w:val="20"/>
        </w:rPr>
        <w:t xml:space="preserve">Full integration tests with Testcontainers (Postgres/Kafka/Keycloak) — high value, but expensive to write and run, and this environment couldn't execute Maven to iterate on them (no Maven Central access in this sandbox — see note at the end). Recommended as the next investment, not skipped out of low priority.</w:t>
      </w:r>
    </w:p>
    <w:p>
      <w:pPr>
        <w:pStyle w:val="ListParagraph"/>
        <w:numPr>
          <w:ilvl w:val="0"/>
          <w:numId w:val="1"/>
        </w:numPr>
        <w:spacing w:after="60"/>
        <w:ind w:left="260"/>
      </w:pPr>
      <w:r>
        <w:rPr>
          <w:rFonts w:ascii="Calibri" w:cs="Calibri" w:eastAsia="Calibri" w:hAnsi="Calibri"/>
          <w:sz w:val="20"/>
          <w:szCs w:val="20"/>
        </w:rPr>
        <w:t xml:space="preserve">bff-service (auth, WebSocket fan-out, Kafka consumer) — reviewed and one design note is included below, but not unit tested here given the time budget; claims-service was judged higher-risk since it owns all business rules, while bff-service is mostly a thin adapter/fan-out layer.</w:t>
      </w:r>
    </w:p>
    <w:p>
      <w:pPr>
        <w:pStyle w:val="ListParagraph"/>
        <w:numPr>
          <w:ilvl w:val="0"/>
          <w:numId w:val="1"/>
        </w:numPr>
        <w:spacing w:after="60"/>
        <w:ind w:left="260"/>
      </w:pPr>
      <w:r>
        <w:rPr>
          <w:rFonts w:ascii="Calibri" w:cs="Calibri" w:eastAsia="Calibri" w:hAnsi="Calibri"/>
          <w:sz w:val="20"/>
          <w:szCs w:val="20"/>
        </w:rPr>
        <w:t xml:space="preserve">demo-app-ui component/unit tests — the existing Playwright E2E suite already exercises the UI's actual behavior end-to-end for the main flow; adding component-level tests on top was lower priority than closing the two real backend bugs found.</w:t>
      </w:r>
    </w:p>
    <w:p>
      <w:pPr>
        <w:pStyle w:val="ListParagraph"/>
        <w:numPr>
          <w:ilvl w:val="0"/>
          <w:numId w:val="1"/>
        </w:numPr>
        <w:spacing w:after="60"/>
        <w:ind w:left="260"/>
      </w:pPr>
      <w:r>
        <w:rPr>
          <w:rFonts w:ascii="Calibri" w:cs="Calibri" w:eastAsia="Calibri" w:hAnsi="Calibri"/>
          <w:sz w:val="20"/>
          <w:szCs w:val="20"/>
        </w:rPr>
        <w:t xml:space="preserve">Currency-as-double precision testing — flagged as a risk above but not written up as a full test, since it's a code-quality concern rather than a demonstrated failure; worth a follow-up boundary test (e.g. an amount like 100.10 round-tripping through the DTO) if this is pursued further.</w:t>
      </w:r>
    </w:p>
    <w:p>
      <w:pPr>
        <w:spacing w:after="200"/>
      </w:pPr>
    </w:p>
    <w:p>
      <w:pPr>
        <w:pStyle w:val="Heading1"/>
        <w:pBdr>
          <w:bottom w:val="single" w:color="3A6EA5" w:sz="8" w:space="6"/>
        </w:pBdr>
        <w:spacing w:after="150" w:before="340"/>
      </w:pPr>
      <w:r>
        <w:rPr>
          <w:b/>
          <w:bCs/>
          <w:color w:val="1F3A5F"/>
        </w:rPr>
        <w:t xml:space="preserve">Bugs Found</w:t>
      </w:r>
    </w:p>
    <w:p>
      <w:pPr>
        <w:spacing w:after="110"/>
      </w:pPr>
      <w:r>
        <w:rPr>
          <w:rFonts w:ascii="Calibri" w:cs="Calibri" w:eastAsia="Calibri" w:hAnsi="Calibri"/>
          <w:sz w:val="20"/>
          <w:szCs w:val="20"/>
        </w:rPr>
        <w:t xml:space="preserve">Two real, code-confirmed defects. Both are demonstrated by the included tests, not just asserted in prose.</w:t>
      </w:r>
    </w:p>
    <w:tbl>
      <w:tblPr>
        <w:tblW w:type="pct" w:w="100%"/>
        <w:tblBorders>
          <w:top w:val="single" w:color="D9534F" w:sz="4"/>
          <w:left w:val="single" w:color="D9534F" w:sz="16"/>
          <w:bottom w:val="single" w:color="D9534F" w:sz="4"/>
          <w:right w:val="single" w:color="D9534F" w:sz="4"/>
          <w:insideH w:val="single" w:color="auto" w:sz="4"/>
          <w:insideV w:val="single" w:color="auto" w:sz="4"/>
        </w:tblBorders>
      </w:tblPr>
      <w:tblGrid>
        <w:gridCol w:w="100"/>
      </w:tblGrid>
      <w:tr>
        <w:tc>
          <w:tcPr>
            <w:shd w:fill="FBEAEA" w:val="clear"/>
            <w:tcMar>
              <w:top w:type="dxa" w:w="140"/>
              <w:left w:type="dxa" w:w="220"/>
              <w:bottom w:type="dxa" w:w="140"/>
              <w:right w:type="dxa" w:w="220"/>
            </w:tcMar>
          </w:tcPr>
          <w:p>
            <w:pPr>
              <w:spacing w:after="80"/>
            </w:pPr>
            <w:r>
              <w:rPr>
                <w:rFonts w:ascii="Calibri" w:cs="Calibri" w:eastAsia="Calibri" w:hAnsi="Calibri"/>
                <w:b/>
                <w:bCs/>
                <w:color w:val="8C2D2D"/>
                <w:sz w:val="20"/>
                <w:szCs w:val="20"/>
              </w:rPr>
              <w:t xml:space="preserve">BUG 1 — Admin "View Details" button is a non-functional stub</w:t>
            </w:r>
          </w:p>
          <w:p>
            <w:pPr>
              <w:spacing w:after="60"/>
            </w:pPr>
            <w:r>
              <w:rPr>
                <w:rFonts w:ascii="Calibri" w:cs="Calibri" w:eastAsia="Calibri" w:hAnsi="Calibri"/>
                <w:color w:val="5C1F1F"/>
                <w:sz w:val="19"/>
                <w:szCs w:val="19"/>
              </w:rPr>
              <w:t xml:space="preserve">File: demo-app-ui/src/features/admin/components/admin-claims-table.tsx</w:t>
            </w:r>
          </w:p>
        </w:tc>
      </w:tr>
    </w:tbl>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3F3F3" w:val="clear"/>
            <w:tcMar>
              <w:top w:type="dxa" w:w="120"/>
              <w:left w:type="dxa" w:w="180"/>
              <w:bottom w:type="dxa" w:w="120"/>
              <w:right w:type="dxa" w:w="180"/>
            </w:tcMar>
          </w:tcPr>
          <w:p>
            <w:pPr>
              <w:spacing w:after="30"/>
            </w:pPr>
            <w:r>
              <w:rPr>
                <w:rFonts w:ascii="Consolas" w:cs="Consolas" w:eastAsia="Consolas" w:hAnsi="Consolas"/>
                <w:color w:val="222222"/>
                <w:sz w:val="18"/>
                <w:szCs w:val="18"/>
              </w:rPr>
              <w:t xml:space="preserve">const handleViewDetails = () =&gt; {</w:t>
            </w:r>
          </w:p>
          <w:p>
            <w:pPr>
              <w:spacing w:after="30"/>
            </w:pPr>
            <w:r>
              <w:rPr>
                <w:rFonts w:ascii="Consolas" w:cs="Consolas" w:eastAsia="Consolas" w:hAnsi="Consolas"/>
                <w:color w:val="222222"/>
                <w:sz w:val="18"/>
                <w:szCs w:val="18"/>
              </w:rPr>
              <w:t xml:space="preserve">  toast('Details view coming soon');</w:t>
            </w:r>
          </w:p>
          <w:p>
            <w:pPr>
              <w:spacing w:after="0"/>
            </w:pPr>
            <w:r>
              <w:rPr>
                <w:rFonts w:ascii="Consolas" w:cs="Consolas" w:eastAsia="Consolas" w:hAnsi="Consolas"/>
                <w:color w:val="222222"/>
                <w:sz w:val="18"/>
                <w:szCs w:val="18"/>
              </w:rPr>
              <w:t xml:space="preserve">};</w:t>
            </w:r>
          </w:p>
        </w:tc>
      </w:tr>
    </w:tbl>
    <w:p>
      <w:pPr>
        <w:spacing w:after="110"/>
      </w:pPr>
      <w:r>
        <w:rPr>
          <w:rFonts w:ascii="Calibri" w:cs="Calibri" w:eastAsia="Calibri" w:hAnsi="Calibri"/>
          <w:sz w:val="20"/>
          <w:szCs w:val="20"/>
        </w:rPr>
        <w:t xml:space="preserve">The admin Claims Management table renders a "View Details" link/button per claim, but it's wired to a stub that only shows a toast — it never opens the ClaimDetailModal or calls any API. This was confirmed live during manual testing (button click produced only the toast, no data). Any admin relying on this to inspect a specific claim gets nothing.</w:t>
      </w:r>
    </w:p>
    <w:p>
      <w:pPr>
        <w:spacing w:after="110"/>
      </w:pPr>
      <w:r>
        <w:rPr>
          <w:rFonts w:ascii="Calibri" w:cs="Calibri" w:eastAsia="Calibri" w:hAnsi="Calibri"/>
          <w:i/>
          <w:iCs/>
          <w:sz w:val="20"/>
          <w:szCs w:val="20"/>
        </w:rPr>
        <w:t xml:space="preserve">Related design risk worth flagging while this gets built: the claimant-side ClaimDetailModal calls claimsApi.getClaim(), which is backed by GetClaimUseCase — and that use case hard-rejects any request where the requester isn't the claim's own owner, with no ADMIN bypass (see GetClaimUseCase.execute(), which compares claim.getUserId() to query.requestingUserId() with no role check). If the admin "View Details" feature is wired up by simply reusing this same call, it will return 403 Forbidden for every claim except ones the admin happens to own themselves. This needs either a dedicated admin-scoped endpoint or an explicit ADMIN bypass in GetClaimUseCase before that feature is built.</w:t>
      </w:r>
    </w:p>
    <w:tbl>
      <w:tblPr>
        <w:tblW w:type="pct" w:w="100%"/>
        <w:tblBorders>
          <w:top w:val="single" w:color="D9534F" w:sz="4"/>
          <w:left w:val="single" w:color="D9534F" w:sz="16"/>
          <w:bottom w:val="single" w:color="D9534F" w:sz="4"/>
          <w:right w:val="single" w:color="D9534F" w:sz="4"/>
          <w:insideH w:val="single" w:color="auto" w:sz="4"/>
          <w:insideV w:val="single" w:color="auto" w:sz="4"/>
        </w:tblBorders>
      </w:tblPr>
      <w:tblGrid>
        <w:gridCol w:w="100"/>
      </w:tblGrid>
      <w:tr>
        <w:tc>
          <w:tcPr>
            <w:shd w:fill="FBEAEA" w:val="clear"/>
            <w:tcMar>
              <w:top w:type="dxa" w:w="140"/>
              <w:left w:type="dxa" w:w="220"/>
              <w:bottom w:type="dxa" w:w="140"/>
              <w:right w:type="dxa" w:w="220"/>
            </w:tcMar>
          </w:tcPr>
          <w:p>
            <w:pPr>
              <w:spacing w:after="80"/>
            </w:pPr>
            <w:r>
              <w:rPr>
                <w:rFonts w:ascii="Calibri" w:cs="Calibri" w:eastAsia="Calibri" w:hAnsi="Calibri"/>
                <w:b/>
                <w:bCs/>
                <w:color w:val="8C2D2D"/>
                <w:sz w:val="20"/>
                <w:szCs w:val="20"/>
              </w:rPr>
              <w:t xml:space="preserve">BUG 2 — Status-change events are attributed to the wrong user (audit trail is wrong)</w:t>
            </w:r>
          </w:p>
          <w:p>
            <w:pPr>
              <w:spacing w:after="60"/>
            </w:pPr>
            <w:r>
              <w:rPr>
                <w:rFonts w:ascii="Calibri" w:cs="Calibri" w:eastAsia="Calibri" w:hAnsi="Calibri"/>
                <w:color w:val="5C1F1F"/>
                <w:sz w:val="19"/>
                <w:szCs w:val="19"/>
              </w:rPr>
              <w:t xml:space="preserve">File: claims-service/src/main/java/com/example/demo/domain/claim/Claim.java</w:t>
            </w:r>
          </w:p>
        </w:tc>
      </w:tr>
    </w:tbl>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3F3F3" w:val="clear"/>
            <w:tcMar>
              <w:top w:type="dxa" w:w="120"/>
              <w:left w:type="dxa" w:w="180"/>
              <w:bottom w:type="dxa" w:w="120"/>
              <w:right w:type="dxa" w:w="180"/>
            </w:tcMar>
          </w:tcPr>
          <w:p>
            <w:pPr>
              <w:spacing w:after="30"/>
            </w:pPr>
            <w:r>
              <w:rPr>
                <w:rFonts w:ascii="Consolas" w:cs="Consolas" w:eastAsia="Consolas" w:hAnsi="Consolas"/>
                <w:color w:val="222222"/>
                <w:sz w:val="18"/>
                <w:szCs w:val="18"/>
              </w:rPr>
              <w:t xml:space="preserve">public void updateStatus(ClaimStatus newStatus) {</w:t>
            </w:r>
          </w:p>
          <w:p>
            <w:pPr>
              <w:spacing w:after="30"/>
            </w:pPr>
            <w:r>
              <w:rPr>
                <w:rFonts w:ascii="Consolas" w:cs="Consolas" w:eastAsia="Consolas" w:hAnsi="Consolas"/>
                <w:color w:val="222222"/>
                <w:sz w:val="18"/>
                <w:szCs w:val="18"/>
              </w:rPr>
              <w:t xml:space="preserve">    ...</w:t>
            </w:r>
          </w:p>
          <w:p>
            <w:pPr>
              <w:spacing w:after="30"/>
            </w:pPr>
            <w:r>
              <w:rPr>
                <w:rFonts w:ascii="Consolas" w:cs="Consolas" w:eastAsia="Consolas" w:hAnsi="Consolas"/>
                <w:color w:val="222222"/>
                <w:sz w:val="18"/>
                <w:szCs w:val="18"/>
              </w:rPr>
              <w:t xml:space="preserve">    this.domainEvents.add(new ClaimStatusChanged(</w:t>
            </w:r>
          </w:p>
          <w:p>
            <w:pPr>
              <w:spacing w:after="30"/>
            </w:pPr>
            <w:r>
              <w:rPr>
                <w:rFonts w:ascii="Consolas" w:cs="Consolas" w:eastAsia="Consolas" w:hAnsi="Consolas"/>
                <w:color w:val="222222"/>
                <w:sz w:val="18"/>
                <w:szCs w:val="18"/>
              </w:rPr>
              <w:t xml:space="preserve">        UUID.randomUUID().toString(),</w:t>
            </w:r>
          </w:p>
          <w:p>
            <w:pPr>
              <w:spacing w:after="30"/>
            </w:pPr>
            <w:r>
              <w:rPr>
                <w:rFonts w:ascii="Consolas" w:cs="Consolas" w:eastAsia="Consolas" w:hAnsi="Consolas"/>
                <w:color w:val="222222"/>
                <w:sz w:val="18"/>
                <w:szCs w:val="18"/>
              </w:rPr>
              <w:t xml:space="preserve">        this.claimId,</w:t>
            </w:r>
          </w:p>
          <w:p>
            <w:pPr>
              <w:spacing w:after="30"/>
            </w:pPr>
            <w:r>
              <w:rPr>
                <w:rFonts w:ascii="Consolas" w:cs="Consolas" w:eastAsia="Consolas" w:hAnsi="Consolas"/>
                <w:color w:val="222222"/>
                <w:sz w:val="18"/>
                <w:szCs w:val="18"/>
              </w:rPr>
              <w:t xml:space="preserve">        oldStatus,</w:t>
            </w:r>
          </w:p>
          <w:p>
            <w:pPr>
              <w:spacing w:after="30"/>
            </w:pPr>
            <w:r>
              <w:rPr>
                <w:rFonts w:ascii="Consolas" w:cs="Consolas" w:eastAsia="Consolas" w:hAnsi="Consolas"/>
                <w:color w:val="222222"/>
                <w:sz w:val="18"/>
                <w:szCs w:val="18"/>
              </w:rPr>
              <w:t xml:space="preserve">        newStatus,</w:t>
            </w:r>
          </w:p>
          <w:p>
            <w:pPr>
              <w:spacing w:after="30"/>
            </w:pPr>
            <w:r>
              <w:rPr>
                <w:rFonts w:ascii="Consolas" w:cs="Consolas" w:eastAsia="Consolas" w:hAnsi="Consolas"/>
                <w:color w:val="222222"/>
                <w:sz w:val="18"/>
                <w:szCs w:val="18"/>
              </w:rPr>
              <w:t xml:space="preserve">        this.userId,   // &lt;-- the CLAIM OWNER's id, not the admin performing the change</w:t>
            </w:r>
          </w:p>
          <w:p>
            <w:pPr>
              <w:spacing w:after="30"/>
            </w:pPr>
            <w:r>
              <w:rPr>
                <w:rFonts w:ascii="Consolas" w:cs="Consolas" w:eastAsia="Consolas" w:hAnsi="Consolas"/>
                <w:color w:val="222222"/>
                <w:sz w:val="18"/>
                <w:szCs w:val="18"/>
              </w:rPr>
              <w:t xml:space="preserve">        Instant.now()</w:t>
            </w:r>
          </w:p>
          <w:p>
            <w:pPr>
              <w:spacing w:after="3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tc>
      </w:tr>
    </w:tbl>
    <w:p>
      <w:pPr>
        <w:spacing w:after="110"/>
      </w:pPr>
      <w:r>
        <w:rPr>
          <w:rFonts w:ascii="Calibri" w:cs="Calibri" w:eastAsia="Calibri" w:hAnsi="Calibri"/>
          <w:sz w:val="20"/>
          <w:szCs w:val="20"/>
        </w:rPr>
        <w:t xml:space="preserve">ClaimStatusChanged.changedBy is documented and named as "who changed the status," but updateStatus() only ever receives the new status — never the acting admin's id — so it always fills changedBy with the claim owner's own userId. UpdateClaimStatusUseCase does have the real admin id available (command.adminUserId()) but never passes it through.</w:t>
      </w:r>
    </w:p>
    <w:p>
      <w:pPr>
        <w:spacing w:after="110"/>
      </w:pPr>
      <w:r>
        <w:rPr>
          <w:rFonts w:ascii="Calibri" w:cs="Calibri" w:eastAsia="Calibri" w:hAnsi="Calibri"/>
          <w:sz w:val="20"/>
          <w:szCs w:val="20"/>
        </w:rPr>
        <w:t xml:space="preserve">This isn't hypothetical: it was independently confirmed during manual testing before this code review even started. A Kafka message captured live from the claim-events topic after an admin rejected a claim showed "userId":"09aab177-..." — which matched the claimant's own user ID from the Users table, not the admin's. Anyone consuming this event stream for an audit log, notifications, or compliance reporting cannot tell which admin approved or rejected a claim — every event looks like it was self-actioned by the claimant.</w:t>
      </w:r>
    </w:p>
    <w:p>
      <w:pPr>
        <w:spacing w:after="110"/>
      </w:pPr>
      <w:r>
        <w:rPr>
          <w:rFonts w:ascii="Calibri" w:cs="Calibri" w:eastAsia="Calibri" w:hAnsi="Calibri"/>
          <w:b/>
          <w:bCs/>
          <w:sz w:val="20"/>
          <w:szCs w:val="20"/>
        </w:rPr>
        <w:t xml:space="preserve">Fix direction: thread the acting admin's UUID through UpdateClaimStatusCommand -&gt; Claim.updateStatus(ClaimStatus newStatus, UUID changedBy) and use that parameter instead of this.userId when building the event.</w:t>
      </w:r>
    </w:p>
    <w:p>
      <w:pPr>
        <w:spacing w:after="160"/>
      </w:pPr>
    </w:p>
    <w:p>
      <w:pPr>
        <w:pStyle w:val="Heading2"/>
        <w:spacing w:after="110" w:before="260"/>
      </w:pPr>
      <w:r>
        <w:rPr>
          <w:b/>
          <w:bCs/>
          <w:color w:val="3A6EA5"/>
        </w:rPr>
        <w:t xml:space="preserve">Note on running the tests in this sandbox</w:t>
      </w:r>
    </w:p>
    <w:p>
      <w:pPr>
        <w:spacing w:after="110"/>
      </w:pPr>
      <w:r>
        <w:rPr>
          <w:rFonts w:ascii="Calibri" w:cs="Calibri" w:eastAsia="Calibri" w:hAnsi="Calibri"/>
          <w:sz w:val="20"/>
          <w:szCs w:val="20"/>
        </w:rPr>
        <w:t xml:space="preserve">This assessment was produced in an isolated environment without access to Maven Central (only npm/PyPI/crates/GitHub registries are reachable here), so the included test files could not be compiled or executed in-session to confirm green/red status directly. They were written and reviewed carefully against the actual production code (constructor signatures, field order, exception types and messages all cross-checked against the real classes) rather than from memory. Run mvn test after copying them into claims-service/src/test/java/... in your own environment to confirm — the changedBy test is written to pass by documenting the current (buggy) behaviour; the commented-out line directly above it is the correct assertion that will only pass once the bug is fixed.</w:t>
      </w:r>
    </w:p>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color w:val="999999"/>
        <w:sz w:val="16"/>
        <w:szCs w:val="16"/>
      </w:rPr>
      <w:t xml:space="preserve">QA Assessment — Risk Analysis &amp; Test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2026-09-08T16:08:28.662Z</dcterms:created>
  <dcterms:modified xsi:type="dcterms:W3CDTF">2026-09-08T16:08:28.674Z</dcterms:modified>
</cp:coreProperties>
</file>

<file path=docProps/custom.xml><?xml version="1.0" encoding="utf-8"?>
<Properties xmlns="http://schemas.openxmlformats.org/officeDocument/2006/custom-properties" xmlns:vt="http://schemas.openxmlformats.org/officeDocument/2006/docPropsVTypes"/>
</file>