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8" w:space="2" w:color="0057D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6264"/>
      </w:tblGrid>
      <w:tr>
        <w:tc>
          <w:tcPr>
            <w:tcW w:type="dxa" w:w="5760"/>
            <w:shd w:fill="D9E2F3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360" w:after="360"/>
              <w:ind w:left="115"/>
            </w:pPr>
            <w:r>
              <w:rPr>
                <w:rFonts w:ascii="Calibri" w:hAnsi="Calibri"/>
                <w:color w:val="0B3978"/>
                <w:sz w:val="44"/>
              </w:rPr>
              <w:t>Raghav Dharani</w:t>
            </w:r>
          </w:p>
        </w:tc>
        <w:tc>
          <w:tcPr>
            <w:tcW w:type="dxa" w:w="5760"/>
            <w:shd w:fill="D9E2F3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260" w:after="240"/>
              <w:ind w:right="115"/>
              <w:jc w:val="right"/>
            </w:pPr>
            <w:r>
              <w:rPr>
                <w:rFonts w:ascii="Calibri" w:hAnsi="Calibri"/>
                <w:color w:val="000000"/>
                <w:sz w:val="17"/>
              </w:rPr>
              <w:t>New York, NY | 929-260-8138 | raghav.dr@gmail.com</w:t>
            </w:r>
            <w:r>
              <w:br/>
            </w:r>
            <w:r>
              <w:rPr>
                <w:rFonts w:ascii="Calibri" w:hAnsi="Calibri"/>
                <w:color w:val="000000"/>
                <w:sz w:val="17"/>
              </w:rPr>
              <w:t>linkedin.com/in/raghavdharani</w:t>
            </w:r>
            <w:r>
              <w:br/>
            </w:r>
            <w:r>
              <w:rPr>
                <w:rFonts w:ascii="Calibri" w:hAnsi="Calibri"/>
                <w:color w:val="000000"/>
                <w:sz w:val="16"/>
              </w:rPr>
              <w:t>Senior Product Manager | AI Automation &amp; B2B Workflow Platforms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-196" w:type="dxa"/>
      </w:tblPr>
      <w:tblGrid>
        <w:gridCol w:w="10008"/>
      </w:tblGrid>
      <w:tr>
        <w:tc>
          <w:tcPr>
            <w:tcW w:type="dxa" w:w="11520"/>
            <w:tcBorders>
              <w:top w:val="nil"/>
              <w:bottom w:val="nil"/>
              <w:left w:val="nil"/>
              <w:right w:val="nil"/>
            </w:tcBorders>
            <w:tcBorders>
              <w:bottom w:val="single" w:sz="8" w:color="0057D9"/>
            </w:tcBorders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0057D9"/>
                <w:sz w:val="19"/>
              </w:rPr>
              <w:t>PROFESSIONAL SUMMARY</w:t>
            </w:r>
          </w:p>
        </w:tc>
      </w:tr>
    </w:tbl>
    <w:p>
      <w:pPr>
        <w:spacing w:after="100" w:line="259" w:lineRule="auto"/>
        <w:ind w:left="596" w:right="792"/>
      </w:pPr>
      <w:r>
        <w:rPr>
          <w:rFonts w:ascii="Calibri" w:hAnsi="Calibri"/>
          <w:sz w:val="18"/>
        </w:rPr>
        <w:t>Senior Product Manager with 10+ years building enterprise SaaS, workflow automation, AI-enabled operational products, and integration-heavy B2B platforms across retail operations, claims workflows, intelligent automation, and financial-services-adjacent environments. Strongest in product areas where complex business processes need to become clear product strategy, measurable automation opportunities, development-ready requirements, and scalable customer-facing workflows.</w:t>
      </w:r>
    </w:p>
    <w:p>
      <w:pPr>
        <w:spacing w:after="100" w:line="259" w:lineRule="auto"/>
        <w:ind w:left="596" w:right="792"/>
      </w:pPr>
      <w:r>
        <w:rPr>
          <w:rFonts w:ascii="Calibri" w:hAnsi="Calibri"/>
          <w:sz w:val="18"/>
        </w:rPr>
        <w:t>Hands-on technical product leader who partners with engineering, data science, design, enterprise customers, and business stakeholders to define product direction, scope model-enabled workflows, shape feedback loops, and translate ambiguous operational needs into epics, user stories, acceptance criteria, prototypes, API assumptions, and launch-ready documentation.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-196" w:type="dxa"/>
      </w:tblPr>
      <w:tblGrid>
        <w:gridCol w:w="10008"/>
      </w:tblGrid>
      <w:tr>
        <w:tc>
          <w:tcPr>
            <w:tcW w:type="dxa" w:w="11520"/>
            <w:tcBorders>
              <w:top w:val="nil"/>
              <w:bottom w:val="nil"/>
              <w:left w:val="nil"/>
              <w:right w:val="nil"/>
            </w:tcBorders>
            <w:tcBorders>
              <w:bottom w:val="single" w:sz="8" w:color="0057D9"/>
            </w:tcBorders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0057D9"/>
                <w:sz w:val="19"/>
              </w:rPr>
              <w:t>CORE STRENGTHS</w:t>
            </w:r>
          </w:p>
        </w:tc>
      </w:tr>
    </w:tbl>
    <w:p>
      <w:pPr>
        <w:spacing w:after="56"/>
        <w:ind w:left="596" w:right="792"/>
      </w:pPr>
      <w:r>
        <w:rPr>
          <w:rFonts w:ascii="Calibri" w:hAnsi="Calibri"/>
          <w:b/>
          <w:color w:val="2F64D6"/>
          <w:sz w:val="18"/>
        </w:rPr>
        <w:t xml:space="preserve">Product &amp; Delivery: </w:t>
      </w:r>
      <w:r>
        <w:rPr>
          <w:rFonts w:ascii="Calibri" w:hAnsi="Calibri"/>
          <w:sz w:val="18"/>
        </w:rPr>
        <w:t>Technical Product Management | AI Product Strategy | Roadmap Ownership | PRDs | Epics &amp; User Stories | Customer Discovery | Launch Readiness</w:t>
      </w:r>
    </w:p>
    <w:p>
      <w:pPr>
        <w:spacing w:after="56"/>
        <w:ind w:left="596" w:right="792"/>
      </w:pPr>
      <w:r>
        <w:rPr>
          <w:rFonts w:ascii="Calibri" w:hAnsi="Calibri"/>
          <w:b/>
          <w:color w:val="2F64D6"/>
          <w:sz w:val="18"/>
        </w:rPr>
        <w:t xml:space="preserve">AI &amp; Technical: </w:t>
      </w:r>
      <w:r>
        <w:rPr>
          <w:rFonts w:ascii="Calibri" w:hAnsi="Calibri"/>
          <w:sz w:val="18"/>
        </w:rPr>
        <w:t>AI-Assisted Product Delivery | Intelligent Automation | ML-Enabled Recommendations | Human-in-the-Loop Workflows | REST APIs | Data &amp; Integration Workflows | Claude | Cursor</w:t>
      </w:r>
    </w:p>
    <w:p>
      <w:pPr>
        <w:spacing w:after="56"/>
        <w:ind w:left="596" w:right="792"/>
      </w:pPr>
      <w:r>
        <w:rPr>
          <w:rFonts w:ascii="Calibri" w:hAnsi="Calibri"/>
          <w:b/>
          <w:color w:val="2F64D6"/>
          <w:sz w:val="18"/>
        </w:rPr>
        <w:t xml:space="preserve">Domain &amp; UX: </w:t>
      </w:r>
      <w:r>
        <w:rPr>
          <w:rFonts w:ascii="Calibri" w:hAnsi="Calibri"/>
          <w:sz w:val="18"/>
        </w:rPr>
        <w:t>B2B SaaS | Financial Workflow Automation | Claims Workflows | Retail Operations | Workflow Simplification | Exception Management | Enterprise 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-196" w:type="dxa"/>
      </w:tblPr>
      <w:tblGrid>
        <w:gridCol w:w="10008"/>
      </w:tblGrid>
      <w:tr>
        <w:tc>
          <w:tcPr>
            <w:tcW w:type="dxa" w:w="11520"/>
            <w:tcBorders>
              <w:top w:val="nil"/>
              <w:bottom w:val="nil"/>
              <w:left w:val="nil"/>
              <w:right w:val="nil"/>
            </w:tcBorders>
            <w:tcBorders>
              <w:bottom w:val="single" w:sz="8" w:color="0057D9"/>
            </w:tcBorders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0057D9"/>
                <w:sz w:val="19"/>
              </w:rPr>
              <w:t>PROFESSIONAL EXPERIENCE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96" w:type="dxa"/>
      </w:tblPr>
      <w:tblGrid>
        <w:gridCol w:w="1440"/>
        <w:gridCol w:w="6408"/>
        <w:gridCol w:w="2160"/>
      </w:tblGrid>
      <w:tr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0" w:type="dxa"/>
              <w:bottom w:w="0" w:type="dxa"/>
              <w:end w:w="60" w:type="dxa"/>
              <w:left w:w="0" w:type="dxa"/>
              <w:right w:w="60" w:type="dxa"/>
            </w:tcMar>
          </w:tcPr>
          <w:p>
            <w:pPr>
              <w:spacing w:before="180" w:after="60"/>
              <w:ind w:left="0" w:firstLine="0"/>
              <w:jc w:val="left"/>
            </w:pPr>
            <w:r>
              <w:rPr>
                <w:rFonts w:ascii="Calibri" w:hAnsi="Calibri"/>
                <w:b/>
                <w:color w:val="2F64D6"/>
                <w:sz w:val="20"/>
              </w:rPr>
              <w:t>KWI</w:t>
            </w:r>
          </w:p>
        </w:tc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60" w:type="dxa"/>
              <w:bottom w:w="0" w:type="dxa"/>
              <w:end w:w="60" w:type="dxa"/>
              <w:left w:w="60" w:type="dxa"/>
              <w:right w:w="60" w:type="dxa"/>
            </w:tcMar>
          </w:tcPr>
          <w:p>
            <w:pPr>
              <w:spacing w:before="180" w:after="60"/>
              <w:ind w:left="0" w:firstLine="0"/>
              <w:jc w:val="center"/>
            </w:pPr>
            <w:r>
              <w:rPr>
                <w:rFonts w:ascii="Calibri" w:hAnsi="Calibri"/>
                <w:b w:val="0"/>
                <w:color w:val="2F64D6"/>
                <w:sz w:val="20"/>
              </w:rPr>
              <w:t>Senior Product Manager, Enterprise Merchandising Platform</w:t>
            </w:r>
          </w:p>
        </w:tc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60" w:type="dxa"/>
              <w:bottom w:w="0" w:type="dxa"/>
              <w:end w:w="0" w:type="dxa"/>
              <w:left w:w="60" w:type="dxa"/>
              <w:right w:w="0" w:type="dxa"/>
            </w:tcMar>
          </w:tcPr>
          <w:p>
            <w:pPr>
              <w:spacing w:before="180" w:after="60"/>
              <w:ind w:left="0" w:firstLine="0"/>
              <w:jc w:val="right"/>
            </w:pPr>
            <w:r>
              <w:rPr>
                <w:rFonts w:ascii="Calibri" w:hAnsi="Calibri"/>
                <w:b w:val="0"/>
                <w:color w:val="2F64D6"/>
                <w:sz w:val="20"/>
              </w:rPr>
              <w:t>2025 - Present</w:t>
            </w:r>
          </w:p>
        </w:tc>
      </w:tr>
    </w:tbl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Lead product discovery, requirements, and prototype validation for a modern Transfers Operations application, translating fragmented legacy workflows into a phased platform for transfer visibility, exception management, lifecycle status, and operational controls.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Introduce AI-assisted, spec-driven product development using Claude and Cursor to create working prototypes, clarify scope earlier, identify edge cases, and reduce avoidable requirement churn before engineering engagement.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Lead modernization of the core merchandising platform, shaping phased roadmaps across purchasing, item maintenance, and store-transfer workflows while balancing customer adoption, legacy constraints, API dependencies, and delivery sequencing.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Partner directly with engineering, design, and business leadership to translate ambiguous operational needs into functional specifications, decision frameworks, acceptance criteria, and implementation-ready stories.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Create structure around legacy workflows by turning transfer, purchasing, and merchandising processes into clearer user experiences, delivery artifacts, and rollout paths for cross-functional execution.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96" w:type="dxa"/>
      </w:tblPr>
      <w:tblGrid>
        <w:gridCol w:w="1440"/>
        <w:gridCol w:w="6408"/>
        <w:gridCol w:w="2160"/>
      </w:tblGrid>
      <w:tr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0" w:type="dxa"/>
              <w:bottom w:w="0" w:type="dxa"/>
              <w:end w:w="60" w:type="dxa"/>
              <w:left w:w="0" w:type="dxa"/>
              <w:right w:w="60" w:type="dxa"/>
            </w:tcMar>
          </w:tcPr>
          <w:p>
            <w:pPr>
              <w:spacing w:before="180" w:after="60"/>
              <w:ind w:left="0" w:firstLine="0"/>
              <w:jc w:val="left"/>
            </w:pPr>
            <w:r>
              <w:rPr>
                <w:rFonts w:ascii="Calibri" w:hAnsi="Calibri"/>
                <w:b/>
                <w:color w:val="2F64D6"/>
                <w:sz w:val="20"/>
              </w:rPr>
              <w:t>Upshop</w:t>
            </w:r>
          </w:p>
        </w:tc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60" w:type="dxa"/>
              <w:bottom w:w="0" w:type="dxa"/>
              <w:end w:w="60" w:type="dxa"/>
              <w:left w:w="60" w:type="dxa"/>
              <w:right w:w="60" w:type="dxa"/>
            </w:tcMar>
          </w:tcPr>
          <w:p>
            <w:pPr>
              <w:spacing w:before="180" w:after="60"/>
              <w:ind w:left="0" w:firstLine="0"/>
              <w:jc w:val="center"/>
            </w:pPr>
            <w:r>
              <w:rPr>
                <w:rFonts w:ascii="Calibri" w:hAnsi="Calibri"/>
                <w:b w:val="0"/>
                <w:color w:val="2F64D6"/>
                <w:sz w:val="20"/>
              </w:rPr>
              <w:t>Senior Product Manager, Store Operations Platform</w:t>
            </w:r>
          </w:p>
        </w:tc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60" w:type="dxa"/>
              <w:bottom w:w="0" w:type="dxa"/>
              <w:end w:w="0" w:type="dxa"/>
              <w:left w:w="60" w:type="dxa"/>
              <w:right w:w="0" w:type="dxa"/>
            </w:tcMar>
          </w:tcPr>
          <w:p>
            <w:pPr>
              <w:spacing w:before="180" w:after="60"/>
              <w:ind w:left="0" w:firstLine="0"/>
              <w:jc w:val="right"/>
            </w:pPr>
            <w:r>
              <w:rPr>
                <w:rFonts w:ascii="Calibri" w:hAnsi="Calibri"/>
                <w:b w:val="0"/>
                <w:color w:val="2F64D6"/>
                <w:sz w:val="20"/>
              </w:rPr>
              <w:t>2022 - 2025</w:t>
            </w:r>
          </w:p>
        </w:tc>
      </w:tr>
    </w:tbl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Built a mobile-first B2B store operations platform from concept through launch across 100+ grocery retail locations, designing for enterprise retail buyers while ensuring frontline users could adopt workflow changes in daily operations.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Launched ML-powered ordering and replenishment workflows using demand signals to generate production and stocking recommendations, reducing overproduction by 18% and improving forecast accuracy across distributed store teams.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Partnered with data science, engineering, UX, implementation, and customer teams to translate forecast outputs into usable recommendations, override paths, feedback loops, manager controls, and operating KPIs.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Designed product workflows that guided frontline teams toward required operating actions, increasing engagement by 40% by replacing fragmented, paper-based store processes with a unified mobile-native experience.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Introduced waste audit and loss prevention workflows from scratch in a compliance-adjacent store operations context, reducing inventory shrink by 12% across retail networks within 6 months of launch.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Designed and launched external REST APIs enabling enterprise clients to connect POS, ERP, and supply-chain systems, expanding the platform's role within broader technology ecosystems.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96" w:type="dxa"/>
      </w:tblPr>
      <w:tblGrid>
        <w:gridCol w:w="1440"/>
        <w:gridCol w:w="6408"/>
        <w:gridCol w:w="2160"/>
      </w:tblGrid>
      <w:tr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0" w:type="dxa"/>
              <w:bottom w:w="0" w:type="dxa"/>
              <w:end w:w="60" w:type="dxa"/>
              <w:left w:w="0" w:type="dxa"/>
              <w:right w:w="60" w:type="dxa"/>
            </w:tcMar>
          </w:tcPr>
          <w:p>
            <w:pPr>
              <w:spacing w:before="180" w:after="60"/>
              <w:ind w:left="0" w:firstLine="0"/>
              <w:jc w:val="left"/>
            </w:pPr>
            <w:r>
              <w:rPr>
                <w:rFonts w:ascii="Calibri" w:hAnsi="Calibri"/>
                <w:b/>
                <w:color w:val="2F64D6"/>
                <w:sz w:val="20"/>
              </w:rPr>
              <w:t>360insights</w:t>
            </w:r>
          </w:p>
        </w:tc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60" w:type="dxa"/>
              <w:bottom w:w="0" w:type="dxa"/>
              <w:end w:w="60" w:type="dxa"/>
              <w:left w:w="60" w:type="dxa"/>
              <w:right w:w="60" w:type="dxa"/>
            </w:tcMar>
          </w:tcPr>
          <w:p>
            <w:pPr>
              <w:spacing w:before="180" w:after="60"/>
              <w:ind w:left="0" w:firstLine="0"/>
              <w:jc w:val="center"/>
            </w:pPr>
            <w:r>
              <w:rPr>
                <w:rFonts w:ascii="Calibri" w:hAnsi="Calibri"/>
                <w:b w:val="0"/>
                <w:color w:val="2F64D6"/>
                <w:sz w:val="20"/>
              </w:rPr>
              <w:t>Lead Product Manager, Channel Incentive and Claims Platform</w:t>
            </w:r>
          </w:p>
        </w:tc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60" w:type="dxa"/>
              <w:bottom w:w="0" w:type="dxa"/>
              <w:end w:w="0" w:type="dxa"/>
              <w:left w:w="60" w:type="dxa"/>
              <w:right w:w="0" w:type="dxa"/>
            </w:tcMar>
          </w:tcPr>
          <w:p>
            <w:pPr>
              <w:spacing w:before="180" w:after="60"/>
              <w:ind w:left="0" w:firstLine="0"/>
              <w:jc w:val="right"/>
            </w:pPr>
            <w:r>
              <w:rPr>
                <w:rFonts w:ascii="Calibri" w:hAnsi="Calibri"/>
                <w:b w:val="0"/>
                <w:color w:val="2F64D6"/>
                <w:sz w:val="20"/>
              </w:rPr>
              <w:t>2019 - 2022</w:t>
            </w:r>
          </w:p>
        </w:tc>
      </w:tr>
    </w:tbl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Owned roadmap and execution for an enterprise SaaS platform serving 100+ clients across channel operations, claims workflows, data management, and financially driven multi-stakeholder processes.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Led a ground-up rebuild of the claims platform that doubled processing throughput and cut manual review effort by 50% through workflow architecture improvements, exception routing, validation improvements, and process redesign.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Built data ingestion and API-driven onboarding workflows that reduced enterprise client implementation timelines by 35% and improved customer time-to-value.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Improved client NPS from 6.5 to 8.5 through targeted investments in reporting transparency, workflow visibility, operational performance tooling, and clearer customer-facing feedback loops.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Influenced senior stakeholders on roadmap and system design decisions in a financially driven enterprise environment through structured product narratives, prioritization frameworks, and tradeoff framing.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96" w:type="dxa"/>
      </w:tblPr>
      <w:tblGrid>
        <w:gridCol w:w="1440"/>
        <w:gridCol w:w="6408"/>
        <w:gridCol w:w="2160"/>
      </w:tblGrid>
      <w:tr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0" w:type="dxa"/>
              <w:bottom w:w="0" w:type="dxa"/>
              <w:end w:w="60" w:type="dxa"/>
              <w:left w:w="0" w:type="dxa"/>
              <w:right w:w="60" w:type="dxa"/>
            </w:tcMar>
          </w:tcPr>
          <w:p>
            <w:pPr>
              <w:spacing w:before="180" w:after="60"/>
              <w:ind w:left="0" w:firstLine="0"/>
              <w:jc w:val="left"/>
            </w:pPr>
            <w:r>
              <w:rPr>
                <w:rFonts w:ascii="Calibri" w:hAnsi="Calibri"/>
                <w:b/>
                <w:color w:val="2F64D6"/>
                <w:sz w:val="20"/>
              </w:rPr>
              <w:t>EdgeVerve Systems</w:t>
            </w:r>
          </w:p>
        </w:tc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60" w:type="dxa"/>
              <w:bottom w:w="0" w:type="dxa"/>
              <w:end w:w="60" w:type="dxa"/>
              <w:left w:w="60" w:type="dxa"/>
              <w:right w:w="60" w:type="dxa"/>
            </w:tcMar>
          </w:tcPr>
          <w:p>
            <w:pPr>
              <w:spacing w:before="180" w:after="60"/>
              <w:ind w:left="0" w:firstLine="0"/>
              <w:jc w:val="center"/>
            </w:pPr>
            <w:r>
              <w:rPr>
                <w:rFonts w:ascii="Calibri" w:hAnsi="Calibri"/>
                <w:b w:val="0"/>
                <w:color w:val="2F64D6"/>
                <w:sz w:val="20"/>
              </w:rPr>
              <w:t>Product Manager, AI and Intelligent Automation Platform</w:t>
            </w:r>
          </w:p>
        </w:tc>
        <w:tc>
          <w:tcPr>
            <w:tcW w:type="dxa" w:w="384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60" w:type="dxa"/>
              <w:bottom w:w="0" w:type="dxa"/>
              <w:end w:w="0" w:type="dxa"/>
              <w:left w:w="60" w:type="dxa"/>
              <w:right w:w="0" w:type="dxa"/>
            </w:tcMar>
          </w:tcPr>
          <w:p>
            <w:pPr>
              <w:spacing w:before="180" w:after="60"/>
              <w:ind w:left="0" w:firstLine="0"/>
              <w:jc w:val="right"/>
            </w:pPr>
            <w:r>
              <w:rPr>
                <w:rFonts w:ascii="Calibri" w:hAnsi="Calibri"/>
                <w:b w:val="0"/>
                <w:color w:val="2F64D6"/>
                <w:sz w:val="20"/>
              </w:rPr>
              <w:t>2016 - 2019</w:t>
            </w:r>
          </w:p>
        </w:tc>
      </w:tr>
    </w:tbl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Led product development for an enterprise intelligent automation platform, defining workflow automation, classification, routing, exception handling, monitoring, and operational governance capabilities for SLA-driven business processes.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Partnered with engineering and data science teams to integrate ML classification, NLP, chatbot, and decision-logic capabilities into automation workflows while keeping product requirements grounded in enterprise customer needs.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Drove a 50% increase in platform adoption by defining routing, exception handling, monitoring, AI classification, and decision logic capabilities for production workflows aligned to enterprise SLAs.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Contributed to Forrester Wave Strong Performer recognition in the 2017 RPA category by shaping product narratives that translated early AI complexity into clear business value for enterprise buyers.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-196" w:type="dxa"/>
      </w:tblPr>
      <w:tblGrid>
        <w:gridCol w:w="10008"/>
      </w:tblGrid>
      <w:tr>
        <w:tc>
          <w:tcPr>
            <w:tcW w:type="dxa" w:w="11520"/>
            <w:tcBorders>
              <w:top w:val="nil"/>
              <w:bottom w:val="nil"/>
              <w:left w:val="nil"/>
              <w:right w:val="nil"/>
            </w:tcBorders>
            <w:tcBorders>
              <w:bottom w:val="single" w:sz="8" w:color="0057D9"/>
            </w:tcBorders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0057D9"/>
                <w:sz w:val="19"/>
              </w:rPr>
              <w:t>AI PRODUCT AND TECHNICAL PRACTICE</w:t>
            </w:r>
          </w:p>
        </w:tc>
      </w:tr>
    </w:tbl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Creates AI-assisted PRDs, user flows, acceptance criteria, edge-case matrices, Jira-ready stories, prototype screens, API assumptions, and stakeholder walkthrough artifacts using Claude, Cursor, and related tools.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Uses prototypes to validate workflow logic, clarify ambiguous requirements, expose exception paths, and align product, engineering, design, data science, and business stakeholders before development.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Defines product-level success signals for AI-enabled workflows, including recommendation acceptance, exception volume, override behavior, operational efficiency, adoption, and customer impact.</w:t>
      </w:r>
    </w:p>
    <w:p>
      <w:pPr>
        <w:spacing w:after="38" w:line="250" w:lineRule="auto"/>
        <w:ind w:left="639" w:hanging="173" w:right="792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sz w:val="17"/>
        </w:rPr>
        <w:t>Works across REST API design, event-driven workflow patterns, data ingestion workflows, technical requirements, architecture tradeoffs, integration assumptions, and enterprise platform dependencies.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-196" w:type="dxa"/>
      </w:tblPr>
      <w:tblGrid>
        <w:gridCol w:w="10008"/>
      </w:tblGrid>
      <w:tr>
        <w:tc>
          <w:tcPr>
            <w:tcW w:type="dxa" w:w="11520"/>
            <w:tcBorders>
              <w:top w:val="nil"/>
              <w:bottom w:val="nil"/>
              <w:left w:val="nil"/>
              <w:right w:val="nil"/>
            </w:tcBorders>
            <w:tcBorders>
              <w:bottom w:val="single" w:sz="8" w:color="0057D9"/>
            </w:tcBorders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0057D9"/>
                <w:sz w:val="19"/>
              </w:rPr>
              <w:t>EDUCATION AND CERTIFICATIONS</w:t>
            </w:r>
          </w:p>
        </w:tc>
      </w:tr>
    </w:tbl>
    <w:p>
      <w:pPr>
        <w:spacing w:after="100" w:line="259" w:lineRule="auto"/>
        <w:ind w:left="596" w:right="792"/>
      </w:pPr>
      <w:r>
        <w:rPr>
          <w:rFonts w:ascii="Calibri" w:hAnsi="Calibri"/>
          <w:sz w:val="18"/>
        </w:rPr>
        <w:t>MBA, Management Development Institute</w:t>
      </w:r>
    </w:p>
    <w:p>
      <w:pPr>
        <w:spacing w:after="100" w:line="259" w:lineRule="auto"/>
        <w:ind w:left="596" w:right="792"/>
      </w:pPr>
      <w:r>
        <w:rPr>
          <w:rFonts w:ascii="Calibri" w:hAnsi="Calibri"/>
          <w:sz w:val="18"/>
        </w:rPr>
        <w:t>B.E., R.V. College of Engineering</w:t>
      </w:r>
    </w:p>
    <w:p>
      <w:pPr>
        <w:spacing w:after="100" w:line="259" w:lineRule="auto"/>
        <w:ind w:left="596" w:right="792"/>
      </w:pPr>
      <w:r>
        <w:rPr>
          <w:rFonts w:ascii="Calibri" w:hAnsi="Calibri"/>
          <w:sz w:val="18"/>
        </w:rPr>
        <w:t>CSPO, Certified Scrum Product Owner, Scrum Alliance</w:t>
      </w:r>
    </w:p>
    <w:p>
      <w:pPr>
        <w:spacing w:after="100" w:line="259" w:lineRule="auto"/>
        <w:ind w:left="596" w:right="792"/>
      </w:pPr>
      <w:r>
        <w:rPr>
          <w:rFonts w:ascii="Calibri" w:hAnsi="Calibri"/>
          <w:sz w:val="18"/>
        </w:rPr>
        <w:t>Pragmatic Marketing, Level II Certified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-196" w:type="dxa"/>
      </w:tblPr>
      <w:tblGrid>
        <w:gridCol w:w="10008"/>
      </w:tblGrid>
      <w:tr>
        <w:tc>
          <w:tcPr>
            <w:tcW w:type="dxa" w:w="11520"/>
            <w:tcBorders>
              <w:top w:val="nil"/>
              <w:bottom w:val="nil"/>
              <w:left w:val="nil"/>
              <w:right w:val="nil"/>
            </w:tcBorders>
            <w:tcBorders>
              <w:bottom w:val="single" w:sz="8" w:color="0057D9"/>
            </w:tcBorders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0057D9"/>
                <w:sz w:val="19"/>
              </w:rPr>
              <w:t>TOOLS AND TECHNICAL PROFICIENCIES</w:t>
            </w:r>
          </w:p>
        </w:tc>
      </w:tr>
    </w:tbl>
    <w:p>
      <w:pPr>
        <w:spacing w:after="100" w:line="259" w:lineRule="auto"/>
        <w:ind w:left="596" w:right="792"/>
      </w:pPr>
      <w:r>
        <w:rPr>
          <w:rFonts w:ascii="Calibri" w:hAnsi="Calibri"/>
          <w:sz w:val="18"/>
        </w:rPr>
        <w:t>Jira | Aha! | Figma | Postman | Swagger | Lucidchart | Tableau | Google Analytics | Claude | Cursor | GitHub Copilot | Vercel v0 | REST API Design | Event-Driven Workflow Patterns | API Integrations</w:t>
      </w:r>
    </w:p>
    <w:sectPr w:rsidR="00FC693F" w:rsidRPr="0006063C" w:rsidSect="00034616">
      <w:pgSz w:w="12240" w:h="15840"/>
      <w:pgMar w:top="173" w:right="360" w:bottom="547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