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production-style throughput: 423K inserts/sec, 4,887 QPS for memory retrieval, 5.6M deletes/sec, and 12,200 QPS for graph search with 2-hop expansion.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Crash recovery and disk persistence are not yet implemented.</w:t>
      </w:r>
    </w:p>
    <w:p>
      <w:pPr>
        <w:pStyle w:val="ListNumber"/>
      </w:pPr>
      <w:r>
        <w:t>No live evaluation. We have not measured downstream task performance (e.g., answer quality improvement from memory retrieval).</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production-style throughput characteristics: 423K inserts/sec, 4,887 QPS for memory retrieval with decay and reinforcement, and 12,200 QPS for graph search with multi-hop expansion. Each layer is independently validated and composable.</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