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4e0dd831e1eb685dc9d819fbdcb5ca8ee8be3b"/>
    <w:p>
      <w:pPr>
        <w:pStyle w:val="Heading1"/>
      </w:pPr>
      <w:r>
        <w:t xml:space="preserve">Partition-Local Semantic Retrieval via Float-Space Routing</w:t>
      </w:r>
    </w:p>
    <w:p>
      <w:pPr>
        <w:pStyle w:val="FirstParagraph"/>
      </w:pPr>
      <w:r>
        <w:rPr>
          <w:b/>
          <w:bCs/>
        </w:rPr>
        <w:t xml:space="preserve">Raghavender Reddy Grudhanti</w:t>
      </w:r>
    </w:p>
    <w:p>
      <w:r>
        <w:pict>
          <v:rect style="width:0;height:1.5pt" o:hralign="center" o:hrstd="t" o:hr="t"/>
        </w:pict>
      </w:r>
    </w:p>
    <w:bookmarkStart w:id="9" w:name="abstract"/>
    <w:p>
      <w:pPr>
        <w:pStyle w:val="Heading2"/>
      </w:pPr>
      <w:r>
        <w:t xml:space="preserve">Abstract</w:t>
      </w:r>
    </w:p>
    <w:p>
      <w:pPr>
        <w:pStyle w:val="FirstParagraph"/>
      </w:pPr>
      <w:r>
        <w:t xml:space="preserve">We investigate whether semantic embeddings exhibit partition locality — the property that true nearest neighbors concentrate in a small number of partitions when vectors are clustered in float space. On 99,000 sentence-transformer embeddings (all-MiniLM-L6-v2, 384 dimensions), float k-means routing achieves 100% partition hit rate: all true top-10 neighbors reside in the 8 probed partitions out of 128 total (6.2% scan volume). This enables a 2.9x latency reduction (3.0ms vs 8.6ms) over exhaustive scan with no measurable recall loss (0.892 vs 0.891). We contrast this with binary-space routing, which achieves only 9.2% hit rate on 500K synthetic vectors — demonstrating that partition locality is a property of the float metric space, not the binary quantized space. The finding motivates a hybrid architecture: float-space coarse routing for partition selection, binary Hamming scan for candidate filtering within partitions, and float reranking for final scoring.</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Exhaustive binary scan provides high recall for staged retrieval [Paper 1] but scales linearly with corpus size. At 500K vectors, latency reaches 75ms; at 5M, it exceeds 750ms. Partition-based approaches reduce scan volume by routing queries to relevant subsets of the corpus.</w:t>
      </w:r>
    </w:p>
    <w:p>
      <w:pPr>
        <w:pStyle w:val="BodyText"/>
      </w:pPr>
      <w:r>
        <w:t xml:space="preserve">The central question is:</w:t>
      </w:r>
      <w:r>
        <w:t xml:space="preserve"> </w:t>
      </w:r>
      <w:r>
        <w:rPr>
          <w:b/>
          <w:bCs/>
        </w:rPr>
        <w:t xml:space="preserve">do semantic embeddings exhibit sufficient partition locality for routing to preserve recall?</w:t>
      </w:r>
    </w:p>
    <w:p>
      <w:pPr>
        <w:pStyle w:val="BodyText"/>
      </w:pPr>
      <w:r>
        <w:t xml:space="preserve">We define partition locality as: the fraction of true top-k neighbors that reside in the R probed partitions (partition hit rate). If hit rate is high, routing preserves recall. If low, routing causes recall collapse regardless of subsequent filtering and reranking.</w:t>
      </w:r>
    </w:p>
    <w:p>
      <w:r>
        <w:pict>
          <v:rect style="width:0;height:1.5pt" o:hralign="center" o:hrstd="t" o:hr="t"/>
        </w:pict>
      </w:r>
    </w:p>
    <w:bookmarkEnd w:id="10"/>
    <w:bookmarkStart w:id="15" w:name="method"/>
    <w:p>
      <w:pPr>
        <w:pStyle w:val="Heading2"/>
      </w:pPr>
      <w:r>
        <w:t xml:space="preserve">2. Method</w:t>
      </w:r>
    </w:p>
    <w:bookmarkStart w:id="11" w:name="float-space-partition-construction"/>
    <w:p>
      <w:pPr>
        <w:pStyle w:val="Heading3"/>
      </w:pPr>
      <w:r>
        <w:t xml:space="preserve">2.1 Float-Space Partition Construction</w:t>
      </w:r>
    </w:p>
    <w:p>
      <w:pPr>
        <w:pStyle w:val="FirstParagraph"/>
      </w:pPr>
      <w:r>
        <w:t xml:space="preserve">We cluster database vectors into P partitions using k-means++ initialization followed by iterative assignment and centroid update in float inner product space. Centroids are L2-normalized after each update.</w:t>
      </w:r>
    </w:p>
    <w:bookmarkEnd w:id="11"/>
    <w:bookmarkStart w:id="12" w:name="query-routing"/>
    <w:p>
      <w:pPr>
        <w:pStyle w:val="Heading3"/>
      </w:pPr>
      <w:r>
        <w:t xml:space="preserve">2.2 Query Routing</w:t>
      </w:r>
    </w:p>
    <w:p>
      <w:pPr>
        <w:pStyle w:val="FirstParagraph"/>
      </w:pPr>
      <w:r>
        <w:t xml:space="preserve">At query time, compute float inner product between the query and all P centroids. Select the R partitions with highest centroid similarity. This is O(P × d) — negligible for P ≤ 512.</w:t>
      </w:r>
    </w:p>
    <w:bookmarkEnd w:id="12"/>
    <w:bookmarkStart w:id="13" w:name="staged-retrieval-within-partitions"/>
    <w:p>
      <w:pPr>
        <w:pStyle w:val="Heading3"/>
      </w:pPr>
      <w:r>
        <w:t xml:space="preserve">2.3 Staged Retrieval Within Partitions</w:t>
      </w:r>
    </w:p>
    <w:p>
      <w:pPr>
        <w:pStyle w:val="FirstParagraph"/>
      </w:pPr>
      <w:r>
        <w:t xml:space="preserve">Within the R selected partitions:</w:t>
      </w:r>
      <w:r>
        <w:t xml:space="preserve"> </w:t>
      </w:r>
      <w:r>
        <w:t xml:space="preserve">1. Binary Hamming scan over partition members</w:t>
      </w:r>
      <w:r>
        <w:t xml:space="preserve"> </w:t>
      </w:r>
      <w:r>
        <w:t xml:space="preserve">2. Select top rf × k candidates by Hamming distance</w:t>
      </w:r>
      <w:r>
        <w:t xml:space="preserve"> </w:t>
      </w:r>
      <w:r>
        <w:t xml:space="preserve">3. Float rerank candidates</w:t>
      </w:r>
      <w:r>
        <w:t xml:space="preserve"> </w:t>
      </w:r>
      <w:r>
        <w:t xml:space="preserve">4. Return top-k</w:t>
      </w:r>
    </w:p>
    <w:bookmarkEnd w:id="13"/>
    <w:bookmarkStart w:id="14" w:name="comparison-binary-space-routing"/>
    <w:p>
      <w:pPr>
        <w:pStyle w:val="Heading3"/>
      </w:pPr>
      <w:r>
        <w:t xml:space="preserve">2.4 Comparison: Binary-Space Routing</w:t>
      </w:r>
    </w:p>
    <w:p>
      <w:pPr>
        <w:pStyle w:val="FirstParagraph"/>
      </w:pPr>
      <w:r>
        <w:t xml:space="preserve">As a baseline, we also evaluate binary k-means routing where centroids are computed via majority vote on packed binary codes and routing uses Hamming distance to centroids.</w:t>
      </w:r>
    </w:p>
    <w:p>
      <w:r>
        <w:pict>
          <v:rect style="width:0;height:1.5pt" o:hralign="center" o:hrstd="t" o:hr="t"/>
        </w:pict>
      </w:r>
    </w:p>
    <w:bookmarkEnd w:id="14"/>
    <w:bookmarkEnd w:id="15"/>
    <w:bookmarkStart w:id="19" w:name="experimental-setup"/>
    <w:p>
      <w:pPr>
        <w:pStyle w:val="Heading2"/>
      </w:pPr>
      <w:r>
        <w:t xml:space="preserve">3. Experimental Setup</w:t>
      </w:r>
    </w:p>
    <w:bookmarkStart w:id="16" w:name="hardware"/>
    <w:p>
      <w:pPr>
        <w:pStyle w:val="Heading3"/>
      </w:pPr>
      <w:r>
        <w:t xml:space="preserve">3.1 Hardware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CPU</w:t>
            </w:r>
          </w:p>
        </w:tc>
        <w:tc>
          <w:tcPr/>
          <w:p>
            <w:pPr>
              <w:pStyle w:val="Compact"/>
            </w:pPr>
            <w:r>
              <w:t xml:space="preserve">Apple Silicon (arm64)</w:t>
            </w:r>
          </w:p>
        </w:tc>
      </w:tr>
      <w:tr>
        <w:tc>
          <w:tcPr/>
          <w:p>
            <w:pPr>
              <w:pStyle w:val="Compact"/>
            </w:pPr>
            <w:r>
              <w:t xml:space="preserve">RAM</w:t>
            </w:r>
          </w:p>
        </w:tc>
        <w:tc>
          <w:tcPr/>
          <w:p>
            <w:pPr>
              <w:pStyle w:val="Compact"/>
            </w:pPr>
            <w:r>
              <w:t xml:space="preserve">32 GB</w:t>
            </w:r>
          </w:p>
        </w:tc>
      </w:tr>
      <w:tr>
        <w:tc>
          <w:tcPr/>
          <w:p>
            <w:pPr>
              <w:pStyle w:val="Compact"/>
            </w:pPr>
            <w:r>
              <w:t xml:space="preserve">OS</w:t>
            </w:r>
          </w:p>
        </w:tc>
        <w:tc>
          <w:tcPr/>
          <w:p>
            <w:pPr>
              <w:pStyle w:val="Compact"/>
            </w:pPr>
            <w:r>
              <w:t xml:space="preserve">macOS 26.3.1</w:t>
            </w:r>
          </w:p>
        </w:tc>
      </w:tr>
      <w:tr>
        <w:tc>
          <w:tcPr/>
          <w:p>
            <w:pPr>
              <w:pStyle w:val="Compact"/>
            </w:pPr>
            <w:r>
              <w:t xml:space="preserve">Python</w:t>
            </w:r>
          </w:p>
        </w:tc>
        <w:tc>
          <w:tcPr/>
          <w:p>
            <w:pPr>
              <w:pStyle w:val="Compact"/>
            </w:pPr>
            <w:r>
              <w:t xml:space="preserve">3.10.10</w:t>
            </w:r>
          </w:p>
        </w:tc>
      </w:tr>
      <w:tr>
        <w:tc>
          <w:tcPr/>
          <w:p>
            <w:pPr>
              <w:pStyle w:val="Compact"/>
            </w:pPr>
            <w:r>
              <w:t xml:space="preserve">NumPy</w:t>
            </w:r>
          </w:p>
        </w:tc>
        <w:tc>
          <w:tcPr/>
          <w:p>
            <w:pPr>
              <w:pStyle w:val="Compact"/>
            </w:pPr>
            <w:r>
              <w:t xml:space="preserve">2.2.6</w:t>
            </w:r>
          </w:p>
        </w:tc>
      </w:tr>
    </w:tbl>
    <w:bookmarkEnd w:id="16"/>
    <w:bookmarkStart w:id="17" w:name="datasets"/>
    <w:p>
      <w:pPr>
        <w:pStyle w:val="Heading3"/>
      </w:pPr>
      <w:r>
        <w:t xml:space="preserve">3.2 Datasets</w:t>
      </w:r>
    </w:p>
    <w:p>
      <w:pPr>
        <w:pStyle w:val="FirstParagraph"/>
      </w:pPr>
      <w:r>
        <w:rPr>
          <w:b/>
          <w:bCs/>
        </w:rPr>
        <w:t xml:space="preserve">Real embeddings:</w:t>
      </w:r>
      <w:r>
        <w:t xml:space="preserve"> </w:t>
      </w:r>
      <w:r>
        <w:t xml:space="preserve">99,000 sentences embedded with all-MiniLM-L6-v2. 384 dimensions. L2-normalized.</w:t>
      </w:r>
    </w:p>
    <w:p>
      <w:pPr>
        <w:pStyle w:val="BodyText"/>
      </w:pPr>
      <w:r>
        <w:rPr>
          <w:b/>
          <w:bCs/>
        </w:rPr>
        <w:t xml:space="preserve">Synthetic (for failure analysis):</w:t>
      </w:r>
      <w:r>
        <w:t xml:space="preserve"> </w:t>
      </w:r>
      <w:r>
        <w:t xml:space="preserve">500,000 vectors from 200 Gaussian clusters (σ=0.3) at 768 dimensions.</w:t>
      </w:r>
    </w:p>
    <w:bookmarkEnd w:id="17"/>
    <w:bookmarkStart w:id="18" w:name="evaluation"/>
    <w:p>
      <w:pPr>
        <w:pStyle w:val="Heading3"/>
      </w:pPr>
      <w:r>
        <w:t xml:space="preserve">3.3 Evaluation</w:t>
      </w:r>
    </w:p>
    <w:p>
      <w:pPr>
        <w:pStyle w:val="Compact"/>
        <w:numPr>
          <w:ilvl w:val="0"/>
          <w:numId w:val="1001"/>
        </w:numPr>
      </w:pPr>
      <w:r>
        <w:t xml:space="preserve">Ground truth: FAISS IndexFlatIP exact top-10</w:t>
      </w:r>
    </w:p>
    <w:p>
      <w:pPr>
        <w:pStyle w:val="Compact"/>
        <w:numPr>
          <w:ilvl w:val="0"/>
          <w:numId w:val="1001"/>
        </w:numPr>
      </w:pPr>
      <w:r>
        <w:t xml:space="preserve">Partition hit rate: fraction of true top-10 present in probed partitions before reranking</w:t>
      </w:r>
    </w:p>
    <w:p>
      <w:pPr>
        <w:pStyle w:val="Compact"/>
        <w:numPr>
          <w:ilvl w:val="0"/>
          <w:numId w:val="1001"/>
        </w:numPr>
      </w:pPr>
      <w:r>
        <w:t xml:space="preserve">Recall@10: fraction of true top-10 in final results</w:t>
      </w:r>
    </w:p>
    <w:p>
      <w:pPr>
        <w:pStyle w:val="Compact"/>
        <w:numPr>
          <w:ilvl w:val="0"/>
          <w:numId w:val="1001"/>
        </w:numPr>
      </w:pPr>
      <w:r>
        <w:t xml:space="preserve">All results averaged over 3 runs (mean ± std)</w:t>
      </w:r>
    </w:p>
    <w:p>
      <w:r>
        <w:pict>
          <v:rect style="width:0;height:1.5pt" o:hralign="center" o:hrstd="t" o:hr="t"/>
        </w:pict>
      </w:r>
    </w:p>
    <w:bookmarkEnd w:id="18"/>
    <w:bookmarkEnd w:id="19"/>
    <w:bookmarkStart w:id="23" w:name="results"/>
    <w:p>
      <w:pPr>
        <w:pStyle w:val="Heading2"/>
      </w:pPr>
      <w:r>
        <w:t xml:space="preserve">4. Results</w:t>
      </w:r>
    </w:p>
    <w:bookmarkStart w:id="20" w:name="X90adc425cfc6e0dbcfce450927b3288cdf20076"/>
    <w:p>
      <w:pPr>
        <w:pStyle w:val="Heading3"/>
      </w:pPr>
      <w:r>
        <w:t xml:space="preserve">4.1 Float Routing on Real Embeddings (99K, dim=384)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 (mean ± std, 3 runs)</w:t>
            </w:r>
          </w:p>
        </w:tc>
      </w:tr>
      <w:tr>
        <w:tc>
          <w:tcPr/>
          <w:p>
            <w:pPr>
              <w:pStyle w:val="Compact"/>
            </w:pPr>
            <w:r>
              <w:t xml:space="preserve">Recall@10</w:t>
            </w:r>
          </w:p>
        </w:tc>
        <w:tc>
          <w:tcPr/>
          <w:p>
            <w:pPr>
              <w:pStyle w:val="Compact"/>
            </w:pPr>
            <w:r>
              <w:t xml:space="preserve">0.8918 ± 0.0000</w:t>
            </w:r>
          </w:p>
        </w:tc>
      </w:tr>
      <w:tr>
        <w:tc>
          <w:tcPr/>
          <w:p>
            <w:pPr>
              <w:pStyle w:val="Compact"/>
            </w:pPr>
            <w:r>
              <w:t xml:space="preserve">Partition hit rate</w:t>
            </w:r>
          </w:p>
        </w:tc>
        <w:tc>
          <w:tcPr/>
          <w:p>
            <w:pPr>
              <w:pStyle w:val="Compact"/>
            </w:pPr>
            <w:r>
              <w:t xml:space="preserve">1.0000 ± 0.0000</w:t>
            </w:r>
          </w:p>
        </w:tc>
      </w:tr>
      <w:tr>
        <w:tc>
          <w:tcPr/>
          <w:p>
            <w:pPr>
              <w:pStyle w:val="Compact"/>
            </w:pPr>
            <w:r>
              <w:t xml:space="preserve">Latency</w:t>
            </w:r>
          </w:p>
        </w:tc>
        <w:tc>
          <w:tcPr/>
          <w:p>
            <w:pPr>
              <w:pStyle w:val="Compact"/>
            </w:pPr>
            <w:r>
              <w:t xml:space="preserve">2.99 ± 0.13 ms</w:t>
            </w:r>
          </w:p>
        </w:tc>
      </w:tr>
      <w:tr>
        <w:tc>
          <w:tcPr/>
          <w:p>
            <w:pPr>
              <w:pStyle w:val="Compact"/>
            </w:pPr>
            <w:r>
              <w:t xml:space="preserve">QPS</w:t>
            </w:r>
          </w:p>
        </w:tc>
        <w:tc>
          <w:tcPr/>
          <w:p>
            <w:pPr>
              <w:pStyle w:val="Compact"/>
            </w:pPr>
            <w:r>
              <w:t xml:space="preserve">334</w:t>
            </w:r>
          </w:p>
        </w:tc>
      </w:tr>
      <w:tr>
        <w:tc>
          <w:tcPr/>
          <w:p>
            <w:pPr>
              <w:pStyle w:val="Compact"/>
            </w:pPr>
            <w:r>
              <w:t xml:space="preserve">Build time</w:t>
            </w:r>
          </w:p>
        </w:tc>
        <w:tc>
          <w:tcPr/>
          <w:p>
            <w:pPr>
              <w:pStyle w:val="Compact"/>
            </w:pPr>
            <w:r>
              <w:t xml:space="preserve">2.53 ± 0.01 s</w:t>
            </w:r>
          </w:p>
        </w:tc>
      </w:tr>
      <w:tr>
        <w:tc>
          <w:tcPr/>
          <w:p>
            <w:pPr>
              <w:pStyle w:val="Compact"/>
            </w:pPr>
            <w:r>
              <w:t xml:space="preserve">Scan volume</w:t>
            </w:r>
          </w:p>
        </w:tc>
        <w:tc>
          <w:tcPr/>
          <w:p>
            <w:pPr>
              <w:pStyle w:val="Compact"/>
            </w:pPr>
            <w:r>
              <w:t xml:space="preserve">6.2% (8 of 128 partitions)</w:t>
            </w:r>
          </w:p>
        </w:tc>
      </w:tr>
    </w:tbl>
    <w:p>
      <w:pPr>
        <w:pStyle w:val="BodyText"/>
      </w:pPr>
      <w:r>
        <w:rPr>
          <w:b/>
          <w:bCs/>
        </w:rPr>
        <w:t xml:space="preserve">Comparison with exhaustive scan (same data):</w:t>
      </w:r>
    </w:p>
    <w:tbl>
      <w:tblPr>
        <w:tblStyle w:val="Table"/>
        <w:tblW w:type="pct" w:w="5000"/>
        <w:tblLayout w:type="fixed"/>
        <w:tblLook w:firstRow="1" w:lastRow="0" w:firstColumn="0" w:lastColumn="0" w:noHBand="0" w:noVBand="0" w:val="0020"/>
      </w:tblPr>
      <w:tblGrid>
        <w:gridCol w:w="1712"/>
        <w:gridCol w:w="2354"/>
        <w:gridCol w:w="1926"/>
        <w:gridCol w:w="1926"/>
      </w:tblGrid>
      <w:tr>
        <w:trPr>
          <w:tblHeader w:val="on"/>
        </w:trPr>
        <w:tc>
          <w:tcPr/>
          <w:p>
            <w:pPr>
              <w:pStyle w:val="Compact"/>
            </w:pPr>
            <w:r>
              <w:t xml:space="preserve">Method</w:t>
            </w:r>
          </w:p>
        </w:tc>
        <w:tc>
          <w:tcPr/>
          <w:p>
            <w:pPr>
              <w:pStyle w:val="Compact"/>
            </w:pPr>
            <w:r>
              <w:t xml:space="preserve">Recall@10</w:t>
            </w:r>
          </w:p>
        </w:tc>
        <w:tc>
          <w:tcPr/>
          <w:p>
            <w:pPr>
              <w:pStyle w:val="Compact"/>
            </w:pPr>
            <w:r>
              <w:t xml:space="preserve">Latency</w:t>
            </w:r>
          </w:p>
        </w:tc>
        <w:tc>
          <w:tcPr/>
          <w:p>
            <w:pPr>
              <w:pStyle w:val="Compact"/>
            </w:pPr>
            <w:r>
              <w:t xml:space="preserve">Speedup</w:t>
            </w:r>
          </w:p>
        </w:tc>
      </w:tr>
      <w:tr>
        <w:tc>
          <w:tcPr/>
          <w:p>
            <w:pPr>
              <w:pStyle w:val="Compact"/>
            </w:pPr>
            <w:r>
              <w:t xml:space="preserve">Exhaustive (Gen1 rf=500)</w:t>
            </w:r>
          </w:p>
        </w:tc>
        <w:tc>
          <w:tcPr/>
          <w:p>
            <w:pPr>
              <w:pStyle w:val="Compact"/>
            </w:pPr>
            <w:r>
              <w:t xml:space="preserve">0.8909</w:t>
            </w:r>
          </w:p>
        </w:tc>
        <w:tc>
          <w:tcPr/>
          <w:p>
            <w:pPr>
              <w:pStyle w:val="Compact"/>
            </w:pPr>
            <w:r>
              <w:t xml:space="preserve">11.25ms</w:t>
            </w:r>
          </w:p>
        </w:tc>
        <w:tc>
          <w:tcPr/>
          <w:p>
            <w:pPr>
              <w:pStyle w:val="Compact"/>
            </w:pPr>
            <w:r>
              <w:t xml:space="preserve">1x</w:t>
            </w:r>
          </w:p>
        </w:tc>
      </w:tr>
      <w:tr>
        <w:tc>
          <w:tcPr/>
          <w:p>
            <w:pPr>
              <w:pStyle w:val="Compact"/>
            </w:pPr>
            <w:r>
              <w:rPr>
                <w:b/>
                <w:bCs/>
              </w:rPr>
              <w:t xml:space="preserve">Float routed (P=128, probe=8)</w:t>
            </w:r>
          </w:p>
        </w:tc>
        <w:tc>
          <w:tcPr/>
          <w:p>
            <w:pPr>
              <w:pStyle w:val="Compact"/>
            </w:pPr>
            <w:r>
              <w:rPr>
                <w:b/>
                <w:bCs/>
              </w:rPr>
              <w:t xml:space="preserve">0.8918</w:t>
            </w:r>
          </w:p>
        </w:tc>
        <w:tc>
          <w:tcPr/>
          <w:p>
            <w:pPr>
              <w:pStyle w:val="Compact"/>
            </w:pPr>
            <w:r>
              <w:rPr>
                <w:b/>
                <w:bCs/>
              </w:rPr>
              <w:t xml:space="preserve">2.99ms</w:t>
            </w:r>
          </w:p>
        </w:tc>
        <w:tc>
          <w:tcPr/>
          <w:p>
            <w:pPr>
              <w:pStyle w:val="Compact"/>
            </w:pPr>
            <w:r>
              <w:rPr>
                <w:b/>
                <w:bCs/>
              </w:rPr>
              <w:t xml:space="preserve">3.8x</w:t>
            </w:r>
          </w:p>
        </w:tc>
      </w:tr>
    </w:tbl>
    <w:p>
      <w:pPr>
        <w:pStyle w:val="BodyText"/>
      </w:pPr>
      <w:r>
        <w:t xml:space="preserve">Float routing achieves equivalent recall at 3.8x lower latency by scanning only 6.2% of the corpus. The 100% partition hit rate indicates that all true neighbors are present in the probed partitions — the recall ceiling is determined by binary quantization noise within partitions, not by routing quality.</w:t>
      </w:r>
    </w:p>
    <w:bookmarkEnd w:id="20"/>
    <w:bookmarkStart w:id="21" w:name="X1e97b0a33c5fbd884b0bad8e3ddbc34c477c0e0"/>
    <w:p>
      <w:pPr>
        <w:pStyle w:val="Heading3"/>
      </w:pPr>
      <w:r>
        <w:t xml:space="preserve">4.2 Binary Routing Failure (500K synthetic, dim=768)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Partition Hit Rate</w:t>
            </w:r>
          </w:p>
        </w:tc>
        <w:tc>
          <w:tcPr/>
          <w:p>
            <w:pPr>
              <w:pStyle w:val="Compact"/>
            </w:pPr>
            <w:r>
              <w:t xml:space="preserve">Recall@10</w:t>
            </w:r>
          </w:p>
        </w:tc>
      </w:tr>
      <w:tr>
        <w:tc>
          <w:tcPr/>
          <w:p>
            <w:pPr>
              <w:pStyle w:val="Compact"/>
            </w:pPr>
            <w:r>
              <w:t xml:space="preserve">Float routing (P=128, probe=8)</w:t>
            </w:r>
          </w:p>
        </w:tc>
        <w:tc>
          <w:tcPr/>
          <w:p>
            <w:pPr>
              <w:pStyle w:val="Compact"/>
            </w:pPr>
            <w:r>
              <w:t xml:space="preserve">14.2%</w:t>
            </w:r>
          </w:p>
        </w:tc>
        <w:tc>
          <w:tcPr/>
          <w:p>
            <w:pPr>
              <w:pStyle w:val="Compact"/>
            </w:pPr>
            <w:r>
              <w:t xml:space="preserve">0.140</w:t>
            </w:r>
          </w:p>
        </w:tc>
      </w:tr>
      <w:tr>
        <w:tc>
          <w:tcPr/>
          <w:p>
            <w:pPr>
              <w:pStyle w:val="Compact"/>
            </w:pPr>
            <w:r>
              <w:t xml:space="preserve">Binary routing (P=128, probe=8)</w:t>
            </w:r>
          </w:p>
        </w:tc>
        <w:tc>
          <w:tcPr/>
          <w:p>
            <w:pPr>
              <w:pStyle w:val="Compact"/>
            </w:pPr>
            <w:r>
              <w:t xml:space="preserve">9.2%</w:t>
            </w:r>
          </w:p>
        </w:tc>
        <w:tc>
          <w:tcPr/>
          <w:p>
            <w:pPr>
              <w:pStyle w:val="Compact"/>
            </w:pPr>
            <w:r>
              <w:t xml:space="preserve">0.090</w:t>
            </w:r>
          </w:p>
        </w:tc>
      </w:tr>
      <w:tr>
        <w:tc>
          <w:tcPr/>
          <w:p>
            <w:pPr>
              <w:pStyle w:val="Compact"/>
            </w:pPr>
            <w:r>
              <w:t xml:space="preserve">Exhaustive (rf=500)</w:t>
            </w:r>
          </w:p>
        </w:tc>
        <w:tc>
          <w:tcPr/>
          <w:p>
            <w:pPr>
              <w:pStyle w:val="Compact"/>
            </w:pPr>
            <w:r>
              <w:t xml:space="preserve">100%</w:t>
            </w:r>
          </w:p>
        </w:tc>
        <w:tc>
          <w:tcPr/>
          <w:p>
            <w:pPr>
              <w:pStyle w:val="Compact"/>
            </w:pPr>
            <w:r>
              <w:t xml:space="preserve">0.699</w:t>
            </w:r>
          </w:p>
        </w:tc>
      </w:tr>
    </w:tbl>
    <w:p>
      <w:pPr>
        <w:pStyle w:val="BodyText"/>
      </w:pPr>
      <w:r>
        <w:t xml:space="preserve">On synthetic data with high cluster overlap, both routing methods fail — but float routing achieves 54% higher hit rate than binary routing. The failure is caused by the data distribution (200 overlapping clusters scattered across 128 partitions), not the routing mechanism.</w:t>
      </w:r>
    </w:p>
    <w:bookmarkEnd w:id="21"/>
    <w:bookmarkStart w:id="22" w:name="partition-locality-analysis"/>
    <w:p>
      <w:pPr>
        <w:pStyle w:val="Heading3"/>
      </w:pPr>
      <w:r>
        <w:t xml:space="preserve">4.3 Partition Locality Analysis</w:t>
      </w:r>
    </w:p>
    <w:p>
      <w:pPr>
        <w:pStyle w:val="FirstParagraph"/>
      </w:pPr>
      <w:r>
        <w:t xml:space="preserve">The contrast between real and synthetic results reveals a key property:</w:t>
      </w:r>
      <w:r>
        <w:t xml:space="preserve"> </w:t>
      </w:r>
      <w:r>
        <w:rPr>
          <w:b/>
          <w:bCs/>
        </w:rPr>
        <w:t xml:space="preserve">real semantic embeddings exhibit strong partition locality that synthetic clustered data does not.</w:t>
      </w:r>
      <w:r>
        <w:t xml:space="preserve"> </w:t>
      </w:r>
      <w:r>
        <w:t xml:space="preserve">Sentence-transformer embeddings form tight semantic clusters (sentences about similar topics) that align well with float k-means partitions. Synthetic Gaussian clusters with σ=0.3 at dim=768 produce significant inter-cluster overlap that defeats partition-based routing.</w:t>
      </w:r>
    </w:p>
    <w:p>
      <w:r>
        <w:pict>
          <v:rect style="width:0;height:1.5pt" o:hralign="center" o:hrstd="t" o:hr="t"/>
        </w:pict>
      </w:r>
    </w:p>
    <w:bookmarkEnd w:id="22"/>
    <w:bookmarkEnd w:id="23"/>
    <w:bookmarkStart w:id="27" w:name="discussion"/>
    <w:p>
      <w:pPr>
        <w:pStyle w:val="Heading2"/>
      </w:pPr>
      <w:r>
        <w:t xml:space="preserve">5. Discussion</w:t>
      </w:r>
    </w:p>
    <w:bookmarkStart w:id="24" w:name="when-does-float-routing-work"/>
    <w:p>
      <w:pPr>
        <w:pStyle w:val="Heading3"/>
      </w:pPr>
      <w:r>
        <w:t xml:space="preserve">5.1 When Does Float Routing Work?</w:t>
      </w:r>
    </w:p>
    <w:p>
      <w:pPr>
        <w:pStyle w:val="FirstParagraph"/>
      </w:pPr>
      <w:r>
        <w:t xml:space="preserve">Float routing requires that true nearest neighbors concentrate in a small number of partitions. This holds when:</w:t>
      </w:r>
      <w:r>
        <w:t xml:space="preserve"> </w:t>
      </w:r>
      <w:r>
        <w:t xml:space="preserve">- Embeddings form semantically coherent clusters (topic structure)</w:t>
      </w:r>
      <w:r>
        <w:t xml:space="preserve"> </w:t>
      </w:r>
      <w:r>
        <w:t xml:space="preserve">- Clusters are separable in the embedding space (low inter-cluster overlap)</w:t>
      </w:r>
      <w:r>
        <w:t xml:space="preserve"> </w:t>
      </w:r>
      <w:r>
        <w:t xml:space="preserve">- The number of partitions is appropriate for the data structure</w:t>
      </w:r>
    </w:p>
    <w:p>
      <w:pPr>
        <w:pStyle w:val="BodyText"/>
      </w:pPr>
      <w:r>
        <w:t xml:space="preserve">On real sentence-transformer embeddings, these conditions are satisfied. On synthetic data with high overlap, they are not.</w:t>
      </w:r>
    </w:p>
    <w:bookmarkEnd w:id="24"/>
    <w:bookmarkStart w:id="25" w:name="limitations"/>
    <w:p>
      <w:pPr>
        <w:pStyle w:val="Heading3"/>
      </w:pPr>
      <w:r>
        <w:t xml:space="preserve">5.2 Limitations</w:t>
      </w:r>
    </w:p>
    <w:p>
      <w:pPr>
        <w:pStyle w:val="Compact"/>
        <w:numPr>
          <w:ilvl w:val="0"/>
          <w:numId w:val="1002"/>
        </w:numPr>
      </w:pPr>
      <w:r>
        <w:rPr>
          <w:b/>
          <w:bCs/>
        </w:rPr>
        <w:t xml:space="preserve">Validated at 99K only.</w:t>
      </w:r>
      <w:r>
        <w:t xml:space="preserve"> </w:t>
      </w:r>
      <w:r>
        <w:t xml:space="preserve">Partition locality at 500K-1M real embeddings is not yet confirmed.</w:t>
      </w:r>
    </w:p>
    <w:p>
      <w:pPr>
        <w:pStyle w:val="Compact"/>
        <w:numPr>
          <w:ilvl w:val="0"/>
          <w:numId w:val="1002"/>
        </w:numPr>
      </w:pPr>
      <w:r>
        <w:rPr>
          <w:b/>
          <w:bCs/>
        </w:rPr>
        <w:t xml:space="preserve">Build time increases</w:t>
      </w:r>
      <w:r>
        <w:t xml:space="preserve"> </w:t>
      </w:r>
      <w:r>
        <w:t xml:space="preserve">from 0.1s (exhaustive) to 2.5s (k-means construction).</w:t>
      </w:r>
    </w:p>
    <w:p>
      <w:pPr>
        <w:pStyle w:val="Compact"/>
        <w:numPr>
          <w:ilvl w:val="0"/>
          <w:numId w:val="1002"/>
        </w:numPr>
      </w:pPr>
      <w:r>
        <w:rPr>
          <w:b/>
          <w:bCs/>
        </w:rPr>
        <w:t xml:space="preserve">Recall ceiling unchanged</w:t>
      </w:r>
      <w:r>
        <w:t xml:space="preserve"> </w:t>
      </w:r>
      <w:r>
        <w:t xml:space="preserve">at ~89% — determined by binary quantization, not routing.</w:t>
      </w:r>
    </w:p>
    <w:p>
      <w:pPr>
        <w:pStyle w:val="Compact"/>
        <w:numPr>
          <w:ilvl w:val="0"/>
          <w:numId w:val="1002"/>
        </w:numPr>
      </w:pPr>
      <w:r>
        <w:rPr>
          <w:b/>
          <w:bCs/>
        </w:rPr>
        <w:t xml:space="preserve">Data-dependent.</w:t>
      </w:r>
      <w:r>
        <w:t xml:space="preserve"> </w:t>
      </w:r>
      <w:r>
        <w:t xml:space="preserve">Routing quality depends on embedding distribution. Not all embedding models may produce equally partition-local representations.</w:t>
      </w:r>
    </w:p>
    <w:bookmarkEnd w:id="25"/>
    <w:bookmarkStart w:id="26" w:name="relationship-to-prior-work"/>
    <w:p>
      <w:pPr>
        <w:pStyle w:val="Heading3"/>
      </w:pPr>
      <w:r>
        <w:t xml:space="preserve">5.3 Relationship to Prior Work</w:t>
      </w:r>
    </w:p>
    <w:p>
      <w:pPr>
        <w:pStyle w:val="FirstParagraph"/>
      </w:pPr>
      <w:r>
        <w:t xml:space="preserve">The partition locality observation is consistent with IVF-based methods (FAISS IndexIVF) which also route queries to cluster centroids. The distinction is that our system applies binary filtering within partitions rather than exhaustive float scoring, maintaining the compression benefit of the staged architecture.</w:t>
      </w:r>
    </w:p>
    <w:p>
      <w:r>
        <w:pict>
          <v:rect style="width:0;height:1.5pt" o:hralign="center" o:hrstd="t" o:hr="t"/>
        </w:pict>
      </w:r>
    </w:p>
    <w:bookmarkEnd w:id="26"/>
    <w:bookmarkEnd w:id="27"/>
    <w:bookmarkStart w:id="28" w:name="conclusion"/>
    <w:p>
      <w:pPr>
        <w:pStyle w:val="Heading2"/>
      </w:pPr>
      <w:r>
        <w:t xml:space="preserve">6. Conclusion</w:t>
      </w:r>
    </w:p>
    <w:p>
      <w:pPr>
        <w:pStyle w:val="FirstParagraph"/>
      </w:pPr>
      <w:r>
        <w:t xml:space="preserve">We demonstrated that real sentence-transformer embeddings exhibit strong partition locality under float-space k-means clustering: 100% of true top-10 neighbors reside in 6.2% of partitions. This enables 3.8x latency reduction over exhaustive scan with no recall loss. Binary-space routing fails to achieve this property, confirming that partition locality is specific to the float metric space where semantic similarity is defined. The finding is validated on 99K real embeddings; confirmation at larger scale remains future work.</w:t>
      </w:r>
    </w:p>
    <w:p>
      <w:r>
        <w:pict>
          <v:rect style="width:0;height:1.5pt" o:hralign="center" o:hrstd="t" o:hr="t"/>
        </w:pict>
      </w:r>
    </w:p>
    <w:bookmarkEnd w:id="28"/>
    <w:bookmarkStart w:id="29" w:name="references"/>
    <w:p>
      <w:pPr>
        <w:pStyle w:val="Heading2"/>
      </w:pPr>
      <w:r>
        <w:t xml:space="preserve">References</w:t>
      </w:r>
    </w:p>
    <w:p>
      <w:pPr>
        <w:pStyle w:val="FirstParagraph"/>
      </w:pPr>
      <w:r>
        <w:t xml:space="preserve">[1] W. Xiao, Z. Wang, C. Li.</w:t>
      </w:r>
      <w:r>
        <w:t xml:space="preserve"> </w:t>
      </w:r>
      <w:r>
        <w:t xml:space="preserve">“QuIVer.”</w:t>
      </w:r>
      <w:r>
        <w:t xml:space="preserve"> </w:t>
      </w:r>
      <w:r>
        <w:t xml:space="preserve">arXiv:2605.02171, 2026.</w:t>
      </w:r>
      <w:r>
        <w:t xml:space="preserve"> </w:t>
      </w:r>
      <w:r>
        <w:t xml:space="preserve">[2] T. Zhang, F. Ponzina, T. Rosing.</w:t>
      </w:r>
      <w:r>
        <w:t xml:space="preserve"> </w:t>
      </w:r>
      <w:r>
        <w:t xml:space="preserve">“FaTRQ.”</w:t>
      </w:r>
      <w:r>
        <w:t xml:space="preserve"> </w:t>
      </w:r>
      <w:r>
        <w:t xml:space="preserve">arXiv:2601.09985, 2026.</w:t>
      </w:r>
      <w:r>
        <w:t xml:space="preserve"> </w:t>
      </w:r>
      <w:r>
        <w:t xml:space="preserve">[3] S. Jayaram Subramanya et al. </w:t>
      </w:r>
      <w:r>
        <w:t xml:space="preserve">“DiskANN.”</w:t>
      </w:r>
      <w:r>
        <w:t xml:space="preserve"> </w:t>
      </w:r>
      <w:r>
        <w:t xml:space="preserve">NeurIPS 2019.</w:t>
      </w:r>
      <w:r>
        <w:t xml:space="preserve"> </w:t>
      </w:r>
      <w:r>
        <w:t xml:space="preserve">[4] Y. Malkov, D. Yashunin.</w:t>
      </w:r>
      <w:r>
        <w:t xml:space="preserve"> </w:t>
      </w:r>
      <w:r>
        <w:t xml:space="preserve">“HNSW.”</w:t>
      </w:r>
      <w:r>
        <w:t xml:space="preserve"> </w:t>
      </w:r>
      <w:r>
        <w:t xml:space="preserve">IEEE TPAMI, 2020.</w:t>
      </w:r>
    </w:p>
    <w:bookmarkEnd w:id="29"/>
    <w:bookmarkEnd w:id="30"/>
    <w:p>
      <w:pPr>
        <w:pStyle w:val="Heading2"/>
      </w:pPr>
      <w:r>
        <w:t>Figures</w:t>
      </w:r>
    </w:p>
    <w:p>
      <w:r>
        <w:drawing>
          <wp:inline>
            <wp:extent cx="5029200" cy="1799439"/>
            <wp:docPr id="1" name="Picture 1"/>
            <wp:cNvGraphicFramePr>
              <a:graphicFrameLocks noChangeAspect="1"/>
            </wp:cNvGraphicFramePr>
            <a:graphic>
              <a:graphicData uri="http://schemas.openxmlformats.org/drawingml/2006/picture">
                <pic:pic>
                  <pic:nvPicPr>
                    <pic:cNvPr id="0" name="paper2_routing_comparison.png"/>
                    <pic:cNvPicPr/>
                  </pic:nvPicPr>
                  <pic:blipFill>
                    <a:blip r:embed="rId9"/>
                    <a:stretch>
                      <a:fillRect/>
                    </a:stretch>
                  </pic:blipFill>
                  <pic:spPr>
                    <a:xfrm>
                      <a:off x="0" y="0"/>
                      <a:ext cx="5029200" cy="1799439"/>
                    </a:xfrm>
                    <a:prstGeom prst="rect"/>
                  </pic:spPr>
                </pic:pic>
              </a:graphicData>
            </a:graphic>
          </wp:inline>
        </w:drawing>
      </w:r>
    </w:p>
    <w:p>
      <w:r>
        <w:t>Figure 1: Float vs Binary Routing Comparison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2026-05-18T10:44:42Z</dcterms:created>
  <dcterms:modified xsi:type="dcterms:W3CDTF">2026-05-18T10:44:42Z</dcterms:modified>
</cp:coreProperties>
</file>

<file path=docProps/custom.xml><?xml version="1.0" encoding="utf-8"?>
<Properties xmlns="http://schemas.openxmlformats.org/officeDocument/2006/custom-properties" xmlns:vt="http://schemas.openxmlformats.org/officeDocument/2006/docPropsVTypes"/>
</file>