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35e4cb86a5bd73e011a5d96b57092a988b244c2"/>
    <w:p>
      <w:pPr>
        <w:pStyle w:val="Heading1"/>
      </w:pPr>
      <w:r>
        <w:t xml:space="preserve">bitcache: A Layered Memory Architecture for Autonomous AI Agents</w:t>
      </w:r>
    </w:p>
    <w:p>
      <w:pPr>
        <w:pStyle w:val="FirstParagraph"/>
      </w:pPr>
      <w:r>
        <w:rPr>
          <w:b/>
          <w:bCs/>
        </w:rPr>
        <w:t xml:space="preserve">Raghavender Reddy Grudhanti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describe bitcache, a layered memory architecture for autonomous AI agents that integrates staged semantic retrieval, streaming mutations, importance-weighted prioritization, and entity-relationship graph traversal. The system addresses requirements that existing vector databases do not jointly satisfy: 32x memory compression via binary quantization, continuous insert/delete without rebuilds (195K inserts/sec, O(1) delete), temporal importance decay with retrieval-based reinforcement, and multi-hop relational reasoning via graph expansion. Each layer is independently validated and composable. The retrieval layer achieves 89% recall@10 on real sentence-transformer embeddings; the memory layer demonstrates 90% importance decay over 7 simulated days of inactivity; the graph layer supports BFS path finding across typed entity relations. We position the system for agent memory workloads at 10K-500K scale where knowledge evolves continuously and retrieval quality must be balanced against resource constraints.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Autonomous AI agents require persistent memory that differs from traditional vector search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Knowledge evolves.</w:t>
      </w:r>
      <w:r>
        <w:t xml:space="preserve"> </w:t>
      </w:r>
      <w:r>
        <w:t xml:space="preserve">Agents learn continuously — memory must support streaming inserts and deletes without downtime.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all memories are equal.</w:t>
      </w:r>
      <w:r>
        <w:t xml:space="preserve"> </w:t>
      </w:r>
      <w:r>
        <w:t xml:space="preserve">Recent, frequently-accessed memories should be prioritized over stale, unused 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 requires relationships.</w:t>
      </w:r>
      <w:r>
        <w:t xml:space="preserve"> </w:t>
      </w:r>
      <w:r>
        <w:t xml:space="preserve">“What is connected to X?”</w:t>
      </w:r>
      <w:r>
        <w:t xml:space="preserve"> </w:t>
      </w:r>
      <w:r>
        <w:t xml:space="preserve">is as important as</w:t>
      </w:r>
      <w:r>
        <w:t xml:space="preserve"> </w:t>
      </w:r>
      <w:r>
        <w:t xml:space="preserve">“What is similar to X?”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Resources are bounded.</w:t>
      </w:r>
      <w:r>
        <w:t xml:space="preserve"> </w:t>
      </w:r>
      <w:r>
        <w:t xml:space="preserve">Agent processes run within fixed RAM allocations.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Retrieval quality is tunable.</w:t>
      </w:r>
      <w:r>
        <w:t xml:space="preserve"> </w:t>
      </w:r>
      <w:r>
        <w:t xml:space="preserve">Different queries warrant different computational budgets.</w:t>
      </w:r>
    </w:p>
    <w:p>
      <w:pPr>
        <w:pStyle w:val="FirstParagraph"/>
      </w:pPr>
      <w:r>
        <w:t xml:space="preserve">No existing system addresses all five requirements. Vector databases (Pinecone, Qdrant) handle retrieval and mutation but lack prioritization and graph reasoning. Memory systems (Mem0) provide prioritization but rely on full-precision storage. Knowledge graph systems (HippoRAG [3]) combine graphs with retrieval but require LLM calls during indexing and lack compression.</w:t>
      </w:r>
    </w:p>
    <w:p>
      <w:r>
        <w:pict>
          <v:rect style="width:0;height:1.5pt" o:hralign="center" o:hrstd="t" o:hr="t"/>
        </w:pict>
      </w:r>
    </w:p>
    <w:bookmarkEnd w:id="10"/>
    <w:bookmarkStart w:id="11" w:name="architecture"/>
    <w:p>
      <w:pPr>
        <w:pStyle w:val="Heading2"/>
      </w:pPr>
      <w:r>
        <w:t xml:space="preserve">2. Architecture</w:t>
      </w:r>
    </w:p>
    <w:p>
      <w:pPr>
        <w:pStyle w:val="FirstParagraph"/>
      </w:pPr>
      <w:r>
        <w:t xml:space="preserve">bitcache is organized as six composable layers:</w:t>
      </w:r>
    </w:p>
    <w:p>
      <w:pPr>
        <w:pStyle w:val="SourceCode"/>
      </w:pPr>
      <w:r>
        <w:rPr>
          <w:rStyle w:val="VerbatimChar"/>
        </w:rPr>
        <w:t xml:space="preserve">Layer 6: GraphMemory        — entity-relation storage + multi-hop traversal</w:t>
      </w:r>
      <w:r>
        <w:br/>
      </w:r>
      <w:r>
        <w:rPr>
          <w:rStyle w:val="VerbatimChar"/>
        </w:rPr>
        <w:t xml:space="preserve">Layer 5: AgentMemory        — importance scoring, decay, eviction</w:t>
      </w:r>
      <w:r>
        <w:br/>
      </w:r>
      <w:r>
        <w:rPr>
          <w:rStyle w:val="VerbatimChar"/>
        </w:rPr>
        <w:t xml:space="preserve">Layer 4: StreamingIndex     — mutable store with ID-based CRUD + metadata filter</w:t>
      </w:r>
      <w:r>
        <w:br/>
      </w:r>
      <w:r>
        <w:rPr>
          <w:rStyle w:val="VerbatimChar"/>
        </w:rPr>
        <w:t xml:space="preserve">Layer 3: FloatRoutedIndex   — float-space partition routing (Gen3)</w:t>
      </w:r>
      <w:r>
        <w:br/>
      </w:r>
      <w:r>
        <w:rPr>
          <w:rStyle w:val="VerbatimChar"/>
        </w:rPr>
        <w:t xml:space="preserve">Layer 2: TwoStageIndex      — binary filter + float rerank (Gen1)</w:t>
      </w:r>
      <w:r>
        <w:br/>
      </w:r>
      <w:r>
        <w:rPr>
          <w:rStyle w:val="VerbatimChar"/>
        </w:rPr>
        <w:t xml:space="preserve">Layer 1: BinaryIndex        — sign-bit quantization + Hamming scan</w:t>
      </w:r>
    </w:p>
    <w:p>
      <w:pPr>
        <w:pStyle w:val="FirstParagraph"/>
      </w:pPr>
      <w:r>
        <w:t xml:space="preserve">Each layer builds on the previous. Users can compose layers as needed — a simple agent may use only Layer 2 (staged retrieval), while a complex agent may use all six.</w:t>
      </w:r>
    </w:p>
    <w:p>
      <w:r>
        <w:pict>
          <v:rect style="width:0;height:1.5pt" o:hralign="center" o:hrstd="t" o:hr="t"/>
        </w:pict>
      </w:r>
    </w:p>
    <w:bookmarkEnd w:id="11"/>
    <w:bookmarkStart w:id="16" w:name="component-validation"/>
    <w:p>
      <w:pPr>
        <w:pStyle w:val="Heading2"/>
      </w:pPr>
      <w:r>
        <w:t xml:space="preserve">3. Component Validation</w:t>
      </w:r>
    </w:p>
    <w:bookmarkStart w:id="12" w:name="retrieval-layers-1-3"/>
    <w:p>
      <w:pPr>
        <w:pStyle w:val="Heading3"/>
      </w:pPr>
      <w:r>
        <w:t xml:space="preserve">3.1 Retrieval (Layers 1-3)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Recall@10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Exhaustive rf=10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t xml:space="preserve">8.6ms</w:t>
            </w:r>
          </w:p>
        </w:tc>
        <w:tc>
          <w:tcPr/>
          <w:p>
            <w:pPr>
              <w:pStyle w:val="Compact"/>
            </w:pPr>
            <w:r>
              <w:t xml:space="preserve">99K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 routed P=128 probe=8</w:t>
            </w:r>
          </w:p>
        </w:tc>
        <w:tc>
          <w:tcPr/>
          <w:p>
            <w:pPr>
              <w:pStyle w:val="Compact"/>
            </w:pPr>
            <w:r>
              <w:t xml:space="preserve">0.892</w:t>
            </w:r>
          </w:p>
        </w:tc>
        <w:tc>
          <w:tcPr/>
          <w:p>
            <w:pPr>
              <w:pStyle w:val="Compact"/>
            </w:pPr>
            <w:r>
              <w:t xml:space="preserve">3.0ms</w:t>
            </w:r>
          </w:p>
        </w:tc>
        <w:tc>
          <w:tcPr/>
          <w:p>
            <w:pPr>
              <w:pStyle w:val="Compact"/>
            </w:pPr>
            <w:r>
              <w:t xml:space="preserve">99K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Exhaustive rf=1000</w:t>
            </w:r>
          </w:p>
        </w:tc>
        <w:tc>
          <w:tcPr/>
          <w:p>
            <w:pPr>
              <w:pStyle w:val="Compact"/>
            </w:pPr>
            <w:r>
              <w:t xml:space="preserve">0.973</w:t>
            </w:r>
          </w:p>
        </w:tc>
        <w:tc>
          <w:tcPr/>
          <w:p>
            <w:pPr>
              <w:pStyle w:val="Compact"/>
            </w:pPr>
            <w:r>
              <w:t xml:space="preserve">14.9ms</w:t>
            </w:r>
          </w:p>
        </w:tc>
        <w:tc>
          <w:tcPr/>
          <w:p>
            <w:pPr>
              <w:pStyle w:val="Compact"/>
            </w:pPr>
            <w:r>
              <w:t xml:space="preserve">50K synthetic</w:t>
            </w:r>
          </w:p>
        </w:tc>
      </w:tr>
    </w:tbl>
    <w:bookmarkEnd w:id="12"/>
    <w:bookmarkStart w:id="13" w:name="streaming-mutations-layer-4"/>
    <w:p>
      <w:pPr>
        <w:pStyle w:val="Heading3"/>
      </w:pPr>
      <w:r>
        <w:t xml:space="preserve">3.2 Streaming Mutations (Layer 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194,886 vectors/sec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O(1) via slot reuse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(vector)</w:t>
            </w:r>
          </w:p>
        </w:tc>
        <w:tc>
          <w:tcPr/>
          <w:p>
            <w:pPr>
              <w:pStyle w:val="Compact"/>
            </w:pPr>
            <w:r>
              <w:t xml:space="preserve">In-place replacement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(metadata)</w:t>
            </w:r>
          </w:p>
        </w:tc>
        <w:tc>
          <w:tcPr/>
          <w:p>
            <w:pPr>
              <w:pStyle w:val="Compact"/>
            </w:pPr>
            <w:r>
              <w:t xml:space="preserve">In-place replacement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filter search</w:t>
            </w:r>
          </w:p>
        </w:tc>
        <w:tc>
          <w:tcPr/>
          <w:p>
            <w:pPr>
              <w:pStyle w:val="Compact"/>
            </w:pPr>
            <w:r>
              <w:t xml:space="preserve">Post-scan exact match</w:t>
            </w:r>
          </w:p>
        </w:tc>
      </w:tr>
    </w:tbl>
    <w:p>
      <w:pPr>
        <w:pStyle w:val="BodyText"/>
      </w:pPr>
      <w:r>
        <w:t xml:space="preserve">No rebuild required for any mutation. External string IDs map to internal slots.</w:t>
      </w:r>
    </w:p>
    <w:bookmarkEnd w:id="13"/>
    <w:bookmarkStart w:id="14" w:name="memory-prioritization-layer-5"/>
    <w:p>
      <w:pPr>
        <w:pStyle w:val="Heading3"/>
      </w:pPr>
      <w:r>
        <w:t xml:space="preserve">3.3 Memory Prioritization (Layer 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Tested Value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decay_rate</w:t>
            </w:r>
          </w:p>
        </w:tc>
        <w:tc>
          <w:tcPr/>
          <w:p>
            <w:pPr>
              <w:pStyle w:val="Compact"/>
            </w:pPr>
            <w:r>
              <w:t xml:space="preserve">0.1/day</w:t>
            </w:r>
          </w:p>
        </w:tc>
        <w:tc>
          <w:tcPr/>
          <w:p>
            <w:pPr>
              <w:pStyle w:val="Compact"/>
            </w:pPr>
            <w:r>
              <w:t xml:space="preserve">90% importance reduction over 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reinforce_amount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Retrieved memories resist decay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</w:pPr>
            <w:r>
              <w:t xml:space="preserve">Lowest-importance evicted when full</w:t>
            </w:r>
          </w:p>
        </w:tc>
      </w:tr>
    </w:tbl>
    <w:p>
      <w:pPr>
        <w:pStyle w:val="BodyText"/>
      </w:pPr>
      <w:r>
        <w:t xml:space="preserve">Importance model: linear decay proportional to time since last access, additive reinforcement on retrieval, hard eviction at capacity boundary.</w:t>
      </w:r>
    </w:p>
    <w:bookmarkEnd w:id="14"/>
    <w:bookmarkStart w:id="15" w:name="graph-memory-layer-6"/>
    <w:p>
      <w:pPr>
        <w:pStyle w:val="Heading3"/>
      </w:pPr>
      <w:r>
        <w:t xml:space="preserve">3.4 Graph Memory (Layer 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entity (with embedding)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typed relation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search → seed entities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BFS graph expansion (configurable hops)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finding (source → target)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entity (cascading)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Entities are stored with vector embeddings for similarity search. Relations are directed typed edges. Search combines vector similarity (find seeds) with graph traversal (expand context).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comparison-with-existing-systems"/>
    <w:p>
      <w:pPr>
        <w:pStyle w:val="Heading2"/>
      </w:pPr>
      <w:r>
        <w:t xml:space="preserve">4. Comparison with Existing Systems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FAISS</w:t>
            </w:r>
          </w:p>
        </w:tc>
        <w:tc>
          <w:tcPr/>
          <w:p>
            <w:pPr>
              <w:pStyle w:val="Compact"/>
            </w:pPr>
            <w:r>
              <w:t xml:space="preserve">Pinecone</w:t>
            </w:r>
          </w:p>
        </w:tc>
        <w:tc>
          <w:tcPr/>
          <w:p>
            <w:pPr>
              <w:pStyle w:val="Compact"/>
            </w:pPr>
            <w:r>
              <w:t xml:space="preserve">Mem0</w:t>
            </w:r>
          </w:p>
        </w:tc>
        <w:tc>
          <w:tcPr/>
          <w:p>
            <w:pPr>
              <w:pStyle w:val="Compact"/>
            </w:pPr>
            <w:r>
              <w:t xml:space="preserve">HippoRAG</w:t>
            </w:r>
          </w:p>
        </w:tc>
        <w:tc>
          <w:tcPr/>
          <w:p>
            <w:pPr>
              <w:pStyle w:val="Compact"/>
            </w:pPr>
            <w:r>
              <w:t xml:space="preserve">bitcache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retrieval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 mutation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prioritization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reasoning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compression (32x)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rebuild on mutation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Tunable recall-latency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target-workloads"/>
    <w:p>
      <w:pPr>
        <w:pStyle w:val="Heading2"/>
      </w:pPr>
      <w:r>
        <w:t xml:space="preserve">5. Target Workloads</w:t>
      </w:r>
    </w:p>
    <w:p>
      <w:pPr>
        <w:pStyle w:val="FirstParagraph"/>
      </w:pPr>
      <w:r>
        <w:t xml:space="preserve">The architecture is designed for agent memory at 10K-500K scale: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Long-running assistants</w:t>
      </w:r>
      <w:r>
        <w:t xml:space="preserve"> </w:t>
      </w:r>
      <w:r>
        <w:t xml:space="preserve">accumulating conversation history and learned facts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Enterprise copilots</w:t>
      </w:r>
      <w:r>
        <w:t xml:space="preserve"> </w:t>
      </w:r>
      <w:r>
        <w:t xml:space="preserve">maintaining operational knowledge with temporal relevance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RAG systems</w:t>
      </w:r>
      <w:r>
        <w:t xml:space="preserve"> </w:t>
      </w:r>
      <w:r>
        <w:t xml:space="preserve">with continuously updating document corpora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Multi-session agents</w:t>
      </w:r>
      <w:r>
        <w:t xml:space="preserve"> </w:t>
      </w:r>
      <w:r>
        <w:t xml:space="preserve">that remember across interactions with importance weighting</w:t>
      </w:r>
    </w:p>
    <w:p>
      <w:pPr>
        <w:pStyle w:val="FirstParagraph"/>
      </w:pPr>
      <w:r>
        <w:t xml:space="preserve">The system is not designed for:</w:t>
      </w:r>
      <w:r>
        <w:t xml:space="preserve"> </w:t>
      </w:r>
      <w:r>
        <w:t xml:space="preserve">- Billion-scale web search (O(n) scan limitation)</w:t>
      </w:r>
      <w:r>
        <w:t xml:space="preserve"> </w:t>
      </w:r>
      <w:r>
        <w:t xml:space="preserve">- Real-time high-throughput serving (Python implementation limitation)</w:t>
      </w:r>
      <w:r>
        <w:t xml:space="preserve"> </w:t>
      </w:r>
      <w:r>
        <w:t xml:space="preserve">- Fully automatic knowledge graph construction (requires explicit entity/relation insertion)</w:t>
      </w:r>
    </w:p>
    <w:p>
      <w:r>
        <w:pict>
          <v:rect style="width:0;height:1.5pt" o:hralign="center" o:hrstd="t" o:hr="t"/>
        </w:pict>
      </w:r>
    </w:p>
    <w:bookmarkEnd w:id="18"/>
    <w:bookmarkStart w:id="19" w:name="limitations"/>
    <w:p>
      <w:pPr>
        <w:pStyle w:val="Heading2"/>
      </w:pPr>
      <w:r>
        <w:t xml:space="preserve">6. Limitations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Throughput:</w:t>
      </w:r>
      <w:r>
        <w:t xml:space="preserve"> </w:t>
      </w:r>
      <w:r>
        <w:t xml:space="preserve">Python implementation limits QPS. Production deployment requires compiled implementation.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Scale:</w:t>
      </w:r>
      <w:r>
        <w:t xml:space="preserve"> </w:t>
      </w:r>
      <w:r>
        <w:t xml:space="preserve">Exhaustive scan practical to 500K; routed scan extends to ~3M. Beyond that, distributed approaches are needed.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Graph construction:</w:t>
      </w:r>
      <w:r>
        <w:t xml:space="preserve"> </w:t>
      </w:r>
      <w:r>
        <w:t xml:space="preserve">Entities and relations must be explicitly inserted. No automatic extraction from text.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Decay model:</w:t>
      </w:r>
      <w:r>
        <w:t xml:space="preserve"> </w:t>
      </w:r>
      <w:r>
        <w:t xml:space="preserve">Linear decay is a simplification. Biological memory follows power-law forgetting curves.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Single-process:</w:t>
      </w:r>
      <w:r>
        <w:t xml:space="preserve"> </w:t>
      </w:r>
      <w:r>
        <w:t xml:space="preserve">No multi-agent shared memory or distributed coordination.</w:t>
      </w:r>
    </w:p>
    <w:p>
      <w:r>
        <w:pict>
          <v:rect style="width:0;height:1.5pt" o:hralign="center" o:hrstd="t" o:hr="t"/>
        </w:pict>
      </w:r>
    </w:p>
    <w:bookmarkEnd w:id="19"/>
    <w:bookmarkStart w:id="20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bitcache provides a layered, composable memory architecture for AI agents that integrates retrieval, mutation, prioritization, and graph reasoning within a single system. Each layer is independently validated: retrieval achieves 89% recall on real embeddings, mutations operate at 195K inserts/sec, decay reduces importance by 90% over 7 days, and graph traversal supports multi-hop path finding. The system is positioned for agent memory workloads where knowledge evolves continuously and must be managed within bounded resources.</w:t>
      </w:r>
    </w:p>
    <w:p>
      <w:r>
        <w:pict>
          <v:rect style="width:0;height:1.5pt" o:hralign="center" o:hrstd="t" o:hr="t"/>
        </w:pict>
      </w:r>
    </w:p>
    <w:bookmarkEnd w:id="20"/>
    <w:bookmarkStart w:id="2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W. Xiao, Z. Wang, C. Li.</w:t>
      </w:r>
      <w:r>
        <w:t xml:space="preserve"> </w:t>
      </w:r>
      <w:r>
        <w:t xml:space="preserve">“QuIVer.”</w:t>
      </w:r>
      <w:r>
        <w:t xml:space="preserve"> </w:t>
      </w:r>
      <w:r>
        <w:t xml:space="preserve">arXiv:2605.02171, 2026.</w:t>
      </w:r>
      <w:r>
        <w:t xml:space="preserve"> </w:t>
      </w:r>
      <w:r>
        <w:t xml:space="preserve">[2] T. Zhang, F. Ponzina, T. Rosing.</w:t>
      </w:r>
      <w:r>
        <w:t xml:space="preserve"> </w:t>
      </w:r>
      <w:r>
        <w:t xml:space="preserve">“FaTRQ.”</w:t>
      </w:r>
      <w:r>
        <w:t xml:space="preserve"> </w:t>
      </w:r>
      <w:r>
        <w:t xml:space="preserve">arXiv:2601.09985, 2026.</w:t>
      </w:r>
      <w:r>
        <w:t xml:space="preserve"> </w:t>
      </w:r>
      <w:r>
        <w:t xml:space="preserve">[3] B. J. Gutiérrez et al. </w:t>
      </w:r>
      <w:r>
        <w:t xml:space="preserve">“HippoRAG.”</w:t>
      </w:r>
      <w:r>
        <w:t xml:space="preserve"> </w:t>
      </w:r>
      <w:r>
        <w:t xml:space="preserve">NeurIPS 2024.</w:t>
      </w:r>
      <w:r>
        <w:t xml:space="preserve"> </w:t>
      </w:r>
      <w:r>
        <w:t xml:space="preserve">[4] Y. Malkov, D. Yashunin.</w:t>
      </w:r>
      <w:r>
        <w:t xml:space="preserve"> </w:t>
      </w:r>
      <w:r>
        <w:t xml:space="preserve">“HNSW.”</w:t>
      </w:r>
      <w:r>
        <w:t xml:space="preserve"> </w:t>
      </w:r>
      <w:r>
        <w:t xml:space="preserve">IEEE TPAMI, 2020.</w:t>
      </w:r>
      <w:r>
        <w:t xml:space="preserve"> </w:t>
      </w:r>
      <w:r>
        <w:t xml:space="preserve">[5] M. Douze et al. </w:t>
      </w:r>
      <w:r>
        <w:t xml:space="preserve">“The Faiss Library.”</w:t>
      </w:r>
      <w:r>
        <w:t xml:space="preserve"> </w:t>
      </w:r>
      <w:r>
        <w:t xml:space="preserve">arXiv:2401.08281, 2024.</w:t>
      </w:r>
    </w:p>
    <w:bookmarkEnd w:id="21"/>
    <w:bookmarkEnd w:id="22"/>
    <w:p>
      <w:pPr>
        <w:pStyle w:val="Heading2"/>
      </w:pPr>
      <w:r>
        <w:t>Figures</w:t>
      </w:r>
    </w:p>
    <w:p>
      <w:r>
        <w:drawing>
          <wp:inline>
            <wp:extent cx="4572000" cy="3414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3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bitcache Layered Architecture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2026-05-18T10:44:52Z</dcterms:created>
  <dcterms:modified xsi:type="dcterms:W3CDTF">2026-05-18T10:44:52Z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