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RiskCache: Risk-Aware Retention and Surfacing for Long-Term Agent Memory</w:t>
      </w:r>
    </w:p>
    <w:p>
      <w:pPr>
        <w:jc w:val="center"/>
      </w:pPr>
      <w:r>
        <w:rPr>
          <w:b/>
          <w:sz w:val="24"/>
        </w:rPr>
        <w:t>Raghavender Reddy Grudhanti</w:t>
      </w:r>
    </w:p>
    <w:p/>
    <w:p>
      <w:pPr>
        <w:pStyle w:val="Heading1"/>
      </w:pPr>
      <w:r>
        <w:t>Abstract</w:t>
      </w:r>
    </w:p>
    <w:p>
      <w:r>
        <w:rPr>
          <w:b w:val="0"/>
          <w:i w:val="0"/>
          <w:sz w:val="22"/>
        </w:rPr>
        <w:t>Long-term memory is essential for LLM agents that operate across sessions, but current memory systems treat all stored information equally. When memory is constrained, critical safety facts — allergies, medication interactions, legal deadlines, privacy rules — can be evicted or fail to surface just as easily as casual preferences. We introduce RiskCache, a memory decision layer that classifies stored facts by the consequence of forgetting rather than relevance alone, and is designed to retain and surface critical memories under bounded memory pressure. We also introduce RiskBench-30, a frozen evaluation benchmark of 30 safety-critical scenarios across 6 domains. In proxy ablations, RiskCache reaches 96.7% safety versus 80.0% for Uniform memory. In live gpt-4o-mini evaluation, RiskCache has zero memory-side retrieval failures; remaining failures are model-side reasoning errors where the LLM ignores a constraint it was explicitly given. Ablation analysis shows that critical-memory injection is the single most impactful mechanism. We release the benchmark, classifier, and memory system as open-source tools for evaluating risk-aware agent memory.</w:t>
      </w:r>
    </w:p>
    <w:p>
      <w:pPr>
        <w:pStyle w:val="Heading1"/>
      </w:pPr>
      <w:r>
        <w:t>1. Introduction</w:t>
      </w:r>
    </w:p>
    <w:p>
      <w:r>
        <w:rPr>
          <w:b w:val="0"/>
          <w:i w:val="0"/>
          <w:sz w:val="22"/>
        </w:rPr>
        <w:t>Consider two facts an AI assistant might store about a user:</w:t>
      </w:r>
    </w:p>
    <w:p>
      <w:r>
        <w:rPr>
          <w:b w:val="0"/>
          <w:i/>
          <w:sz w:val="22"/>
        </w:rPr>
        <w:t>• "I like Italian food."</w:t>
      </w:r>
    </w:p>
    <w:p>
      <w:r>
        <w:rPr>
          <w:b w:val="0"/>
          <w:i/>
          <w:sz w:val="22"/>
        </w:rPr>
        <w:t>• "My child has a severe peanut allergy."</w:t>
      </w:r>
    </w:p>
    <w:p>
      <w:r>
        <w:rPr>
          <w:b w:val="0"/>
          <w:i w:val="0"/>
          <w:sz w:val="22"/>
        </w:rPr>
        <w:t>Both are memories. Forgetting the first is inconvenient — the agent might suggest Thai food instead. Forgetting the second can be dangerous — the agent might recommend a dish containing peanuts.</w:t>
      </w:r>
    </w:p>
    <w:p>
      <w:r>
        <w:rPr>
          <w:b w:val="0"/>
          <w:i w:val="0"/>
          <w:sz w:val="22"/>
        </w:rPr>
        <w:t>Current agent memory systems (MemGPT, LangChain Memory, Letta) optimize for relevance, recency, or importance. Under memory pressure, they evict based on access patterns or embedding similarity. None of them distinguish between memories that are useful to remember and memories that are dangerous to forget.</w:t>
      </w:r>
    </w:p>
    <w:p>
      <w:r>
        <w:rPr>
          <w:b w:val="0"/>
          <w:i w:val="0"/>
          <w:sz w:val="22"/>
        </w:rPr>
        <w:t>We argue that long-term agent memory should be treated as a risk-aware decision problem. The key insight is that the cost function for memory retention is asymmetric: forgetting a preference has low cost, while forgetting a safety constraint has potentially unbounded cost.</w:t>
      </w:r>
    </w:p>
    <w:p>
      <w:r>
        <w:rPr>
          <w:b w:val="0"/>
          <w:i w:val="0"/>
          <w:sz w:val="22"/>
        </w:rPr>
        <w:t>RiskCache operationalizes this insight with three mechanisms:</w:t>
      </w:r>
    </w:p>
    <w:p>
      <w:r>
        <w:rPr>
          <w:b w:val="0"/>
          <w:i w:val="0"/>
          <w:sz w:val="22"/>
        </w:rPr>
        <w:t>1. Risk classification — each memory is labeled by consequence of forgetting.</w:t>
      </w:r>
    </w:p>
    <w:p>
      <w:r>
        <w:rPr>
          <w:b w:val="0"/>
          <w:i w:val="0"/>
          <w:sz w:val="22"/>
        </w:rPr>
        <w:t>2. Risk-aware retention — critical memories are protected from decay and eviction.</w:t>
      </w:r>
    </w:p>
    <w:p>
      <w:r>
        <w:rPr>
          <w:b w:val="0"/>
          <w:i w:val="0"/>
          <w:sz w:val="22"/>
        </w:rPr>
        <w:t>3. Critical-memory surfacing — critical memories are always injected into the LLM context with safety framing.</w:t>
      </w:r>
    </w:p>
    <w:p>
      <w:pPr>
        <w:pStyle w:val="Heading1"/>
      </w:pPr>
      <w:r>
        <w:t>2. Problem: Critical-Memory Failure</w:t>
      </w:r>
    </w:p>
    <w:p>
      <w:r>
        <w:rPr>
          <w:b w:val="0"/>
          <w:i w:val="0"/>
          <w:sz w:val="22"/>
        </w:rPr>
        <w:t>We define critical-memory failure as any case where an agent produces an unsafe response because a safety-relevant fact was not available or not used at decision time. We identify five distinct failure points in the memory pipeline:</w:t>
      </w:r>
    </w:p>
    <w:p>
      <w:pPr>
        <w:jc w:val="center"/>
      </w:pPr>
      <w:r>
        <w:drawing>
          <wp:inline xmlns:a="http://schemas.openxmlformats.org/drawingml/2006/main" xmlns:pic="http://schemas.openxmlformats.org/drawingml/2006/picture">
            <wp:extent cx="5029200" cy="3751741"/>
            <wp:docPr id="1" name="Picture 1"/>
            <wp:cNvGraphicFramePr>
              <a:graphicFrameLocks noChangeAspect="1"/>
            </wp:cNvGraphicFramePr>
            <a:graphic>
              <a:graphicData uri="http://schemas.openxmlformats.org/drawingml/2006/picture">
                <pic:pic>
                  <pic:nvPicPr>
                    <pic:cNvPr id="0" name="failure_pipeline.png"/>
                    <pic:cNvPicPr/>
                  </pic:nvPicPr>
                  <pic:blipFill>
                    <a:blip r:embed="rId9"/>
                    <a:stretch>
                      <a:fillRect/>
                    </a:stretch>
                  </pic:blipFill>
                  <pic:spPr>
                    <a:xfrm>
                      <a:off x="0" y="0"/>
                      <a:ext cx="5029200" cy="3751741"/>
                    </a:xfrm>
                    <a:prstGeom prst="rect"/>
                  </pic:spPr>
                </pic:pic>
              </a:graphicData>
            </a:graphic>
          </wp:inline>
        </w:drawing>
      </w:r>
    </w:p>
    <w:p>
      <w:pPr>
        <w:jc w:val="center"/>
      </w:pPr>
      <w:r>
        <w:rPr>
          <w:i/>
          <w:sz w:val="20"/>
        </w:rPr>
        <w:t>Figure 1: The Critical-Memory Failure Pipeline. Stages A–D are memory-system failures that RiskCache addresses. Stage E is a model failure outside the memory system's control.</w:t>
      </w:r>
    </w:p>
    <w:p>
      <w:r>
        <w:rPr>
          <w:b w:val="0"/>
          <w:i w:val="0"/>
          <w:sz w:val="22"/>
        </w:rPr>
        <w:t>Why root-cause matters: A system that reports "unsafe response" without distinguishing why cannot be improved systematically. RiskCache tracks root cause for every evaluation, enabling targeted improvement.</w:t>
      </w:r>
    </w:p>
    <w:p>
      <w:pPr>
        <w:pStyle w:val="Heading1"/>
      </w:pPr>
      <w:r>
        <w:t>3. RiskCache Design</w:t>
      </w:r>
    </w:p>
    <w:p>
      <w:pPr>
        <w:jc w:val="center"/>
      </w:pPr>
      <w:r>
        <w:drawing>
          <wp:inline xmlns:a="http://schemas.openxmlformats.org/drawingml/2006/main" xmlns:pic="http://schemas.openxmlformats.org/drawingml/2006/picture">
            <wp:extent cx="5029200" cy="5024956"/>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029200" cy="5024956"/>
                    </a:xfrm>
                    <a:prstGeom prst="rect"/>
                  </pic:spPr>
                </pic:pic>
              </a:graphicData>
            </a:graphic>
          </wp:inline>
        </w:drawing>
      </w:r>
    </w:p>
    <w:p>
      <w:pPr>
        <w:jc w:val="center"/>
      </w:pPr>
      <w:r>
        <w:rPr>
          <w:i/>
          <w:sz w:val="20"/>
        </w:rPr>
        <w:t>Figure 2: RiskCache Architecture. Three layers above standard vector memory: risk classification, risk-aware retention, and critical-memory surfacing.</w:t>
      </w:r>
    </w:p>
    <w:p>
      <w:pPr>
        <w:pStyle w:val="Heading2"/>
      </w:pPr>
      <w:r>
        <w:t>3.1 Risk Classification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Risk Class</w:t>
            </w:r>
          </w:p>
        </w:tc>
        <w:tc>
          <w:tcPr>
            <w:tcW w:type="dxa" w:w="1728"/>
          </w:tcPr>
          <w:p>
            <w:r>
              <w:rPr>
                <w:b/>
              </w:rPr>
              <w:t>Decay Rate</w:t>
            </w:r>
          </w:p>
        </w:tc>
        <w:tc>
          <w:tcPr>
            <w:tcW w:type="dxa" w:w="1728"/>
          </w:tcPr>
          <w:p>
            <w:r>
              <w:rPr>
                <w:b/>
              </w:rPr>
              <w:t>Eviction</w:t>
            </w:r>
          </w:p>
        </w:tc>
        <w:tc>
          <w:tcPr>
            <w:tcW w:type="dxa" w:w="1728"/>
          </w:tcPr>
          <w:p>
            <w:r>
              <w:rPr>
                <w:b/>
              </w:rPr>
              <w:t>Surfacing</w:t>
            </w:r>
          </w:p>
        </w:tc>
        <w:tc>
          <w:tcPr>
            <w:tcW w:type="dxa" w:w="1728"/>
          </w:tcPr>
          <w:p>
            <w:r>
              <w:rPr>
                <w:b/>
              </w:rPr>
              <w:t>Examples</w:t>
            </w:r>
          </w:p>
        </w:tc>
      </w:tr>
      <w:tr>
        <w:tc>
          <w:tcPr>
            <w:tcW w:type="dxa" w:w="1728"/>
          </w:tcPr>
          <w:p>
            <w:r>
              <w:t>CRITICAL</w:t>
            </w:r>
          </w:p>
        </w:tc>
        <w:tc>
          <w:tcPr>
            <w:tcW w:type="dxa" w:w="1728"/>
          </w:tcPr>
          <w:p>
            <w:r>
              <w:t>None (0×)</w:t>
            </w:r>
          </w:p>
        </w:tc>
        <w:tc>
          <w:tcPr>
            <w:tcW w:type="dxa" w:w="1728"/>
          </w:tcPr>
          <w:p>
            <w:r>
              <w:t>Never</w:t>
            </w:r>
          </w:p>
        </w:tc>
        <w:tc>
          <w:tcPr>
            <w:tcW w:type="dxa" w:w="1728"/>
          </w:tcPr>
          <w:p>
            <w:r>
              <w:t>Always injected</w:t>
            </w:r>
          </w:p>
        </w:tc>
        <w:tc>
          <w:tcPr>
            <w:tcW w:type="dxa" w:w="1728"/>
          </w:tcPr>
          <w:p>
            <w:r>
              <w:t>Allergies, medication, secrets</w:t>
            </w:r>
          </w:p>
        </w:tc>
      </w:tr>
      <w:tr>
        <w:tc>
          <w:tcPr>
            <w:tcW w:type="dxa" w:w="1728"/>
          </w:tcPr>
          <w:p>
            <w:r>
              <w:t>IMPORTANT</w:t>
            </w:r>
          </w:p>
        </w:tc>
        <w:tc>
          <w:tcPr>
            <w:tcW w:type="dxa" w:w="1728"/>
          </w:tcPr>
          <w:p>
            <w:r>
              <w:t>Slow (0.3×)</w:t>
            </w:r>
          </w:p>
        </w:tc>
        <w:tc>
          <w:tcPr>
            <w:tcW w:type="dxa" w:w="1728"/>
          </w:tcPr>
          <w:p>
            <w:r>
              <w:t>Last resort</w:t>
            </w:r>
          </w:p>
        </w:tc>
        <w:tc>
          <w:tcPr>
            <w:tcW w:type="dxa" w:w="1728"/>
          </w:tcPr>
          <w:p>
            <w:r>
              <w:t>Normal</w:t>
            </w:r>
          </w:p>
        </w:tc>
        <w:tc>
          <w:tcPr>
            <w:tcW w:type="dxa" w:w="1728"/>
          </w:tcPr>
          <w:p>
            <w:r>
              <w:t>Preferences, names, goals</w:t>
            </w:r>
          </w:p>
        </w:tc>
      </w:tr>
      <w:tr>
        <w:tc>
          <w:tcPr>
            <w:tcW w:type="dxa" w:w="1728"/>
          </w:tcPr>
          <w:p>
            <w:r>
              <w:t>NORMAL</w:t>
            </w:r>
          </w:p>
        </w:tc>
        <w:tc>
          <w:tcPr>
            <w:tcW w:type="dxa" w:w="1728"/>
          </w:tcPr>
          <w:p>
            <w:r>
              <w:t>Standard (1×)</w:t>
            </w:r>
          </w:p>
        </w:tc>
        <w:tc>
          <w:tcPr>
            <w:tcW w:type="dxa" w:w="1728"/>
          </w:tcPr>
          <w:p>
            <w:r>
              <w:t>Normal</w:t>
            </w:r>
          </w:p>
        </w:tc>
        <w:tc>
          <w:tcPr>
            <w:tcW w:type="dxa" w:w="1728"/>
          </w:tcPr>
          <w:p>
            <w:r>
              <w:t>Normal</w:t>
            </w:r>
          </w:p>
        </w:tc>
        <w:tc>
          <w:tcPr>
            <w:tcW w:type="dxa" w:w="1728"/>
          </w:tcPr>
          <w:p>
            <w:r>
              <w:t>Project updates, meetings</w:t>
            </w:r>
          </w:p>
        </w:tc>
      </w:tr>
      <w:tr>
        <w:tc>
          <w:tcPr>
            <w:tcW w:type="dxa" w:w="1728"/>
          </w:tcPr>
          <w:p>
            <w:r>
              <w:t>LOW_VALUE</w:t>
            </w:r>
          </w:p>
        </w:tc>
        <w:tc>
          <w:tcPr>
            <w:tcW w:type="dxa" w:w="1728"/>
          </w:tcPr>
          <w:p>
            <w:r>
              <w:t>Fast (3×)</w:t>
            </w:r>
          </w:p>
        </w:tc>
        <w:tc>
          <w:tcPr>
            <w:tcW w:type="dxa" w:w="1728"/>
          </w:tcPr>
          <w:p>
            <w:r>
              <w:t>First to go</w:t>
            </w:r>
          </w:p>
        </w:tc>
        <w:tc>
          <w:tcPr>
            <w:tcW w:type="dxa" w:w="1728"/>
          </w:tcPr>
          <w:p>
            <w:r>
              <w:t>Normal</w:t>
            </w:r>
          </w:p>
        </w:tc>
        <w:tc>
          <w:tcPr>
            <w:tcW w:type="dxa" w:w="1728"/>
          </w:tcPr>
          <w:p>
            <w:r>
              <w:t>Filler, greetings</w:t>
            </w:r>
          </w:p>
        </w:tc>
      </w:tr>
    </w:tbl>
    <w:p/>
    <w:p>
      <w:r>
        <w:rPr>
          <w:b w:val="0"/>
          <w:i w:val="0"/>
          <w:sz w:val="22"/>
        </w:rPr>
        <w:t>The v1.5 classifier uses 50+ regex patterns covering medical conditions, explicit prohibitions, legal consequences, NDA/confidentiality, security secrets, privacy/protection, and addiction recovery. It achieves 30/30 recall on RiskBench-30 with 1.5% false positive rate.</w:t>
      </w:r>
    </w:p>
    <w:p>
      <w:pPr>
        <w:pStyle w:val="Heading2"/>
      </w:pPr>
      <w:r>
        <w:t>3.2 Risk-Aware Retention</w:t>
      </w:r>
    </w:p>
    <w:p>
      <w:r>
        <w:rPr>
          <w:b w:val="0"/>
          <w:i w:val="0"/>
          <w:sz w:val="22"/>
        </w:rPr>
        <w:t>Differential decay: importance(t) = importance(t₀) - base_rate × multiplier[risk_class] × Δt. Critical memories never decay. Low-value memories decay 3× faster.</w:t>
      </w:r>
    </w:p>
    <w:p>
      <w:r>
        <w:rPr>
          <w:b w:val="0"/>
          <w:i w:val="0"/>
          <w:sz w:val="22"/>
        </w:rPr>
        <w:t>Protected eviction: When capacity is reached, eviction follows risk-class priority. CRITICAL memories are never evicted — the system allows protected overflow.</w:t>
      </w:r>
    </w:p>
    <w:p>
      <w:pPr>
        <w:pStyle w:val="Heading2"/>
      </w:pPr>
      <w:r>
        <w:t>3.3 Critical-Memory Surfacing</w:t>
      </w:r>
    </w:p>
    <w:p>
      <w:r>
        <w:rPr>
          <w:b w:val="0"/>
          <w:i w:val="0"/>
          <w:sz w:val="22"/>
        </w:rPr>
        <w:t>At retrieval time, all CRITICAL memories are prepended to context with a safety tag: "⚠️ SAFETY CONSTRAINT: [fact]". The prompt explicitly instructs the LLM to treat these as hard constraints that override conflicting requests.</w:t>
      </w:r>
    </w:p>
    <w:p>
      <w:pPr>
        <w:pStyle w:val="Heading1"/>
      </w:pPr>
      <w:r>
        <w:t>4. RiskBench-30 Benchmark</w:t>
      </w:r>
    </w:p>
    <w:p>
      <w:r>
        <w:rPr>
          <w:b w:val="0"/>
          <w:i w:val="0"/>
          <w:sz w:val="22"/>
        </w:rPr>
        <w:t>RiskBench-30 is a frozen evaluation benchmark. Each of 30 scenarios contains: 12 facts (1 critical, 11 non-critical), a task requiring the critical fact for safety, safe_check regex patterns, and unsafe keyword lists.</w:t>
      </w:r>
    </w:p>
    <w:p>
      <w:pPr>
        <w:pStyle w:val="Heading2"/>
      </w:pPr>
      <w:r>
        <w:t>4.1 Domains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Domain</w:t>
            </w:r>
          </w:p>
        </w:tc>
        <w:tc>
          <w:tcPr>
            <w:tcW w:type="dxa" w:w="2880"/>
          </w:tcPr>
          <w:p>
            <w:r>
              <w:rPr>
                <w:b/>
              </w:rPr>
              <w:t>Scenarios</w:t>
            </w:r>
          </w:p>
        </w:tc>
        <w:tc>
          <w:tcPr>
            <w:tcW w:type="dxa" w:w="2880"/>
          </w:tcPr>
          <w:p>
            <w:r>
              <w:rPr>
                <w:b/>
              </w:rPr>
              <w:t>Example Critical Fact</w:t>
            </w:r>
          </w:p>
        </w:tc>
      </w:tr>
      <w:tr>
        <w:tc>
          <w:tcPr>
            <w:tcW w:type="dxa" w:w="2880"/>
          </w:tcPr>
          <w:p>
            <w:r>
              <w:t>Allergy / Food Safety</w:t>
            </w:r>
          </w:p>
        </w:tc>
        <w:tc>
          <w:tcPr>
            <w:tcW w:type="dxa" w:w="2880"/>
          </w:tcPr>
          <w:p>
            <w:r>
              <w:t>5</w:t>
            </w:r>
          </w:p>
        </w:tc>
        <w:tc>
          <w:tcPr>
            <w:tcW w:type="dxa" w:w="2880"/>
          </w:tcPr>
          <w:p>
            <w:r>
              <w:t>My son has a severe peanut allergy</w:t>
            </w:r>
          </w:p>
        </w:tc>
      </w:tr>
      <w:tr>
        <w:tc>
          <w:tcPr>
            <w:tcW w:type="dxa" w:w="2880"/>
          </w:tcPr>
          <w:p>
            <w:r>
              <w:t>Medication / Medical</w:t>
            </w:r>
          </w:p>
        </w:tc>
        <w:tc>
          <w:tcPr>
            <w:tcW w:type="dxa" w:w="2880"/>
          </w:tcPr>
          <w:p>
            <w:r>
              <w:t>5</w:t>
            </w:r>
          </w:p>
        </w:tc>
        <w:tc>
          <w:tcPr>
            <w:tcW w:type="dxa" w:w="2880"/>
          </w:tcPr>
          <w:p>
            <w:r>
              <w:t>I take warfarin (blood thinner) daily</w:t>
            </w:r>
          </w:p>
        </w:tc>
      </w:tr>
      <w:tr>
        <w:tc>
          <w:tcPr>
            <w:tcW w:type="dxa" w:w="2880"/>
          </w:tcPr>
          <w:p>
            <w:r>
              <w:t>Privacy / Contact</w:t>
            </w:r>
          </w:p>
        </w:tc>
        <w:tc>
          <w:tcPr>
            <w:tcW w:type="dxa" w:w="2880"/>
          </w:tcPr>
          <w:p>
            <w:r>
              <w:t>5</w:t>
            </w:r>
          </w:p>
        </w:tc>
        <w:tc>
          <w:tcPr>
            <w:tcW w:type="dxa" w:w="2880"/>
          </w:tcPr>
          <w:p>
            <w:r>
              <w:t>Never share my phone number — stalker situation</w:t>
            </w:r>
          </w:p>
        </w:tc>
      </w:tr>
      <w:tr>
        <w:tc>
          <w:tcPr>
            <w:tcW w:type="dxa" w:w="2880"/>
          </w:tcPr>
          <w:p>
            <w:r>
              <w:t>Legal / Deadline</w:t>
            </w:r>
          </w:p>
        </w:tc>
        <w:tc>
          <w:tcPr>
            <w:tcW w:type="dxa" w:w="2880"/>
          </w:tcPr>
          <w:p>
            <w:r>
              <w:t>5</w:t>
            </w:r>
          </w:p>
        </w:tc>
        <w:tc>
          <w:tcPr>
            <w:tcW w:type="dxa" w:w="2880"/>
          </w:tcPr>
          <w:p>
            <w:r>
              <w:t>Patent deadline June 15 — forfeits priority permanently</w:t>
            </w:r>
          </w:p>
        </w:tc>
      </w:tr>
      <w:tr>
        <w:tc>
          <w:tcPr>
            <w:tcW w:type="dxa" w:w="2880"/>
          </w:tcPr>
          <w:p>
            <w:r>
              <w:t>Addiction / Recovery</w:t>
            </w:r>
          </w:p>
        </w:tc>
        <w:tc>
          <w:tcPr>
            <w:tcW w:type="dxa" w:w="2880"/>
          </w:tcPr>
          <w:p>
            <w:r>
              <w:t>5</w:t>
            </w:r>
          </w:p>
        </w:tc>
        <w:tc>
          <w:tcPr>
            <w:tcW w:type="dxa" w:w="2880"/>
          </w:tcPr>
          <w:p>
            <w:r>
              <w:t>I'm 2 years sober — must never be around alcohol</w:t>
            </w:r>
          </w:p>
        </w:tc>
      </w:tr>
      <w:tr>
        <w:tc>
          <w:tcPr>
            <w:tcW w:type="dxa" w:w="2880"/>
          </w:tcPr>
          <w:p>
            <w:r>
              <w:t>Security / Secrets</w:t>
            </w:r>
          </w:p>
        </w:tc>
        <w:tc>
          <w:tcPr>
            <w:tcW w:type="dxa" w:w="2880"/>
          </w:tcPr>
          <w:p>
            <w:r>
              <w:t>5</w:t>
            </w:r>
          </w:p>
        </w:tc>
        <w:tc>
          <w:tcPr>
            <w:tcW w:type="dxa" w:w="2880"/>
          </w:tcPr>
          <w:p>
            <w:r>
              <w:t>Production database password must never be shared</w:t>
            </w:r>
          </w:p>
        </w:tc>
      </w:tr>
    </w:tbl>
    <w:p>
      <w:pPr>
        <w:pStyle w:val="Heading2"/>
      </w:pPr>
      <w:r>
        <w:t>4.2 Evaluation Protocol</w:t>
      </w:r>
    </w:p>
    <w:p>
      <w:r>
        <w:rPr>
          <w:b w:val="0"/>
          <w:i w:val="0"/>
          <w:sz w:val="22"/>
        </w:rPr>
        <w:t>For each scenario: (1) Store all 12 facts. (2) Add 50 filler noise messages. (3) Advance 7 simulated days. (4) Retrieve context for task. (5) Generate response (proxy or LLM). (6) Evaluate safety. (7) Assign root-cause label.</w:t>
      </w:r>
    </w:p>
    <w:p>
      <w:pPr>
        <w:pStyle w:val="Heading1"/>
      </w:pPr>
      <w:r>
        <w:t>5. Evaluation Setup</w:t>
      </w:r>
    </w:p>
    <w:p>
      <w:pPr>
        <w:pStyle w:val="Heading2"/>
      </w:pPr>
      <w:r>
        <w:t>5.1 Systems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System</w:t>
            </w:r>
          </w:p>
        </w:tc>
        <w:tc>
          <w:tcPr>
            <w:tcW w:type="dxa" w:w="4320"/>
          </w:tcPr>
          <w:p>
            <w:r>
              <w:rPr>
                <w:b/>
              </w:rPr>
              <w:t>Description</w:t>
            </w:r>
          </w:p>
        </w:tc>
      </w:tr>
      <w:tr>
        <w:tc>
          <w:tcPr>
            <w:tcW w:type="dxa" w:w="4320"/>
          </w:tcPr>
          <w:p>
            <w:r>
              <w:t>FullContext</w:t>
            </w:r>
          </w:p>
        </w:tc>
        <w:tc>
          <w:tcPr>
            <w:tcW w:type="dxa" w:w="4320"/>
          </w:tcPr>
          <w:p>
            <w:r>
              <w:t>Oracle — all facts always in context</w:t>
            </w:r>
          </w:p>
        </w:tc>
      </w:tr>
      <w:tr>
        <w:tc>
          <w:tcPr>
            <w:tcW w:type="dxa" w:w="4320"/>
          </w:tcPr>
          <w:p>
            <w:r>
              <w:t>Uniform</w:t>
            </w:r>
          </w:p>
        </w:tc>
        <w:tc>
          <w:tcPr>
            <w:tcW w:type="dxa" w:w="4320"/>
          </w:tcPr>
          <w:p>
            <w:r>
              <w:t>All memories equal, evict by lowest importance</w:t>
            </w:r>
          </w:p>
        </w:tc>
      </w:tr>
      <w:tr>
        <w:tc>
          <w:tcPr>
            <w:tcW w:type="dxa" w:w="4320"/>
          </w:tcPr>
          <w:p>
            <w:r>
              <w:t>ImportanceOnly</w:t>
            </w:r>
          </w:p>
        </w:tc>
        <w:tc>
          <w:tcPr>
            <w:tcW w:type="dxa" w:w="4320"/>
          </w:tcPr>
          <w:p>
            <w:r>
              <w:t>Evict by importance, no risk classes</w:t>
            </w:r>
          </w:p>
        </w:tc>
      </w:tr>
      <w:tr>
        <w:tc>
          <w:tcPr>
            <w:tcW w:type="dxa" w:w="4320"/>
          </w:tcPr>
          <w:p>
            <w:r>
              <w:t>RiskCache</w:t>
            </w:r>
          </w:p>
        </w:tc>
        <w:tc>
          <w:tcPr>
            <w:tcW w:type="dxa" w:w="4320"/>
          </w:tcPr>
          <w:p>
            <w:r>
              <w:t>Full: classification + retention + surfacing</w:t>
            </w:r>
          </w:p>
        </w:tc>
      </w:tr>
    </w:tbl>
    <w:p/>
    <w:p>
      <w:pPr>
        <w:pStyle w:val="Heading2"/>
      </w:pPr>
      <w:r>
        <w:t>5.2 Ablations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Ablation</w:t>
            </w:r>
          </w:p>
        </w:tc>
        <w:tc>
          <w:tcPr>
            <w:tcW w:type="dxa" w:w="4320"/>
          </w:tcPr>
          <w:p>
            <w:r>
              <w:rPr>
                <w:b/>
              </w:rPr>
              <w:t>What is Removed</w:t>
            </w:r>
          </w:p>
        </w:tc>
      </w:tr>
      <w:tr>
        <w:tc>
          <w:tcPr>
            <w:tcW w:type="dxa" w:w="4320"/>
          </w:tcPr>
          <w:p>
            <w:r>
              <w:t>NoFraming</w:t>
            </w:r>
          </w:p>
        </w:tc>
        <w:tc>
          <w:tcPr>
            <w:tcW w:type="dxa" w:w="4320"/>
          </w:tcPr>
          <w:p>
            <w:r>
              <w:t>Critical-memory injection disabled</w:t>
            </w:r>
          </w:p>
        </w:tc>
      </w:tr>
      <w:tr>
        <w:tc>
          <w:tcPr>
            <w:tcW w:type="dxa" w:w="4320"/>
          </w:tcPr>
          <w:p>
            <w:r>
              <w:t>NoProtectedEviction</w:t>
            </w:r>
          </w:p>
        </w:tc>
        <w:tc>
          <w:tcPr>
            <w:tcW w:type="dxa" w:w="4320"/>
          </w:tcPr>
          <w:p>
            <w:r>
              <w:t>CRITICAL can be evicted</w:t>
            </w:r>
          </w:p>
        </w:tc>
      </w:tr>
      <w:tr>
        <w:tc>
          <w:tcPr>
            <w:tcW w:type="dxa" w:w="4320"/>
          </w:tcPr>
          <w:p>
            <w:r>
              <w:t>NoDecayProtection</w:t>
            </w:r>
          </w:p>
        </w:tc>
        <w:tc>
          <w:tcPr>
            <w:tcW w:type="dxa" w:w="4320"/>
          </w:tcPr>
          <w:p>
            <w:r>
              <w:t>CRITICAL decays at normal rate</w:t>
            </w:r>
          </w:p>
        </w:tc>
      </w:tr>
    </w:tbl>
    <w:p/>
    <w:p>
      <w:pPr>
        <w:pStyle w:val="Heading2"/>
      </w:pPr>
      <w:r>
        <w:t>5.3 Metrics</w:t>
      </w:r>
    </w:p>
    <w:p>
      <w:r>
        <w:rPr>
          <w:b w:val="0"/>
          <w:i w:val="0"/>
          <w:sz w:val="22"/>
        </w:rPr>
        <w:t>• Safe answer rate — did the response respect the critical constraint?</w:t>
      </w:r>
    </w:p>
    <w:p>
      <w:r>
        <w:rPr>
          <w:b w:val="0"/>
          <w:i w:val="0"/>
          <w:sz w:val="22"/>
        </w:rPr>
        <w:t>• Critical retained — is the critical fact still in memory?</w:t>
      </w:r>
    </w:p>
    <w:p>
      <w:r>
        <w:rPr>
          <w:b w:val="0"/>
          <w:i w:val="0"/>
          <w:sz w:val="22"/>
        </w:rPr>
        <w:t>• Critical in context — was the critical fact in the LLM prompt?</w:t>
      </w:r>
    </w:p>
    <w:p>
      <w:r>
        <w:rPr>
          <w:b w:val="0"/>
          <w:i w:val="0"/>
          <w:sz w:val="22"/>
        </w:rPr>
        <w:t>• Root cause — SAFE / EVICTED / MISSED_RETRIEVAL / LLM_IGNORED</w:t>
      </w:r>
    </w:p>
    <w:p>
      <w:pPr>
        <w:pStyle w:val="Heading1"/>
      </w:pPr>
      <w:r>
        <w:t>6. Results</w:t>
      </w:r>
    </w:p>
    <w:p>
      <w:pPr>
        <w:pStyle w:val="Heading2"/>
      </w:pPr>
      <w:r>
        <w:t>6.1 Proxy Evaluation (Mechanism Isolation)</w:t>
      </w:r>
    </w:p>
    <w:p>
      <w:r>
        <w:rPr>
          <w:b w:val="0"/>
          <w:i w:val="0"/>
          <w:sz w:val="22"/>
        </w:rPr>
        <w:t>The proxy judge assumes the LLM will use any critical fact present in context. This isolates the memory system contribution from model behavior.</w:t>
      </w:r>
    </w:p>
    <w:p>
      <w:pPr>
        <w:jc w:val="center"/>
      </w:pPr>
      <w:r>
        <w:drawing>
          <wp:inline xmlns:a="http://schemas.openxmlformats.org/drawingml/2006/main" xmlns:pic="http://schemas.openxmlformats.org/drawingml/2006/picture">
            <wp:extent cx="5029200" cy="2475601"/>
            <wp:docPr id="3" name="Picture 3"/>
            <wp:cNvGraphicFramePr>
              <a:graphicFrameLocks noChangeAspect="1"/>
            </wp:cNvGraphicFramePr>
            <a:graphic>
              <a:graphicData uri="http://schemas.openxmlformats.org/drawingml/2006/picture">
                <pic:pic>
                  <pic:nvPicPr>
                    <pic:cNvPr id="0" name="ablation_bar.png"/>
                    <pic:cNvPicPr/>
                  </pic:nvPicPr>
                  <pic:blipFill>
                    <a:blip r:embed="rId11"/>
                    <a:stretch>
                      <a:fillRect/>
                    </a:stretch>
                  </pic:blipFill>
                  <pic:spPr>
                    <a:xfrm>
                      <a:off x="0" y="0"/>
                      <a:ext cx="5029200" cy="2475601"/>
                    </a:xfrm>
                    <a:prstGeom prst="rect"/>
                  </pic:spPr>
                </pic:pic>
              </a:graphicData>
            </a:graphic>
          </wp:inline>
        </w:drawing>
      </w:r>
    </w:p>
    <w:p>
      <w:pPr>
        <w:jc w:val="center"/>
      </w:pPr>
      <w:r>
        <w:rPr>
          <w:i/>
          <w:sz w:val="20"/>
        </w:rPr>
        <w:t>Figure 3: Proxy ablation results (cap=8, v1.5 classifier). RiskCache matches the oracle. NoFraming drops to uniform level.</w:t>
      </w:r>
    </w:p>
    <w:p>
      <w:r>
        <w:rPr>
          <w:b/>
          <w:i w:val="0"/>
          <w:sz w:val="22"/>
        </w:rPr>
        <w:t>Key finding: The 16.7 percentage point gap between RiskCache (96.7%) and NoFraming/Uniform (80.0%) is entirely due to critical-memory surfacing.</w:t>
      </w:r>
    </w:p>
    <w:p>
      <w:pPr>
        <w:pStyle w:val="Heading2"/>
      </w:pPr>
      <w:r>
        <w:t>6.2 Live LLM Evaluation</w:t>
      </w:r>
    </w:p>
    <w:p>
      <w:r>
        <w:rPr>
          <w:b w:val="0"/>
          <w:i w:val="0"/>
          <w:sz w:val="22"/>
        </w:rPr>
        <w:t>With gpt-4o-mini (temperature=0.0), capacity=8:</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System</w:t>
            </w:r>
          </w:p>
        </w:tc>
        <w:tc>
          <w:tcPr>
            <w:tcW w:type="dxa" w:w="2160"/>
          </w:tcPr>
          <w:p>
            <w:r>
              <w:rPr>
                <w:b/>
              </w:rPr>
              <w:t>Safe%</w:t>
            </w:r>
          </w:p>
        </w:tc>
        <w:tc>
          <w:tcPr>
            <w:tcW w:type="dxa" w:w="2160"/>
          </w:tcPr>
          <w:p>
            <w:r>
              <w:rPr>
                <w:b/>
              </w:rPr>
              <w:t>Missed Retrieval</w:t>
            </w:r>
          </w:p>
        </w:tc>
        <w:tc>
          <w:tcPr>
            <w:tcW w:type="dxa" w:w="2160"/>
          </w:tcPr>
          <w:p>
            <w:r>
              <w:rPr>
                <w:b/>
              </w:rPr>
              <w:t>LLM Ignored</w:t>
            </w:r>
          </w:p>
        </w:tc>
      </w:tr>
      <w:tr>
        <w:tc>
          <w:tcPr>
            <w:tcW w:type="dxa" w:w="2160"/>
          </w:tcPr>
          <w:p>
            <w:r>
              <w:t>FullContext</w:t>
            </w:r>
          </w:p>
        </w:tc>
        <w:tc>
          <w:tcPr>
            <w:tcW w:type="dxa" w:w="2160"/>
          </w:tcPr>
          <w:p>
            <w:r>
              <w:t>96.7%</w:t>
            </w:r>
          </w:p>
        </w:tc>
        <w:tc>
          <w:tcPr>
            <w:tcW w:type="dxa" w:w="2160"/>
          </w:tcPr>
          <w:p>
            <w:r>
              <w:t>0</w:t>
            </w:r>
          </w:p>
        </w:tc>
        <w:tc>
          <w:tcPr>
            <w:tcW w:type="dxa" w:w="2160"/>
          </w:tcPr>
          <w:p>
            <w:r>
              <w:t>1</w:t>
            </w:r>
          </w:p>
        </w:tc>
      </w:tr>
      <w:tr>
        <w:tc>
          <w:tcPr>
            <w:tcW w:type="dxa" w:w="2160"/>
          </w:tcPr>
          <w:p>
            <w:r>
              <w:t>ImportanceOnly</w:t>
            </w:r>
          </w:p>
        </w:tc>
        <w:tc>
          <w:tcPr>
            <w:tcW w:type="dxa" w:w="2160"/>
          </w:tcPr>
          <w:p>
            <w:r>
              <w:t>100.0%</w:t>
            </w:r>
          </w:p>
        </w:tc>
        <w:tc>
          <w:tcPr>
            <w:tcW w:type="dxa" w:w="2160"/>
          </w:tcPr>
          <w:p>
            <w:r>
              <w:t>0</w:t>
            </w:r>
          </w:p>
        </w:tc>
        <w:tc>
          <w:tcPr>
            <w:tcW w:type="dxa" w:w="2160"/>
          </w:tcPr>
          <w:p>
            <w:r>
              <w:t>0</w:t>
            </w:r>
          </w:p>
        </w:tc>
      </w:tr>
      <w:tr>
        <w:tc>
          <w:tcPr>
            <w:tcW w:type="dxa" w:w="2160"/>
          </w:tcPr>
          <w:p>
            <w:r>
              <w:t>Uniform</w:t>
            </w:r>
          </w:p>
        </w:tc>
        <w:tc>
          <w:tcPr>
            <w:tcW w:type="dxa" w:w="2160"/>
          </w:tcPr>
          <w:p>
            <w:r>
              <w:t>100.0%</w:t>
            </w:r>
          </w:p>
        </w:tc>
        <w:tc>
          <w:tcPr>
            <w:tcW w:type="dxa" w:w="2160"/>
          </w:tcPr>
          <w:p>
            <w:r>
              <w:t>0</w:t>
            </w:r>
          </w:p>
        </w:tc>
        <w:tc>
          <w:tcPr>
            <w:tcW w:type="dxa" w:w="2160"/>
          </w:tcPr>
          <w:p>
            <w:r>
              <w:t>0</w:t>
            </w:r>
          </w:p>
        </w:tc>
      </w:tr>
      <w:tr>
        <w:tc>
          <w:tcPr>
            <w:tcW w:type="dxa" w:w="2160"/>
          </w:tcPr>
          <w:p>
            <w:r>
              <w:t>RiskCache</w:t>
            </w:r>
          </w:p>
        </w:tc>
        <w:tc>
          <w:tcPr>
            <w:tcW w:type="dxa" w:w="2160"/>
          </w:tcPr>
          <w:p>
            <w:r>
              <w:t>96.7%</w:t>
            </w:r>
          </w:p>
        </w:tc>
        <w:tc>
          <w:tcPr>
            <w:tcW w:type="dxa" w:w="2160"/>
          </w:tcPr>
          <w:p>
            <w:r>
              <w:t>0</w:t>
            </w:r>
          </w:p>
        </w:tc>
        <w:tc>
          <w:tcPr>
            <w:tcW w:type="dxa" w:w="2160"/>
          </w:tcPr>
          <w:p>
            <w:r>
              <w:t>1</w:t>
            </w:r>
          </w:p>
        </w:tc>
      </w:tr>
    </w:tbl>
    <w:p/>
    <w:p>
      <w:r>
        <w:rPr>
          <w:b w:val="0"/>
          <w:i w:val="0"/>
          <w:sz w:val="22"/>
        </w:rPr>
        <w:t>RiskCache has zero retrieval failures. Its single failure is a model-side reasoning error (medication_02: MAO inhibitor + cheese/wine).</w:t>
      </w:r>
    </w:p>
    <w:p>
      <w:r>
        <w:rPr>
          <w:b/>
          <w:i w:val="0"/>
          <w:sz w:val="22"/>
        </w:rPr>
        <w:t>Result interpretation: Safe-answer rate alone can be misleading. A system may appear safe because it never surfaced a risky constraint — the LLM defaults to generic advice that happens to avoid harm. Therefore, RiskBench reports root cause alongside safe rate. RiskCache's contribution is reducing memory-side failures to zero; model-side reasoning failures remain outside the memory layer's responsibility.</w:t>
      </w:r>
    </w:p>
    <w:p>
      <w:pPr>
        <w:jc w:val="center"/>
      </w:pPr>
      <w:r>
        <w:drawing>
          <wp:inline xmlns:a="http://schemas.openxmlformats.org/drawingml/2006/main" xmlns:pic="http://schemas.openxmlformats.org/drawingml/2006/picture">
            <wp:extent cx="5029200" cy="2826488"/>
            <wp:docPr id="4" name="Picture 4"/>
            <wp:cNvGraphicFramePr>
              <a:graphicFrameLocks noChangeAspect="1"/>
            </wp:cNvGraphicFramePr>
            <a:graphic>
              <a:graphicData uri="http://schemas.openxmlformats.org/drawingml/2006/picture">
                <pic:pic>
                  <pic:nvPicPr>
                    <pic:cNvPr id="0" name="missed_retrieval_bar.png"/>
                    <pic:cNvPicPr/>
                  </pic:nvPicPr>
                  <pic:blipFill>
                    <a:blip r:embed="rId12"/>
                    <a:stretch>
                      <a:fillRect/>
                    </a:stretch>
                  </pic:blipFill>
                  <pic:spPr>
                    <a:xfrm>
                      <a:off x="0" y="0"/>
                      <a:ext cx="5029200" cy="2826488"/>
                    </a:xfrm>
                    <a:prstGeom prst="rect"/>
                  </pic:spPr>
                </pic:pic>
              </a:graphicData>
            </a:graphic>
          </wp:inline>
        </w:drawing>
      </w:r>
    </w:p>
    <w:p>
      <w:pPr>
        <w:jc w:val="center"/>
      </w:pPr>
      <w:r>
        <w:rPr>
          <w:i/>
          <w:sz w:val="20"/>
        </w:rPr>
        <w:t>Figure 4: Memory-side failures by system. RiskCache eliminates all missed retrieval failures. Uniform and ImportanceOnly lose critical facts under pressure.</w:t>
      </w:r>
    </w:p>
    <w:p>
      <w:pPr>
        <w:pStyle w:val="Heading2"/>
      </w:pPr>
      <w:r>
        <w:t>6.3 Domain Breakdown</w:t>
      </w:r>
    </w:p>
    <w:p>
      <w:pPr>
        <w:jc w:val="center"/>
      </w:pPr>
      <w:r>
        <w:drawing>
          <wp:inline xmlns:a="http://schemas.openxmlformats.org/drawingml/2006/main" xmlns:pic="http://schemas.openxmlformats.org/drawingml/2006/picture">
            <wp:extent cx="5029200" cy="3626162"/>
            <wp:docPr id="5" name="Picture 5"/>
            <wp:cNvGraphicFramePr>
              <a:graphicFrameLocks noChangeAspect="1"/>
            </wp:cNvGraphicFramePr>
            <a:graphic>
              <a:graphicData uri="http://schemas.openxmlformats.org/drawingml/2006/picture">
                <pic:pic>
                  <pic:nvPicPr>
                    <pic:cNvPr id="0" name="domain_heatmap.png"/>
                    <pic:cNvPicPr/>
                  </pic:nvPicPr>
                  <pic:blipFill>
                    <a:blip r:embed="rId13"/>
                    <a:stretch>
                      <a:fillRect/>
                    </a:stretch>
                  </pic:blipFill>
                  <pic:spPr>
                    <a:xfrm>
                      <a:off x="0" y="0"/>
                      <a:ext cx="5029200" cy="3626162"/>
                    </a:xfrm>
                    <a:prstGeom prst="rect"/>
                  </pic:spPr>
                </pic:pic>
              </a:graphicData>
            </a:graphic>
          </wp:inline>
        </w:drawing>
      </w:r>
    </w:p>
    <w:p>
      <w:pPr>
        <w:jc w:val="center"/>
      </w:pPr>
      <w:r>
        <w:rPr>
          <w:i/>
          <w:sz w:val="20"/>
        </w:rPr>
        <w:t>Figure 5: Safety rate by domain. RiskCache achieves 100% on 5 of 6 domains.</w:t>
      </w:r>
    </w:p>
    <w:p>
      <w:pPr>
        <w:pStyle w:val="Heading1"/>
      </w:pPr>
      <w:r>
        <w:t>7. Failure Analysis</w:t>
      </w:r>
    </w:p>
    <w:p>
      <w:pPr>
        <w:pStyle w:val="Heading2"/>
      </w:pPr>
      <w:r>
        <w:t>7.1 The MAO Inhibitor Case</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Detail</w:t>
            </w:r>
          </w:p>
        </w:tc>
      </w:tr>
      <w:tr>
        <w:tc>
          <w:tcPr>
            <w:tcW w:type="dxa" w:w="4320"/>
          </w:tcPr>
          <w:p>
            <w:r>
              <w:t>Critical fact</w:t>
            </w:r>
          </w:p>
        </w:tc>
        <w:tc>
          <w:tcPr>
            <w:tcW w:type="dxa" w:w="4320"/>
          </w:tcPr>
          <w:p>
            <w:r>
              <w:t>I'm on MAO inhibitors for depression</w:t>
            </w:r>
          </w:p>
        </w:tc>
      </w:tr>
      <w:tr>
        <w:tc>
          <w:tcPr>
            <w:tcW w:type="dxa" w:w="4320"/>
          </w:tcPr>
          <w:p>
            <w:r>
              <w:t>Task</w:t>
            </w:r>
          </w:p>
        </w:tc>
        <w:tc>
          <w:tcPr>
            <w:tcW w:type="dxa" w:w="4320"/>
          </w:tcPr>
          <w:p>
            <w:r>
              <w:t>Suggest a cheese and wine pairing</w:t>
            </w:r>
          </w:p>
        </w:tc>
      </w:tr>
      <w:tr>
        <w:tc>
          <w:tcPr>
            <w:tcW w:type="dxa" w:w="4320"/>
          </w:tcPr>
          <w:p>
            <w:r>
              <w:t>Context given</w:t>
            </w:r>
          </w:p>
        </w:tc>
        <w:tc>
          <w:tcPr>
            <w:tcW w:type="dxa" w:w="4320"/>
          </w:tcPr>
          <w:p>
            <w:r>
              <w:t>⚠️ SAFETY CONSTRAINT: I'm on MAO inhibitors...</w:t>
            </w:r>
          </w:p>
        </w:tc>
      </w:tr>
      <w:tr>
        <w:tc>
          <w:tcPr>
            <w:tcW w:type="dxa" w:w="4320"/>
          </w:tcPr>
          <w:p>
            <w:r>
              <w:t>LLM response</w:t>
            </w:r>
          </w:p>
        </w:tc>
        <w:tc>
          <w:tcPr>
            <w:tcW w:type="dxa" w:w="4320"/>
          </w:tcPr>
          <w:p>
            <w:r>
              <w:t>Recommends aged cheddar + red wine</w:t>
            </w:r>
          </w:p>
        </w:tc>
      </w:tr>
      <w:tr>
        <w:tc>
          <w:tcPr>
            <w:tcW w:type="dxa" w:w="4320"/>
          </w:tcPr>
          <w:p>
            <w:r>
              <w:t>Why dangerous</w:t>
            </w:r>
          </w:p>
        </w:tc>
        <w:tc>
          <w:tcPr>
            <w:tcW w:type="dxa" w:w="4320"/>
          </w:tcPr>
          <w:p>
            <w:r>
              <w:t>Tyramine + MAO inhibitors → hypertensive crisis</w:t>
            </w:r>
          </w:p>
        </w:tc>
      </w:tr>
      <w:tr>
        <w:tc>
          <w:tcPr>
            <w:tcW w:type="dxa" w:w="4320"/>
          </w:tcPr>
          <w:p>
            <w:r>
              <w:t>Root cause</w:t>
            </w:r>
          </w:p>
        </w:tc>
        <w:tc>
          <w:tcPr>
            <w:tcW w:type="dxa" w:w="4320"/>
          </w:tcPr>
          <w:p>
            <w:r>
              <w:t>Model does not infer medical implication</w:t>
            </w:r>
          </w:p>
        </w:tc>
      </w:tr>
    </w:tbl>
    <w:p/>
    <w:p>
      <w:r>
        <w:rPr>
          <w:b/>
          <w:i w:val="0"/>
          <w:sz w:val="22"/>
        </w:rPr>
        <w:t>The memory system did its job — the constraint was classified, retained, surfaced, and framed. The failure is in model reasoning, not memory.</w:t>
      </w:r>
    </w:p>
    <w:p>
      <w:pPr>
        <w:pStyle w:val="Heading2"/>
      </w:pPr>
      <w:r>
        <w:t>7.2 Memory Failure vs Model Failure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Failure Type</w:t>
            </w:r>
          </w:p>
        </w:tc>
        <w:tc>
          <w:tcPr>
            <w:tcW w:type="dxa" w:w="2880"/>
          </w:tcPr>
          <w:p>
            <w:r>
              <w:rPr>
                <w:b/>
              </w:rPr>
              <w:t>Responsibility</w:t>
            </w:r>
          </w:p>
        </w:tc>
        <w:tc>
          <w:tcPr>
            <w:tcW w:type="dxa" w:w="2880"/>
          </w:tcPr>
          <w:p>
            <w:r>
              <w:rPr>
                <w:b/>
              </w:rPr>
              <w:t>RiskCache Fixes?</w:t>
            </w:r>
          </w:p>
        </w:tc>
      </w:tr>
      <w:tr>
        <w:tc>
          <w:tcPr>
            <w:tcW w:type="dxa" w:w="2880"/>
          </w:tcPr>
          <w:p>
            <w:r>
              <w:t>Not classified</w:t>
            </w:r>
          </w:p>
        </w:tc>
        <w:tc>
          <w:tcPr>
            <w:tcW w:type="dxa" w:w="2880"/>
          </w:tcPr>
          <w:p>
            <w:r>
              <w:t>Classifier</w:t>
            </w:r>
          </w:p>
        </w:tc>
        <w:tc>
          <w:tcPr>
            <w:tcW w:type="dxa" w:w="2880"/>
          </w:tcPr>
          <w:p>
            <w:r>
              <w:t>Yes</w:t>
            </w:r>
          </w:p>
        </w:tc>
      </w:tr>
      <w:tr>
        <w:tc>
          <w:tcPr>
            <w:tcW w:type="dxa" w:w="2880"/>
          </w:tcPr>
          <w:p>
            <w:r>
              <w:t>Evicted</w:t>
            </w:r>
          </w:p>
        </w:tc>
        <w:tc>
          <w:tcPr>
            <w:tcW w:type="dxa" w:w="2880"/>
          </w:tcPr>
          <w:p>
            <w:r>
              <w:t>Retention policy</w:t>
            </w:r>
          </w:p>
        </w:tc>
        <w:tc>
          <w:tcPr>
            <w:tcW w:type="dxa" w:w="2880"/>
          </w:tcPr>
          <w:p>
            <w:r>
              <w:t>Yes</w:t>
            </w:r>
          </w:p>
        </w:tc>
      </w:tr>
      <w:tr>
        <w:tc>
          <w:tcPr>
            <w:tcW w:type="dxa" w:w="2880"/>
          </w:tcPr>
          <w:p>
            <w:r>
              <w:t>Not retrieved</w:t>
            </w:r>
          </w:p>
        </w:tc>
        <w:tc>
          <w:tcPr>
            <w:tcW w:type="dxa" w:w="2880"/>
          </w:tcPr>
          <w:p>
            <w:r>
              <w:t>Surfacing</w:t>
            </w:r>
          </w:p>
        </w:tc>
        <w:tc>
          <w:tcPr>
            <w:tcW w:type="dxa" w:w="2880"/>
          </w:tcPr>
          <w:p>
            <w:r>
              <w:t>Yes</w:t>
            </w:r>
          </w:p>
        </w:tc>
      </w:tr>
      <w:tr>
        <w:tc>
          <w:tcPr>
            <w:tcW w:type="dxa" w:w="2880"/>
          </w:tcPr>
          <w:p>
            <w:r>
              <w:t>LLM ignores</w:t>
            </w:r>
          </w:p>
        </w:tc>
        <w:tc>
          <w:tcPr>
            <w:tcW w:type="dxa" w:w="2880"/>
          </w:tcPr>
          <w:p>
            <w:r>
              <w:t>Model reasoning</w:t>
            </w:r>
          </w:p>
        </w:tc>
        <w:tc>
          <w:tcPr>
            <w:tcW w:type="dxa" w:w="2880"/>
          </w:tcPr>
          <w:p>
            <w:r>
              <w:t>No</w:t>
            </w:r>
          </w:p>
        </w:tc>
      </w:tr>
    </w:tbl>
    <w:p>
      <w:pPr>
        <w:pStyle w:val="Heading1"/>
      </w:pPr>
      <w:r>
        <w:t>8. Limitations</w:t>
      </w:r>
    </w:p>
    <w:p>
      <w:r>
        <w:rPr>
          <w:b w:val="0"/>
          <w:i w:val="0"/>
          <w:sz w:val="22"/>
        </w:rPr>
        <w:t>1. Small benchmark — 30 scenarios cannot represent full distribution of real deployments.</w:t>
      </w:r>
    </w:p>
    <w:p>
      <w:r>
        <w:rPr>
          <w:b w:val="0"/>
          <w:i w:val="0"/>
          <w:sz w:val="22"/>
        </w:rPr>
        <w:t>2. Synthetic pressure — filler noise is random, not realistic conversation.</w:t>
      </w:r>
    </w:p>
    <w:p>
      <w:r>
        <w:rPr>
          <w:b w:val="0"/>
          <w:i w:val="0"/>
          <w:sz w:val="22"/>
        </w:rPr>
        <w:t>3. Single model — only gpt-4o-mini tested for live evaluation.</w:t>
      </w:r>
    </w:p>
    <w:p>
      <w:r>
        <w:rPr>
          <w:b w:val="0"/>
          <w:i w:val="0"/>
          <w:sz w:val="22"/>
        </w:rPr>
        <w:t>4. Rule-based judge — regex patterns can produce false positives/negatives.</w:t>
      </w:r>
    </w:p>
    <w:p>
      <w:r>
        <w:rPr>
          <w:b w:val="0"/>
          <w:i w:val="0"/>
          <w:sz w:val="22"/>
        </w:rPr>
        <w:t>5. Pattern-based classifier — v1.5 works on this benchmark but may miss novel phrasings.</w:t>
      </w:r>
    </w:p>
    <w:p>
      <w:r>
        <w:rPr>
          <w:b w:val="0"/>
          <w:i w:val="0"/>
          <w:sz w:val="22"/>
        </w:rPr>
        <w:t>6. No real deployment — simulated memory pressure, not real users.</w:t>
      </w:r>
    </w:p>
    <w:p>
      <w:pPr>
        <w:pStyle w:val="Heading1"/>
      </w:pPr>
      <w:r>
        <w:t>9. Future Work</w:t>
      </w:r>
    </w:p>
    <w:p>
      <w:r>
        <w:rPr>
          <w:b w:val="0"/>
          <w:i w:val="0"/>
          <w:sz w:val="22"/>
        </w:rPr>
        <w:t>• RiskBench-100 — expand to 100 scenarios with adversarial variants.</w:t>
      </w:r>
    </w:p>
    <w:p>
      <w:r>
        <w:rPr>
          <w:b w:val="0"/>
          <w:i w:val="0"/>
          <w:sz w:val="22"/>
        </w:rPr>
        <w:t>• Multi-model evaluation — GPT-4o, Claude, Llama 3, Gemini.</w:t>
      </w:r>
    </w:p>
    <w:p>
      <w:r>
        <w:rPr>
          <w:b w:val="0"/>
          <w:i w:val="0"/>
          <w:sz w:val="22"/>
        </w:rPr>
        <w:t>• LLM-based classifier — lightweight LLM call at storage for higher recall.</w:t>
      </w:r>
    </w:p>
    <w:p>
      <w:r>
        <w:rPr>
          <w:b w:val="0"/>
          <w:i w:val="0"/>
          <w:sz w:val="22"/>
        </w:rPr>
        <w:t>• Constraint implication expansion — "MAO inhibitors" → "avoid tyramine-rich foods".</w:t>
      </w:r>
    </w:p>
    <w:p>
      <w:r>
        <w:rPr>
          <w:b w:val="0"/>
          <w:i w:val="0"/>
          <w:sz w:val="22"/>
        </w:rPr>
        <w:t>• Human evaluation — domain experts assess safety.</w:t>
      </w:r>
    </w:p>
    <w:p>
      <w:r>
        <w:rPr>
          <w:b w:val="0"/>
          <w:i w:val="0"/>
          <w:sz w:val="22"/>
        </w:rPr>
        <w:t>• Bitcache integration — Rust engine for production performance (20K+ QPS).</w:t>
      </w:r>
    </w:p>
    <w:p>
      <w:pPr>
        <w:pStyle w:val="Heading1"/>
      </w:pPr>
      <w:r>
        <w:t>10. Conclusion</w:t>
      </w:r>
    </w:p>
    <w:p>
      <w:r>
        <w:rPr>
          <w:b w:val="0"/>
          <w:i w:val="0"/>
          <w:sz w:val="22"/>
        </w:rPr>
        <w:t>RiskCache reframes long-term agent memory as a risk-aware decision problem. By classifying memories by consequence of forgetting rather than relevance alone, and by ensuring that critical memories are retained and surfaced to the LLM, it reduces memory-side failures on safety-critical tasks to near zero.</w:t>
      </w:r>
    </w:p>
    <w:p>
      <w:r>
        <w:rPr>
          <w:b w:val="0"/>
          <w:i w:val="0"/>
          <w:sz w:val="22"/>
        </w:rPr>
        <w:t>In proxy ablations, RiskCache reaches 96.7% safety versus 80.0% for Uniform memory. In live gpt-4o-mini evaluation, RiskCache has zero memory-side retrieval failures. The ablation study identifies critical-memory injection as the key mechanism: without it, RiskCache degrades to uniform-level performance.</w:t>
      </w:r>
    </w:p>
    <w:p>
      <w:r>
        <w:rPr>
          <w:b w:val="0"/>
          <w:i w:val="0"/>
          <w:sz w:val="22"/>
        </w:rPr>
        <w:t>The remaining failures are entirely model-side reasoning errors. This establishes a clear responsibility boundary: RiskCache does not guarantee safe answers. It ensures that critical facts are less likely to be lost or hidden by the memory system. Remaining unsafe answers are model-compliance or reasoning failures that require model-level safety mechanisms.</w:t>
      </w:r>
    </w:p>
    <w:p>
      <w:pPr>
        <w:pStyle w:val="Heading1"/>
      </w:pPr>
      <w:r>
        <w:t>References</w:t>
      </w:r>
    </w:p>
    <w:p>
      <w:r>
        <w:rPr>
          <w:b w:val="0"/>
          <w:i w:val="0"/>
          <w:sz w:val="20"/>
        </w:rPr>
        <w:t>[1] Packer et al. (2023). MemGPT: Towards LLMs as Operating Systems. arXiv:2310.08560.</w:t>
      </w:r>
    </w:p>
    <w:p>
      <w:r>
        <w:rPr>
          <w:b w:val="0"/>
          <w:i w:val="0"/>
          <w:sz w:val="20"/>
        </w:rPr>
        <w:t>[2] Park et al. (2023). Generative Agents: Interactive Simulacra of Human Behavior. UIST 2023.</w:t>
      </w:r>
    </w:p>
    <w:p>
      <w:r>
        <w:rPr>
          <w:b w:val="0"/>
          <w:i w:val="0"/>
          <w:sz w:val="20"/>
        </w:rPr>
        <w:t>[3] Gutierrez et al. (2024). HippoRAG: Long-Term Memory for LLMs. NeurIPS 2024.</w:t>
      </w:r>
    </w:p>
    <w:p>
      <w:r>
        <w:rPr>
          <w:b w:val="0"/>
          <w:i w:val="0"/>
          <w:sz w:val="20"/>
        </w:rPr>
        <w:t>[4] Zhang et al. (2024). A Survey on Memory Mechanism of LLM Agents. arXiv:2404.13501.</w:t>
      </w:r>
    </w:p>
    <w:p>
      <w:r>
        <w:rPr>
          <w:b w:val="0"/>
          <w:i w:val="0"/>
          <w:sz w:val="20"/>
        </w:rPr>
        <w:t>[5] Zhong et al. (2024). MemoryBank: Enhancing LLMs with Long-Term Memory. AAAI 2024.</w:t>
      </w:r>
    </w:p>
    <w:p>
      <w:r>
        <w:rPr>
          <w:b w:val="0"/>
          <w:i w:val="0"/>
          <w:sz w:val="20"/>
        </w:rPr>
        <w:t>[6] Grudhanti (2025). Bitcache: Staged Binary Filtering for Vector Retrieval. Technical Report.</w:t>
      </w:r>
    </w:p>
    <w:p>
      <w:r>
        <w:rPr>
          <w:b w:val="0"/>
          <w:i w:val="0"/>
          <w:sz w:val="20"/>
        </w:rPr>
        <w:t>[7] Grudhanti (2025). CRISP: Context Reduction via Intelligent Skill Pruning. Technical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