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774" w:rsidRDefault="007313B5" w:rsidP="007313B5">
      <w:pPr>
        <w:jc w:val="center"/>
      </w:pPr>
      <w:r>
        <w:t>B657 – Assignment 3</w:t>
      </w:r>
    </w:p>
    <w:p w:rsidR="00C55164" w:rsidRDefault="00C55164" w:rsidP="007313B5">
      <w:pPr>
        <w:jc w:val="center"/>
      </w:pPr>
      <w:r>
        <w:t>Arun Ram Sankarnarayanan, Raghavendra Nataraj, Ganesh Nagarajan</w:t>
      </w:r>
      <w:bookmarkStart w:id="0" w:name="_GoBack"/>
      <w:bookmarkEnd w:id="0"/>
    </w:p>
    <w:p w:rsidR="007313B5" w:rsidRDefault="007313B5" w:rsidP="007313B5">
      <w:pPr>
        <w:pStyle w:val="ListParagraph"/>
        <w:numPr>
          <w:ilvl w:val="0"/>
          <w:numId w:val="1"/>
        </w:numPr>
      </w:pPr>
      <w:r>
        <w:t>Baseline Features</w:t>
      </w:r>
    </w:p>
    <w:p w:rsidR="007313B5" w:rsidRDefault="003D303F" w:rsidP="007313B5">
      <w:pPr>
        <w:ind w:left="360"/>
      </w:pPr>
      <w:r>
        <w:t>For baseline results, we choose to sample the image to a size of 100. Hence the resulting vector for grayscale is 10000. In case of color images, the sampled image dimension turns out to be 30000.</w:t>
      </w:r>
    </w:p>
    <w:p w:rsidR="003D303F" w:rsidRDefault="003D303F" w:rsidP="007313B5">
      <w:pPr>
        <w:ind w:left="360"/>
      </w:pPr>
      <w:r>
        <w:t>Also for comparison, a 50x50 image is also trained.</w:t>
      </w:r>
    </w:p>
    <w:p w:rsidR="003D303F" w:rsidRDefault="003D303F" w:rsidP="002E4A69">
      <w:pPr>
        <w:ind w:left="360"/>
      </w:pPr>
      <w:r>
        <w:rPr>
          <w:noProof/>
        </w:rPr>
        <w:drawing>
          <wp:inline distT="0" distB="0" distL="0" distR="0">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3D303F" w:rsidRDefault="009245FA" w:rsidP="009245FA">
      <w:pPr>
        <w:tabs>
          <w:tab w:val="left" w:pos="2595"/>
        </w:tabs>
        <w:ind w:left="360"/>
      </w:pPr>
      <w:r>
        <w:t>Greyscale Confusion matrix</w:t>
      </w:r>
    </w:p>
    <w:p w:rsidR="002E4A69" w:rsidRDefault="002E4A69" w:rsidP="009245FA">
      <w:pPr>
        <w:tabs>
          <w:tab w:val="left" w:pos="2595"/>
        </w:tabs>
        <w:ind w:left="360"/>
      </w:pPr>
      <w:r>
        <w:t>100*100 greyscale</w:t>
      </w:r>
    </w:p>
    <w:p w:rsidR="009245FA" w:rsidRDefault="009245FA" w:rsidP="007313B5">
      <w:pPr>
        <w:ind w:left="360"/>
      </w:pPr>
      <w:r>
        <w:rPr>
          <w:noProof/>
        </w:rPr>
        <w:lastRenderedPageBreak/>
        <w:drawing>
          <wp:inline distT="0" distB="0" distL="0" distR="0" wp14:anchorId="09E02178" wp14:editId="740ED097">
            <wp:extent cx="5501179" cy="30003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1100" cy="3033056"/>
                    </a:xfrm>
                    <a:prstGeom prst="rect">
                      <a:avLst/>
                    </a:prstGeom>
                  </pic:spPr>
                </pic:pic>
              </a:graphicData>
            </a:graphic>
          </wp:inline>
        </w:drawing>
      </w:r>
    </w:p>
    <w:p w:rsidR="002E4A69" w:rsidRDefault="002E4A69" w:rsidP="007313B5">
      <w:pPr>
        <w:ind w:left="360"/>
      </w:pPr>
      <w:r>
        <w:t>100*100 color</w:t>
      </w:r>
    </w:p>
    <w:p w:rsidR="002D5F42" w:rsidRDefault="002D5F42" w:rsidP="007313B5">
      <w:pPr>
        <w:ind w:left="360"/>
      </w:pPr>
      <w:r>
        <w:rPr>
          <w:noProof/>
        </w:rPr>
        <w:drawing>
          <wp:inline distT="0" distB="0" distL="0" distR="0" wp14:anchorId="20FCF5F2" wp14:editId="23741BAF">
            <wp:extent cx="594360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9925"/>
                    </a:xfrm>
                    <a:prstGeom prst="rect">
                      <a:avLst/>
                    </a:prstGeom>
                  </pic:spPr>
                </pic:pic>
              </a:graphicData>
            </a:graphic>
          </wp:inline>
        </w:drawing>
      </w:r>
    </w:p>
    <w:p w:rsidR="002E4A69" w:rsidRDefault="002E4A69" w:rsidP="007313B5">
      <w:pPr>
        <w:ind w:left="360"/>
      </w:pPr>
    </w:p>
    <w:p w:rsidR="00214B19" w:rsidRDefault="00214B19" w:rsidP="007313B5">
      <w:pPr>
        <w:ind w:left="360"/>
      </w:pPr>
      <w:r>
        <w:t>50*50 grey scale</w:t>
      </w:r>
    </w:p>
    <w:p w:rsidR="00214B19" w:rsidRDefault="00214B19" w:rsidP="007313B5">
      <w:pPr>
        <w:ind w:left="360"/>
      </w:pPr>
      <w:r>
        <w:rPr>
          <w:noProof/>
        </w:rPr>
        <w:lastRenderedPageBreak/>
        <w:drawing>
          <wp:inline distT="0" distB="0" distL="0" distR="0" wp14:anchorId="7C6ADCCC" wp14:editId="7653101C">
            <wp:extent cx="5943600" cy="3446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46145"/>
                    </a:xfrm>
                    <a:prstGeom prst="rect">
                      <a:avLst/>
                    </a:prstGeom>
                  </pic:spPr>
                </pic:pic>
              </a:graphicData>
            </a:graphic>
          </wp:inline>
        </w:drawing>
      </w:r>
    </w:p>
    <w:p w:rsidR="00214B19" w:rsidRDefault="00214B19" w:rsidP="007313B5">
      <w:pPr>
        <w:ind w:left="360"/>
      </w:pPr>
      <w:r>
        <w:t>50*50 color</w:t>
      </w:r>
    </w:p>
    <w:p w:rsidR="00214B19" w:rsidRDefault="002D5F42" w:rsidP="007313B5">
      <w:pPr>
        <w:ind w:left="360"/>
      </w:pPr>
      <w:r>
        <w:rPr>
          <w:noProof/>
        </w:rPr>
        <w:drawing>
          <wp:inline distT="0" distB="0" distL="0" distR="0" wp14:anchorId="1D52C50F" wp14:editId="0B5E9337">
            <wp:extent cx="594360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9425"/>
                    </a:xfrm>
                    <a:prstGeom prst="rect">
                      <a:avLst/>
                    </a:prstGeom>
                  </pic:spPr>
                </pic:pic>
              </a:graphicData>
            </a:graphic>
          </wp:inline>
        </w:drawing>
      </w:r>
    </w:p>
    <w:p w:rsidR="00647C9E" w:rsidRDefault="00647C9E" w:rsidP="00647C9E">
      <w:pPr>
        <w:pStyle w:val="ListParagraph"/>
        <w:numPr>
          <w:ilvl w:val="0"/>
          <w:numId w:val="1"/>
        </w:numPr>
      </w:pPr>
      <w:r>
        <w:t>Traditional Methods</w:t>
      </w:r>
    </w:p>
    <w:p w:rsidR="00647C9E" w:rsidRDefault="00647C9E" w:rsidP="00647C9E">
      <w:pPr>
        <w:ind w:left="360"/>
      </w:pPr>
      <w:r>
        <w:t>Eigen Food:</w:t>
      </w:r>
    </w:p>
    <w:p w:rsidR="00647C9E" w:rsidRDefault="00647C9E" w:rsidP="00647C9E">
      <w:pPr>
        <w:ind w:left="360"/>
      </w:pPr>
      <w:r>
        <w:t>Initially we resized the images to 100 x 100 and considered up</w:t>
      </w:r>
      <w:r w:rsidR="00097D8E">
        <w:t xml:space="preserve"> </w:t>
      </w:r>
      <w:r>
        <w:t>to 200 principal components.</w:t>
      </w:r>
    </w:p>
    <w:p w:rsidR="00647C9E" w:rsidRDefault="00060A3A" w:rsidP="00647C9E">
      <w:pPr>
        <w:ind w:left="360"/>
      </w:pPr>
      <w:r>
        <w:rPr>
          <w:noProof/>
        </w:rPr>
        <w:lastRenderedPageBreak/>
        <w:drawing>
          <wp:inline distT="0" distB="0" distL="0" distR="0" wp14:anchorId="743E40FA" wp14:editId="134F9CE0">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E2794" w:rsidRDefault="008E2794" w:rsidP="00647C9E">
      <w:pPr>
        <w:ind w:left="360"/>
      </w:pPr>
    </w:p>
    <w:p w:rsidR="00600642" w:rsidRDefault="00600642" w:rsidP="00647C9E">
      <w:pPr>
        <w:ind w:left="360"/>
      </w:pPr>
    </w:p>
    <w:p w:rsidR="00600642" w:rsidRDefault="00600642" w:rsidP="00647C9E">
      <w:pPr>
        <w:ind w:left="360"/>
      </w:pPr>
      <w:r>
        <w:rPr>
          <w:noProof/>
        </w:rPr>
        <w:lastRenderedPageBreak/>
        <w:drawing>
          <wp:inline distT="0" distB="0" distL="0" distR="0">
            <wp:extent cx="14001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0.png"/>
                    <pic:cNvPicPr/>
                  </pic:nvPicPr>
                  <pic:blipFill>
                    <a:blip r:embed="rId12">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inline>
        </w:drawing>
      </w:r>
      <w:r>
        <w:rPr>
          <w:noProof/>
        </w:rPr>
        <w:drawing>
          <wp:inline distT="0" distB="0" distL="0" distR="0">
            <wp:extent cx="1390650" cy="139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e1.png"/>
                    <pic:cNvPicPr/>
                  </pic:nvPicPr>
                  <pic:blipFill>
                    <a:blip r:embed="rId13">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inline>
        </w:drawing>
      </w:r>
      <w:r>
        <w:rPr>
          <w:noProof/>
        </w:rPr>
        <w:drawing>
          <wp:inline distT="0" distB="0" distL="0" distR="0">
            <wp:extent cx="139065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2.png"/>
                    <pic:cNvPicPr/>
                  </pic:nvPicPr>
                  <pic:blipFill>
                    <a:blip r:embed="rId14">
                      <a:extLst>
                        <a:ext uri="{28A0092B-C50C-407E-A947-70E740481C1C}">
                          <a14:useLocalDpi xmlns:a14="http://schemas.microsoft.com/office/drawing/2010/main" val="0"/>
                        </a:ext>
                      </a:extLst>
                    </a:blip>
                    <a:stretch>
                      <a:fillRect/>
                    </a:stretch>
                  </pic:blipFill>
                  <pic:spPr>
                    <a:xfrm>
                      <a:off x="0" y="0"/>
                      <a:ext cx="1390650" cy="1390650"/>
                    </a:xfrm>
                    <a:prstGeom prst="rect">
                      <a:avLst/>
                    </a:prstGeom>
                  </pic:spPr>
                </pic:pic>
              </a:graphicData>
            </a:graphic>
          </wp:inline>
        </w:drawing>
      </w:r>
      <w:r>
        <w:rPr>
          <w:noProof/>
        </w:rPr>
        <w:drawing>
          <wp:inline distT="0" distB="0" distL="0" distR="0">
            <wp:extent cx="1352550" cy="135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3.png"/>
                    <pic:cNvPicPr/>
                  </pic:nvPicPr>
                  <pic:blipFill>
                    <a:blip r:embed="rId15">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inline>
        </w:drawing>
      </w:r>
      <w:r>
        <w:rPr>
          <w:noProof/>
        </w:rPr>
        <w:drawing>
          <wp:inline distT="0" distB="0" distL="0" distR="0">
            <wp:extent cx="14382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e4.png"/>
                    <pic:cNvPicPr/>
                  </pic:nvPicPr>
                  <pic:blipFill>
                    <a:blip r:embed="rId16">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inline>
        </w:drawing>
      </w:r>
      <w:r>
        <w:rPr>
          <w:noProof/>
        </w:rPr>
        <w:drawing>
          <wp:inline distT="0" distB="0" distL="0" distR="0">
            <wp:extent cx="1428750"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e5.png"/>
                    <pic:cNvPicPr/>
                  </pic:nvPicPr>
                  <pic:blipFill>
                    <a:blip r:embed="rId17">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r>
        <w:rPr>
          <w:noProof/>
        </w:rPr>
        <w:drawing>
          <wp:inline distT="0" distB="0" distL="0" distR="0">
            <wp:extent cx="1304925" cy="1304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e6.png"/>
                    <pic:cNvPicPr/>
                  </pic:nvPicPr>
                  <pic:blipFill>
                    <a:blip r:embed="rId18">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inline>
        </w:drawing>
      </w:r>
      <w:r>
        <w:rPr>
          <w:noProof/>
        </w:rPr>
        <w:drawing>
          <wp:inline distT="0" distB="0" distL="0" distR="0">
            <wp:extent cx="13716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ce7.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r>
        <w:rPr>
          <w:noProof/>
        </w:rPr>
        <w:drawing>
          <wp:inline distT="0" distB="0" distL="0" distR="0">
            <wp:extent cx="1495425" cy="1495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ce8.png"/>
                    <pic:cNvPicPr/>
                  </pic:nvPicPr>
                  <pic:blipFill>
                    <a:blip r:embed="rId20">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inline>
        </w:drawing>
      </w:r>
      <w:r>
        <w:rPr>
          <w:noProof/>
        </w:rPr>
        <w:drawing>
          <wp:inline distT="0" distB="0" distL="0" distR="0">
            <wp:extent cx="1495425" cy="1495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ce9.png"/>
                    <pic:cNvPicPr/>
                  </pic:nvPicPr>
                  <pic:blipFill>
                    <a:blip r:embed="rId21">
                      <a:extLst>
                        <a:ext uri="{28A0092B-C50C-407E-A947-70E740481C1C}">
                          <a14:useLocalDpi xmlns:a14="http://schemas.microsoft.com/office/drawing/2010/main" val="0"/>
                        </a:ext>
                      </a:extLst>
                    </a:blip>
                    <a:stretch>
                      <a:fillRect/>
                    </a:stretch>
                  </pic:blipFill>
                  <pic:spPr>
                    <a:xfrm>
                      <a:off x="0" y="0"/>
                      <a:ext cx="1495425" cy="1495425"/>
                    </a:xfrm>
                    <a:prstGeom prst="rect">
                      <a:avLst/>
                    </a:prstGeom>
                  </pic:spPr>
                </pic:pic>
              </a:graphicData>
            </a:graphic>
          </wp:inline>
        </w:drawing>
      </w:r>
      <w:r>
        <w:rPr>
          <w:noProof/>
        </w:rPr>
        <w:drawing>
          <wp:inline distT="0" distB="0" distL="0" distR="0">
            <wp:extent cx="1457325" cy="1457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ce10.png"/>
                    <pic:cNvPicPr/>
                  </pic:nvPicPr>
                  <pic:blipFill>
                    <a:blip r:embed="rId22">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p w:rsidR="00600642" w:rsidRDefault="00600642" w:rsidP="00647C9E">
      <w:pPr>
        <w:ind w:left="360"/>
      </w:pPr>
      <w:r>
        <w:t>Images of Top 10 Principal Components for a 100 * 100 image.</w:t>
      </w:r>
    </w:p>
    <w:p w:rsidR="00C31CD7" w:rsidRDefault="00C31CD7" w:rsidP="00647C9E">
      <w:pPr>
        <w:ind w:left="360"/>
      </w:pPr>
      <w:r>
        <w:t>From the above experiment, it seems that using first 200 components give the best performance of about 15% accuracy. Also at every time a 100 * 100 image performs better than a 50 * 50 image.</w:t>
      </w:r>
    </w:p>
    <w:p w:rsidR="006577C7" w:rsidRDefault="006577C7" w:rsidP="006577C7">
      <w:pPr>
        <w:ind w:left="360"/>
        <w:jc w:val="center"/>
      </w:pPr>
      <w:r>
        <w:rPr>
          <w:noProof/>
        </w:rPr>
        <w:drawing>
          <wp:inline distT="0" distB="0" distL="0" distR="0" wp14:anchorId="5F9AB81A" wp14:editId="7E808132">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577C7" w:rsidRDefault="006577C7" w:rsidP="00C31CD7">
      <w:pPr>
        <w:ind w:left="360"/>
      </w:pPr>
      <w:r>
        <w:lastRenderedPageBreak/>
        <w:t>The above graph explains the variability explained by the principal components.</w:t>
      </w:r>
    </w:p>
    <w:p w:rsidR="006577C7" w:rsidRDefault="006577C7" w:rsidP="00C31CD7">
      <w:pPr>
        <w:ind w:left="360"/>
      </w:pPr>
      <w:r>
        <w:t xml:space="preserve">It can be seen that the first principal component </w:t>
      </w:r>
      <w:r w:rsidR="004A4765">
        <w:t>gives the maximum variance and this reduces as we move on. It can be seen that there is a considerable difference between the consecutive components.</w:t>
      </w:r>
    </w:p>
    <w:p w:rsidR="0041795E" w:rsidRDefault="0041795E" w:rsidP="00C31CD7">
      <w:pPr>
        <w:ind w:left="360"/>
      </w:pPr>
      <w:r>
        <w:t>100*100 200 components:</w:t>
      </w:r>
    </w:p>
    <w:p w:rsidR="0041795E" w:rsidRDefault="0041795E" w:rsidP="0041795E">
      <w:pPr>
        <w:ind w:left="360"/>
      </w:pPr>
      <w:r>
        <w:rPr>
          <w:noProof/>
        </w:rPr>
        <w:drawing>
          <wp:inline distT="0" distB="0" distL="0" distR="0" wp14:anchorId="0DE899E7" wp14:editId="3A444B4C">
            <wp:extent cx="5943600" cy="3214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4370"/>
                    </a:xfrm>
                    <a:prstGeom prst="rect">
                      <a:avLst/>
                    </a:prstGeom>
                  </pic:spPr>
                </pic:pic>
              </a:graphicData>
            </a:graphic>
          </wp:inline>
        </w:drawing>
      </w:r>
    </w:p>
    <w:p w:rsidR="0041795E" w:rsidRDefault="0041795E" w:rsidP="0041795E">
      <w:r>
        <w:t>100, 100 dim</w:t>
      </w:r>
    </w:p>
    <w:p w:rsidR="0041795E" w:rsidRDefault="0041795E" w:rsidP="0041795E">
      <w:r>
        <w:rPr>
          <w:noProof/>
        </w:rPr>
        <w:drawing>
          <wp:inline distT="0" distB="0" distL="0" distR="0" wp14:anchorId="3240E6B1" wp14:editId="7EDEEC0A">
            <wp:extent cx="5086350" cy="29241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0120" cy="2926275"/>
                    </a:xfrm>
                    <a:prstGeom prst="rect">
                      <a:avLst/>
                    </a:prstGeom>
                  </pic:spPr>
                </pic:pic>
              </a:graphicData>
            </a:graphic>
          </wp:inline>
        </w:drawing>
      </w:r>
    </w:p>
    <w:p w:rsidR="0041795E" w:rsidRDefault="0041795E" w:rsidP="0041795E"/>
    <w:p w:rsidR="0041795E" w:rsidRDefault="0041795E" w:rsidP="0041795E">
      <w:r>
        <w:lastRenderedPageBreak/>
        <w:t>100 -&gt; 100</w:t>
      </w:r>
    </w:p>
    <w:p w:rsidR="0041795E" w:rsidRDefault="0041795E" w:rsidP="0041795E">
      <w:r>
        <w:rPr>
          <w:noProof/>
        </w:rPr>
        <w:drawing>
          <wp:inline distT="0" distB="0" distL="0" distR="0" wp14:anchorId="4912305F" wp14:editId="59D68659">
            <wp:extent cx="5943600" cy="3465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5830"/>
                    </a:xfrm>
                    <a:prstGeom prst="rect">
                      <a:avLst/>
                    </a:prstGeom>
                  </pic:spPr>
                </pic:pic>
              </a:graphicData>
            </a:graphic>
          </wp:inline>
        </w:drawing>
      </w:r>
    </w:p>
    <w:p w:rsidR="0041795E" w:rsidRPr="006577C7" w:rsidRDefault="0041795E" w:rsidP="0041795E">
      <w:pPr>
        <w:ind w:left="360"/>
      </w:pPr>
    </w:p>
    <w:p w:rsidR="00C31CD7" w:rsidRPr="006577C7" w:rsidRDefault="00C31CD7" w:rsidP="00C31CD7">
      <w:pPr>
        <w:ind w:left="360"/>
        <w:rPr>
          <w:u w:val="single"/>
        </w:rPr>
      </w:pPr>
      <w:r w:rsidRPr="006577C7">
        <w:rPr>
          <w:u w:val="single"/>
        </w:rPr>
        <w:t>Haar Like Features:</w:t>
      </w:r>
    </w:p>
    <w:p w:rsidR="00CE16B2" w:rsidRDefault="00CE16B2" w:rsidP="00C31CD7">
      <w:pPr>
        <w:ind w:left="360"/>
      </w:pPr>
      <w:r>
        <w:t>For random features i.e random rectangular regions, we generated a predefined set of rectangular regions</w:t>
      </w:r>
      <w:r w:rsidR="001804C0">
        <w:t>. We used these predefined rectangular shapes against the integral and summed up the pixels underneath the rectangle and these are now used as a feature for SVM.</w:t>
      </w:r>
    </w:p>
    <w:p w:rsidR="000759E2" w:rsidRDefault="000759E2" w:rsidP="00C31CD7">
      <w:pPr>
        <w:ind w:left="360"/>
      </w:pPr>
      <w:r>
        <w:rPr>
          <w:noProof/>
        </w:rPr>
        <w:drawing>
          <wp:inline distT="0" distB="0" distL="0" distR="0" wp14:anchorId="57758922" wp14:editId="06F2AD7A">
            <wp:extent cx="4919928" cy="267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3963" cy="2678720"/>
                    </a:xfrm>
                    <a:prstGeom prst="rect">
                      <a:avLst/>
                    </a:prstGeom>
                  </pic:spPr>
                </pic:pic>
              </a:graphicData>
            </a:graphic>
          </wp:inline>
        </w:drawing>
      </w:r>
    </w:p>
    <w:p w:rsidR="00F542A2" w:rsidRDefault="0041795E" w:rsidP="00C31CD7">
      <w:pPr>
        <w:ind w:left="360"/>
      </w:pPr>
      <w:r>
        <w:lastRenderedPageBreak/>
        <w:t>We have experimented with other variations like changing the dimensions of the rectangle, however certain variants result in very bad accuracy. Due to long execution time, we weren’t able to explore with more parameters. We have attached the best outcome from our experiment.</w:t>
      </w:r>
    </w:p>
    <w:p w:rsidR="00F542A2" w:rsidRPr="006577C7" w:rsidRDefault="00F542A2" w:rsidP="00C31CD7">
      <w:pPr>
        <w:ind w:left="360"/>
        <w:rPr>
          <w:u w:val="single"/>
        </w:rPr>
      </w:pPr>
      <w:r w:rsidRPr="006577C7">
        <w:rPr>
          <w:u w:val="single"/>
        </w:rPr>
        <w:t>Bag of Words:</w:t>
      </w:r>
    </w:p>
    <w:p w:rsidR="00F542A2" w:rsidRDefault="002A32E8" w:rsidP="00C31CD7">
      <w:pPr>
        <w:ind w:left="360"/>
      </w:pPr>
      <w:r>
        <w:t>Bag of words model uses the SIFT features and these features are clustered by</w:t>
      </w:r>
      <w:r w:rsidR="00EE45BD">
        <w:t xml:space="preserve"> k-means algorithm. We noticed that we got the maximum accuracy at 250 clusers, however it reduced </w:t>
      </w:r>
      <w:r w:rsidR="002A5977">
        <w:t>ask</w:t>
      </w:r>
      <w:r w:rsidR="00EE45BD">
        <w:t xml:space="preserve"> reduces. Also we noticed that for 100 iterations of k-means, a 250 cluster took about an hour to run in silo.soic.indiana.edu</w:t>
      </w:r>
    </w:p>
    <w:p w:rsidR="00EE45BD" w:rsidRDefault="00347253" w:rsidP="00C31CD7">
      <w:pPr>
        <w:ind w:left="360"/>
      </w:pPr>
      <w:r>
        <w:rPr>
          <w:noProof/>
        </w:rPr>
        <w:drawing>
          <wp:inline distT="0" distB="0" distL="0" distR="0" wp14:anchorId="43BDC1D0" wp14:editId="7CD8E20F">
            <wp:extent cx="5943600" cy="3228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28975"/>
                    </a:xfrm>
                    <a:prstGeom prst="rect">
                      <a:avLst/>
                    </a:prstGeom>
                  </pic:spPr>
                </pic:pic>
              </a:graphicData>
            </a:graphic>
          </wp:inline>
        </w:drawing>
      </w:r>
    </w:p>
    <w:p w:rsidR="00DC5FF1" w:rsidRPr="00DC5FF1" w:rsidRDefault="00DC5FF1" w:rsidP="00C31CD7">
      <w:pPr>
        <w:ind w:left="360"/>
        <w:rPr>
          <w:b/>
          <w:u w:val="single"/>
        </w:rPr>
      </w:pPr>
      <w:r w:rsidRPr="00DC5FF1">
        <w:rPr>
          <w:b/>
          <w:u w:val="single"/>
        </w:rPr>
        <w:t>Comparision among Methods</w:t>
      </w:r>
    </w:p>
    <w:p w:rsidR="00347253" w:rsidRDefault="00347253" w:rsidP="00C31CD7">
      <w:pPr>
        <w:ind w:left="360"/>
      </w:pPr>
      <w:r>
        <w:t>We can see that BOW features as of now gives the best seen accuracy of 22% while comparing to the best of 15% of Eigen foods.</w:t>
      </w:r>
    </w:p>
    <w:p w:rsidR="00DB1504" w:rsidRDefault="00DB1504" w:rsidP="00DB1504"/>
    <w:p w:rsidR="00DB1504" w:rsidRPr="00DB1504" w:rsidRDefault="00DB1504" w:rsidP="00DB1504">
      <w:pPr>
        <w:rPr>
          <w:u w:val="single"/>
        </w:rPr>
      </w:pPr>
      <w:r w:rsidRPr="00DB1504">
        <w:rPr>
          <w:u w:val="single"/>
        </w:rPr>
        <w:t>Deep Learning</w:t>
      </w:r>
    </w:p>
    <w:p w:rsidR="00DC5FF1" w:rsidRDefault="004A179D" w:rsidP="00DC5FF1">
      <w:r>
        <w:t>We dumed the layer 21 features of the fast network using the overfeat binary. This was 1000 values. This was fed into the SVM and trained. Similarly test images were also overfeat to dump and we pass that through the SVM model for prediction.</w:t>
      </w:r>
    </w:p>
    <w:p w:rsidR="006F3C85" w:rsidRDefault="006F3C85" w:rsidP="00DC5FF1">
      <w:r>
        <w:rPr>
          <w:noProof/>
        </w:rPr>
        <w:lastRenderedPageBreak/>
        <w:drawing>
          <wp:inline distT="0" distB="0" distL="0" distR="0" wp14:anchorId="437B0E90" wp14:editId="43160220">
            <wp:extent cx="5943600" cy="3223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3260"/>
                    </a:xfrm>
                    <a:prstGeom prst="rect">
                      <a:avLst/>
                    </a:prstGeom>
                  </pic:spPr>
                </pic:pic>
              </a:graphicData>
            </a:graphic>
          </wp:inline>
        </w:drawing>
      </w:r>
    </w:p>
    <w:p w:rsidR="006F3C85" w:rsidRDefault="006F3C85" w:rsidP="00DC5FF1">
      <w:r>
        <w:t>It can be seen that the CNN has the best accuracy of about 66%, the highest among all the methods that we discussed.</w:t>
      </w:r>
    </w:p>
    <w:sectPr w:rsidR="006F3C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D332F20"/>
    <w:multiLevelType w:val="hybridMultilevel"/>
    <w:tmpl w:val="CBF4E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3B5"/>
    <w:rsid w:val="00060A3A"/>
    <w:rsid w:val="000759E2"/>
    <w:rsid w:val="00097D8E"/>
    <w:rsid w:val="001804C0"/>
    <w:rsid w:val="00214B19"/>
    <w:rsid w:val="002A32E8"/>
    <w:rsid w:val="002A5977"/>
    <w:rsid w:val="002D5F42"/>
    <w:rsid w:val="002D6824"/>
    <w:rsid w:val="002E4A69"/>
    <w:rsid w:val="00347253"/>
    <w:rsid w:val="003D303F"/>
    <w:rsid w:val="0041795E"/>
    <w:rsid w:val="004A179D"/>
    <w:rsid w:val="004A4765"/>
    <w:rsid w:val="005B7910"/>
    <w:rsid w:val="00600642"/>
    <w:rsid w:val="00647C9E"/>
    <w:rsid w:val="006577C7"/>
    <w:rsid w:val="006F3C85"/>
    <w:rsid w:val="007313B5"/>
    <w:rsid w:val="0089449A"/>
    <w:rsid w:val="008E2794"/>
    <w:rsid w:val="009245FA"/>
    <w:rsid w:val="00B0671E"/>
    <w:rsid w:val="00C31CD7"/>
    <w:rsid w:val="00C55164"/>
    <w:rsid w:val="00CE16B2"/>
    <w:rsid w:val="00CF21E8"/>
    <w:rsid w:val="00DB1504"/>
    <w:rsid w:val="00DC5FF1"/>
    <w:rsid w:val="00E50774"/>
    <w:rsid w:val="00EE45BD"/>
    <w:rsid w:val="00F54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52B1F2-222F-4697-A6A1-3AAFF6385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3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Baseline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4928550597841933E-2"/>
          <c:y val="0.20273809523809525"/>
          <c:w val="0.92960848643919514"/>
          <c:h val="0.66998656417947755"/>
        </c:manualLayout>
      </c:layout>
      <c:barChart>
        <c:barDir val="col"/>
        <c:grouping val="clustered"/>
        <c:varyColors val="0"/>
        <c:ser>
          <c:idx val="0"/>
          <c:order val="0"/>
          <c:tx>
            <c:strRef>
              <c:f>Sheet1!$B$1</c:f>
              <c:strCache>
                <c:ptCount val="1"/>
                <c:pt idx="0">
                  <c:v>Random</c:v>
                </c:pt>
              </c:strCache>
            </c:strRef>
          </c:tx>
          <c:spPr>
            <a:solidFill>
              <a:schemeClr val="accent1"/>
            </a:solidFill>
            <a:ln>
              <a:noFill/>
            </a:ln>
            <a:effectLst/>
          </c:spPr>
          <c:invertIfNegative val="0"/>
          <c:cat>
            <c:strRef>
              <c:f>Sheet1!$A$2:$A$4</c:f>
              <c:strCache>
                <c:ptCount val="2"/>
                <c:pt idx="0">
                  <c:v>Grayscale</c:v>
                </c:pt>
                <c:pt idx="1">
                  <c:v>Color</c:v>
                </c:pt>
              </c:strCache>
            </c:strRef>
          </c:cat>
          <c:val>
            <c:numRef>
              <c:f>Sheet1!$B$2:$B$4</c:f>
              <c:numCache>
                <c:formatCode>General</c:formatCode>
                <c:ptCount val="3"/>
                <c:pt idx="0">
                  <c:v>4</c:v>
                </c:pt>
                <c:pt idx="1">
                  <c:v>4</c:v>
                </c:pt>
              </c:numCache>
            </c:numRef>
          </c:val>
        </c:ser>
        <c:ser>
          <c:idx val="1"/>
          <c:order val="1"/>
          <c:tx>
            <c:strRef>
              <c:f>Sheet1!$C$1</c:f>
              <c:strCache>
                <c:ptCount val="1"/>
                <c:pt idx="0">
                  <c:v>50*50</c:v>
                </c:pt>
              </c:strCache>
            </c:strRef>
          </c:tx>
          <c:spPr>
            <a:solidFill>
              <a:schemeClr val="accent2"/>
            </a:solidFill>
            <a:ln>
              <a:noFill/>
            </a:ln>
            <a:effectLst/>
          </c:spPr>
          <c:invertIfNegative val="0"/>
          <c:cat>
            <c:strRef>
              <c:f>Sheet1!$A$2:$A$4</c:f>
              <c:strCache>
                <c:ptCount val="2"/>
                <c:pt idx="0">
                  <c:v>Grayscale</c:v>
                </c:pt>
                <c:pt idx="1">
                  <c:v>Color</c:v>
                </c:pt>
              </c:strCache>
            </c:strRef>
          </c:cat>
          <c:val>
            <c:numRef>
              <c:f>Sheet1!$C$2:$C$4</c:f>
              <c:numCache>
                <c:formatCode>General</c:formatCode>
                <c:ptCount val="3"/>
                <c:pt idx="0">
                  <c:v>2</c:v>
                </c:pt>
                <c:pt idx="1">
                  <c:v>22</c:v>
                </c:pt>
              </c:numCache>
            </c:numRef>
          </c:val>
        </c:ser>
        <c:ser>
          <c:idx val="2"/>
          <c:order val="2"/>
          <c:tx>
            <c:strRef>
              <c:f>Sheet1!$D$1</c:f>
              <c:strCache>
                <c:ptCount val="1"/>
                <c:pt idx="0">
                  <c:v>100*100</c:v>
                </c:pt>
              </c:strCache>
            </c:strRef>
          </c:tx>
          <c:spPr>
            <a:solidFill>
              <a:schemeClr val="accent3"/>
            </a:solidFill>
            <a:ln>
              <a:noFill/>
            </a:ln>
            <a:effectLst/>
          </c:spPr>
          <c:invertIfNegative val="0"/>
          <c:cat>
            <c:strRef>
              <c:f>Sheet1!$A$2:$A$4</c:f>
              <c:strCache>
                <c:ptCount val="2"/>
                <c:pt idx="0">
                  <c:v>Grayscale</c:v>
                </c:pt>
                <c:pt idx="1">
                  <c:v>Color</c:v>
                </c:pt>
              </c:strCache>
            </c:strRef>
          </c:cat>
          <c:val>
            <c:numRef>
              <c:f>Sheet1!$D$2:$D$4</c:f>
              <c:numCache>
                <c:formatCode>General</c:formatCode>
                <c:ptCount val="3"/>
                <c:pt idx="0">
                  <c:v>5.2</c:v>
                </c:pt>
                <c:pt idx="1">
                  <c:v>19</c:v>
                </c:pt>
              </c:numCache>
            </c:numRef>
          </c:val>
        </c:ser>
        <c:dLbls>
          <c:showLegendKey val="0"/>
          <c:showVal val="0"/>
          <c:showCatName val="0"/>
          <c:showSerName val="0"/>
          <c:showPercent val="0"/>
          <c:showBubbleSize val="0"/>
        </c:dLbls>
        <c:gapWidth val="219"/>
        <c:overlap val="-27"/>
        <c:axId val="739180192"/>
        <c:axId val="739184000"/>
      </c:barChart>
      <c:catAx>
        <c:axId val="739180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184000"/>
        <c:crosses val="autoZero"/>
        <c:auto val="1"/>
        <c:lblAlgn val="ctr"/>
        <c:lblOffset val="100"/>
        <c:noMultiLvlLbl val="0"/>
      </c:catAx>
      <c:valAx>
        <c:axId val="73918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1801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layout>
        <c:manualLayout>
          <c:xMode val="edge"/>
          <c:yMode val="edge"/>
          <c:x val="0.66230132691746857"/>
          <c:y val="5.208286464191976E-2"/>
          <c:w val="0.31891568241469814"/>
          <c:h val="6.696475440569929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Eigen Food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50*50</c:v>
                </c:pt>
              </c:strCache>
            </c:strRef>
          </c:tx>
          <c:spPr>
            <a:solidFill>
              <a:schemeClr val="accent1"/>
            </a:solidFill>
            <a:ln>
              <a:noFill/>
            </a:ln>
            <a:effectLst/>
          </c:spPr>
          <c:invertIfNegative val="0"/>
          <c:cat>
            <c:strRef>
              <c:f>Sheet1!$A$2:$A$6</c:f>
              <c:strCache>
                <c:ptCount val="5"/>
                <c:pt idx="0">
                  <c:v>200 Comp</c:v>
                </c:pt>
                <c:pt idx="1">
                  <c:v>100 Comp</c:v>
                </c:pt>
                <c:pt idx="2">
                  <c:v>50 Comp</c:v>
                </c:pt>
                <c:pt idx="3">
                  <c:v>20 Comp</c:v>
                </c:pt>
                <c:pt idx="4">
                  <c:v>10 Comp</c:v>
                </c:pt>
              </c:strCache>
            </c:strRef>
          </c:cat>
          <c:val>
            <c:numRef>
              <c:f>Sheet1!$B$2:$B$6</c:f>
              <c:numCache>
                <c:formatCode>General</c:formatCode>
                <c:ptCount val="5"/>
                <c:pt idx="0">
                  <c:v>2.8</c:v>
                </c:pt>
                <c:pt idx="1">
                  <c:v>4.4000000000000004</c:v>
                </c:pt>
                <c:pt idx="2">
                  <c:v>3.2</c:v>
                </c:pt>
                <c:pt idx="3">
                  <c:v>3.2</c:v>
                </c:pt>
                <c:pt idx="4">
                  <c:v>3.6</c:v>
                </c:pt>
              </c:numCache>
            </c:numRef>
          </c:val>
        </c:ser>
        <c:ser>
          <c:idx val="1"/>
          <c:order val="1"/>
          <c:tx>
            <c:strRef>
              <c:f>Sheet1!$C$1</c:f>
              <c:strCache>
                <c:ptCount val="1"/>
                <c:pt idx="0">
                  <c:v>100*100</c:v>
                </c:pt>
              </c:strCache>
            </c:strRef>
          </c:tx>
          <c:spPr>
            <a:solidFill>
              <a:schemeClr val="accent2"/>
            </a:solidFill>
            <a:ln>
              <a:noFill/>
            </a:ln>
            <a:effectLst/>
          </c:spPr>
          <c:invertIfNegative val="0"/>
          <c:cat>
            <c:strRef>
              <c:f>Sheet1!$A$2:$A$6</c:f>
              <c:strCache>
                <c:ptCount val="5"/>
                <c:pt idx="0">
                  <c:v>200 Comp</c:v>
                </c:pt>
                <c:pt idx="1">
                  <c:v>100 Comp</c:v>
                </c:pt>
                <c:pt idx="2">
                  <c:v>50 Comp</c:v>
                </c:pt>
                <c:pt idx="3">
                  <c:v>20 Comp</c:v>
                </c:pt>
                <c:pt idx="4">
                  <c:v>10 Comp</c:v>
                </c:pt>
              </c:strCache>
            </c:strRef>
          </c:cat>
          <c:val>
            <c:numRef>
              <c:f>Sheet1!$C$2:$C$6</c:f>
              <c:numCache>
                <c:formatCode>General</c:formatCode>
                <c:ptCount val="5"/>
                <c:pt idx="0">
                  <c:v>15</c:v>
                </c:pt>
                <c:pt idx="1">
                  <c:v>5.6</c:v>
                </c:pt>
                <c:pt idx="2">
                  <c:v>5.2</c:v>
                </c:pt>
                <c:pt idx="3">
                  <c:v>5.6</c:v>
                </c:pt>
                <c:pt idx="4">
                  <c:v>4</c:v>
                </c:pt>
              </c:numCache>
            </c:numRef>
          </c:val>
        </c:ser>
        <c:dLbls>
          <c:showLegendKey val="0"/>
          <c:showVal val="0"/>
          <c:showCatName val="0"/>
          <c:showSerName val="0"/>
          <c:showPercent val="0"/>
          <c:showBubbleSize val="0"/>
        </c:dLbls>
        <c:gapWidth val="219"/>
        <c:overlap val="-27"/>
        <c:axId val="739193248"/>
        <c:axId val="739193792"/>
      </c:barChart>
      <c:catAx>
        <c:axId val="739193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193792"/>
        <c:crosses val="autoZero"/>
        <c:auto val="1"/>
        <c:lblAlgn val="ctr"/>
        <c:lblOffset val="100"/>
        <c:noMultiLvlLbl val="0"/>
      </c:catAx>
      <c:valAx>
        <c:axId val="739193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1932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Variability Explained : Principal Components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Sheet1!$A$2:$M$2</c:f>
              <c:numCache>
                <c:formatCode>General</c:formatCode>
                <c:ptCount val="13"/>
                <c:pt idx="0">
                  <c:v>0.27424451752683854</c:v>
                </c:pt>
                <c:pt idx="1">
                  <c:v>0.16677052448568203</c:v>
                </c:pt>
                <c:pt idx="2">
                  <c:v>9.1609249185584676E-2</c:v>
                </c:pt>
                <c:pt idx="3">
                  <c:v>5.5100823396616379E-2</c:v>
                </c:pt>
                <c:pt idx="4">
                  <c:v>4.972313205614088E-2</c:v>
                </c:pt>
                <c:pt idx="5">
                  <c:v>3.80784898999195E-2</c:v>
                </c:pt>
                <c:pt idx="6">
                  <c:v>3.7306763472502807E-2</c:v>
                </c:pt>
                <c:pt idx="7">
                  <c:v>2.841195111512251E-2</c:v>
                </c:pt>
                <c:pt idx="8">
                  <c:v>2.2468770582143402E-2</c:v>
                </c:pt>
                <c:pt idx="9">
                  <c:v>2.0892053657162752E-2</c:v>
                </c:pt>
                <c:pt idx="10">
                  <c:v>1.7042291938785242E-2</c:v>
                </c:pt>
                <c:pt idx="11">
                  <c:v>1.6093157137249771E-2</c:v>
                </c:pt>
                <c:pt idx="12">
                  <c:v>1.5487751060569436E-2</c:v>
                </c:pt>
              </c:numCache>
            </c:numRef>
          </c:val>
        </c:ser>
        <c:dLbls>
          <c:showLegendKey val="0"/>
          <c:showVal val="0"/>
          <c:showCatName val="0"/>
          <c:showSerName val="0"/>
          <c:showPercent val="0"/>
          <c:showBubbleSize val="0"/>
        </c:dLbls>
        <c:gapWidth val="219"/>
        <c:overlap val="-27"/>
        <c:axId val="796198592"/>
        <c:axId val="796213280"/>
      </c:barChart>
      <c:catAx>
        <c:axId val="796198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6213280"/>
        <c:crosses val="autoZero"/>
        <c:auto val="1"/>
        <c:lblAlgn val="ctr"/>
        <c:lblOffset val="100"/>
        <c:noMultiLvlLbl val="0"/>
      </c:catAx>
      <c:valAx>
        <c:axId val="796213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61985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9C588-4808-4502-BFFA-CCFB3D1B1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9</Pages>
  <Words>387</Words>
  <Characters>2209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dc:creator>
  <cp:keywords/>
  <dc:description/>
  <cp:lastModifiedBy>Ganesh</cp:lastModifiedBy>
  <cp:revision>25</cp:revision>
  <dcterms:created xsi:type="dcterms:W3CDTF">2017-04-05T02:45:00Z</dcterms:created>
  <dcterms:modified xsi:type="dcterms:W3CDTF">2017-04-05T03:40:00Z</dcterms:modified>
</cp:coreProperties>
</file>