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b/>
          <w:color w:val="1E3A8A"/>
          <w:sz w:val="19"/>
        </w:rPr>
        <w:t>MSc Data Science Research Project Manuscript | Academic Submission Draft</w:t>
        <w:br/>
        <w:t>September 2026</w:t>
      </w:r>
    </w:p>
    <w:p>
      <w:pPr>
        <w:spacing w:before="120" w:after="280"/>
        <w:jc w:val="center"/>
      </w:pPr>
      <w:r>
        <w:rPr>
          <w:b/>
          <w:color w:val="0F172A"/>
          <w:sz w:val="40"/>
        </w:rPr>
        <w:t>An Explainable Machine Learning Framework for Coronary Artery Disease Prediction Using Multi-Center Clinical Data</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B91C1C"/>
              <w:top w:val="none"/>
              <w:right w:val="none"/>
              <w:bottom w:val="none"/>
            </w:tcBorders>
          </w:tcPr>
          <w:p>
            <w:pPr>
              <w:spacing w:before="40" w:after="60"/>
            </w:pPr>
            <w:r>
              <w:rPr>
                <w:b/>
                <w:color w:val="1E3A8A"/>
                <w:sz w:val="20"/>
              </w:rPr>
              <w:t xml:space="preserve">📌 IMPORTANT DRAFTING &amp; ETHICAL NOTE: </w:t>
            </w:r>
            <w:r>
              <w:rPr>
                <w:color w:val="334155"/>
                <w:sz w:val="19"/>
              </w:rPr>
              <w:t>This research manuscript is structured as a scientific investigation rather than a completed commercial product. Numerical benchmarks reflect multi-center experiments across historical cohorts from four healthcare institutions. Cross-site generalization is evaluated via site-specific leave-one-center-out protocols. Counterfactual outputs are treated strictly as model-based explanation scenarios, not clinical treatment prescriptions.</w:t>
            </w:r>
          </w:p>
        </w:tc>
      </w:tr>
    </w:tbl>
    <w:p>
      <w:pPr>
        <w:spacing w:after="60"/>
      </w:pPr>
    </w:p>
    <w:p>
      <w:pPr>
        <w:pStyle w:val="Heading1"/>
        <w:keepNext/>
        <w:spacing w:before="280" w:after="80"/>
      </w:pPr>
      <w:r>
        <w:rPr>
          <w:b/>
          <w:color w:val="0F172A"/>
          <w:sz w:val="32"/>
        </w:rPr>
        <w:t>1. Introduction</w:t>
      </w:r>
    </w:p>
    <w:p>
      <w:pPr>
        <w:pStyle w:val="Heading2"/>
        <w:keepNext/>
        <w:spacing w:before="280" w:after="80"/>
      </w:pPr>
      <w:r>
        <w:rPr>
          <w:b/>
          <w:color w:val="1E3A8A"/>
          <w:sz w:val="26"/>
        </w:rPr>
        <w:t>1.1 Background</w:t>
      </w:r>
    </w:p>
    <w:p>
      <w:r>
        <w:t>Coronary artery disease (CAD) is a major cardiovascular condition and an important cause of morbidity and mortality worldwide. Accurate identification of patients at elevated risk can support clinical assessment and help inform decisions about further evaluation. Machine-learning (ML) methods have increasingly been investigated for cardiovascular prediction because they can model nonlinear relationships among demographic, symptomatic, physiological, laboratory, electrocardiographic and exercise-related variables.</w:t>
      </w:r>
    </w:p>
    <w:p>
      <w:r>
        <w:t>However, a high classification score does not by itself establish that a prediction model is suitable for clinical decision support. A model may discriminate well between patients with and without disease while producing poorly calibrated probabilities, performing differently in another clinical population, or generating explanations that are unstable or inconsistent. These issues are particularly important when predictions are presented at the individual-patient level.</w:t>
      </w:r>
    </w:p>
    <w:p>
      <w:pPr>
        <w:pStyle w:val="Heading2"/>
        <w:keepNext/>
        <w:spacing w:before="280" w:after="80"/>
      </w:pPr>
      <w:r>
        <w:rPr>
          <w:b/>
          <w:color w:val="1E3A8A"/>
          <w:sz w:val="26"/>
        </w:rPr>
        <w:t>1.2 Explainability and Current Challenges</w:t>
      </w:r>
    </w:p>
    <w:p>
      <w:r>
        <w:t>Explainable artificial intelligence (XAI) methods such as SHAP and LIME can provide information about the features that contribute to individual predictions. SHAP provides feature attributions based on Shapley-value principles, while LIME constructs a local interpretable surrogate around an individual prediction. Although both methods can improve interpretability, the presence of an explanation does not automatically demonstrate that the explanation is stable, consistent or clinically meaningful.</w:t>
      </w:r>
    </w:p>
    <w:p>
      <w:r>
        <w:t>A further challenge is that clinical datasets may contain missing values and may differ in patient characteristics, disease prevalence and feature availability across institutions. Consequently, a model that performs well on a pooled or randomly split dataset may not necessarily maintain the same performance when evaluated on a different clinical source.</w:t>
      </w:r>
    </w:p>
    <w:p>
      <w:pPr>
        <w:pStyle w:val="Heading2"/>
        <w:keepNext/>
        <w:spacing w:before="280" w:after="80"/>
      </w:pPr>
      <w:r>
        <w:rPr>
          <w:b/>
          <w:color w:val="1E3A8A"/>
          <w:sz w:val="26"/>
        </w:rPr>
        <w:t>1.3 Research Problem</w:t>
      </w:r>
    </w:p>
    <w:p>
      <w:r>
        <w:t>The central research problem addressed in this study is that CAD prediction models are commonly evaluated primarily through predictive-performance measures, while the reliability of predicted probabilities, cross-site generalization, explanation consistency, explanation stability, robustness to incomplete clinical information and potential decision utility may receive less systematic evaluation.</w:t>
      </w:r>
    </w:p>
    <w:p>
      <w:r>
        <w:t>Therefore, there is a need for an explainable machine-learning framework for CAD prediction that evaluates model discrimination together with probability calibration, cross-site generalization, SHAP–LIME explanation concordance, explanation stability, missing-data robustness and potential clinical decision utility. This study investigates these properties using publicly available historical clinical data from four healthcare institutions contained in the UCI Heart Disease repository.</w:t>
      </w:r>
    </w:p>
    <w:p>
      <w:pPr>
        <w:pStyle w:val="Heading2"/>
        <w:keepNext/>
        <w:spacing w:before="280" w:after="80"/>
      </w:pPr>
      <w:r>
        <w:rPr>
          <w:b/>
          <w:color w:val="1E3A8A"/>
          <w:sz w:val="26"/>
        </w:rPr>
        <w:t>1.4 Research Gaps</w:t>
      </w:r>
    </w:p>
    <w:p>
      <w:r>
        <w:rPr>
          <w:b/>
        </w:rPr>
        <w:t xml:space="preserve">• Gap 1 – Probability Calibration: </w:t>
      </w:r>
      <w:r>
        <w:t>Accuracy and ROC-AUC describe discrimination but do not determine whether predicted probabilities correspond well to observed disease frequencies. Calibration therefore needs to be evaluated explicitly.</w:t>
      </w:r>
    </w:p>
    <w:p>
      <w:r>
        <w:rPr>
          <w:b/>
        </w:rPr>
        <w:t xml:space="preserve">• Gap 2 – Cross-Site Generalization: </w:t>
      </w:r>
      <w:r>
        <w:t>Pooling multiple clinical sources and applying a random train/test split does not by itself demonstrate generalization to an unseen institution. Site-specific validation is needed.</w:t>
      </w:r>
    </w:p>
    <w:p>
      <w:r>
        <w:rPr>
          <w:b/>
        </w:rPr>
        <w:t xml:space="preserve">• Gap 3 – Explanation Concordance: </w:t>
      </w:r>
      <w:r>
        <w:t>SHAP and LIME can both be used for patient-level explanation, but their agreement can be quantified rather than assumed.</w:t>
      </w:r>
    </w:p>
    <w:p>
      <w:r>
        <w:rPr>
          <w:b/>
        </w:rPr>
        <w:t xml:space="preserve">• Gap 4 – Explanation Stability: </w:t>
      </w:r>
      <w:r>
        <w:t>An explanation may change under resampling, model retraining or small perturbations. Stability should therefore be measured.</w:t>
      </w:r>
    </w:p>
    <w:p>
      <w:r>
        <w:rPr>
          <w:b/>
        </w:rPr>
        <w:t xml:space="preserve">• Gap 5 – Missing-Data Robustness: </w:t>
      </w:r>
      <w:r>
        <w:t>Clinical information is frequently incomplete. The effect of increasing missingness on both predictive performance and explanations should be investigated.</w:t>
      </w:r>
    </w:p>
    <w:p>
      <w:r>
        <w:rPr>
          <w:b/>
        </w:rPr>
        <w:t xml:space="preserve">• Gap 6 – Clinical Decision Utility: </w:t>
      </w:r>
      <w:r>
        <w:t>Discrimination metrics alone do not establish whether a prediction model could provide useful decisions across clinically relevant thresholds. Decision Curve Analysis can provide a complementary assessment.</w:t>
      </w:r>
    </w:p>
    <w:p>
      <w:pPr>
        <w:pStyle w:val="Heading2"/>
        <w:keepNext/>
        <w:spacing w:before="280" w:after="80"/>
      </w:pPr>
      <w:r>
        <w:rPr>
          <w:b/>
          <w:color w:val="1E3A8A"/>
          <w:sz w:val="26"/>
        </w:rPr>
        <w:t>1.5 Aim</w:t>
      </w:r>
    </w:p>
    <w:p>
      <w:r>
        <w:t>To develop and systematically evaluate an explainable machine-learning framework for coronary artery disease prediction using multi-center historical clinical data, with particular emphasis on predictive performance, probability calibration, cross-site generalization, explanation concordance and stability, missing-data robustness, and potential clinical decision utility.</w:t>
      </w:r>
    </w:p>
    <w:p>
      <w:pPr>
        <w:pStyle w:val="Heading2"/>
        <w:keepNext/>
        <w:spacing w:before="280" w:after="80"/>
      </w:pPr>
      <w:r>
        <w:rPr>
          <w:b/>
          <w:color w:val="1E3A8A"/>
          <w:sz w:val="26"/>
        </w:rPr>
        <w:t>1.6 Objectives</w:t>
      </w:r>
    </w:p>
    <w:p>
      <w:r>
        <w:rPr>
          <w:b/>
        </w:rPr>
        <w:t xml:space="preserve">O1. </w:t>
      </w:r>
      <w:r>
        <w:t>Develop and compare multiple machine-learning models for CAD prediction.</w:t>
      </w:r>
    </w:p>
    <w:p>
      <w:r>
        <w:rPr>
          <w:b/>
        </w:rPr>
        <w:t xml:space="preserve">O2. </w:t>
      </w:r>
      <w:r>
        <w:t>Evaluate discrimination and classification performance using ROC-AUC, PR-AUC, sensitivity, specificity, precision, F1-score and MCC.</w:t>
      </w:r>
    </w:p>
    <w:p>
      <w:r>
        <w:rPr>
          <w:b/>
        </w:rPr>
        <w:t xml:space="preserve">O3. </w:t>
      </w:r>
      <w:r>
        <w:t>Assess probability calibration using Brier score, calibration curves, calibration intercept and calibration slope, before and after calibration.</w:t>
      </w:r>
    </w:p>
    <w:p>
      <w:r>
        <w:rPr>
          <w:b/>
        </w:rPr>
        <w:t xml:space="preserve">O4. </w:t>
      </w:r>
      <w:r>
        <w:t>Evaluate cross-site generalization using leave-one-center-out validation across the four clinical data sources.</w:t>
      </w:r>
    </w:p>
    <w:p>
      <w:r>
        <w:rPr>
          <w:b/>
        </w:rPr>
        <w:t xml:space="preserve">O5. </w:t>
      </w:r>
      <w:r>
        <w:t>Compare SHAP and LIME explanations using rank-based and top-k feature-overlap measures.</w:t>
      </w:r>
    </w:p>
    <w:p>
      <w:r>
        <w:rPr>
          <w:b/>
        </w:rPr>
        <w:t xml:space="preserve">O6. </w:t>
      </w:r>
      <w:r>
        <w:t>Evaluate explanation stability under repeated resampling and controlled perturbations.</w:t>
      </w:r>
    </w:p>
    <w:p>
      <w:r>
        <w:rPr>
          <w:b/>
        </w:rPr>
        <w:t xml:space="preserve">O7. </w:t>
      </w:r>
      <w:r>
        <w:t>Assess robustness to missing clinical information through controlled missingness experiments and sensitivity analysis.</w:t>
      </w:r>
    </w:p>
    <w:p>
      <w:r>
        <w:rPr>
          <w:b/>
        </w:rPr>
        <w:t xml:space="preserve">O8. </w:t>
      </w:r>
      <w:r>
        <w:t>Evaluate potential clinical decision utility using Decision Curve Analysis across prespecified threshold probabilities.</w:t>
      </w:r>
    </w:p>
    <w:p>
      <w:pPr>
        <w:pStyle w:val="Heading2"/>
        <w:keepNext/>
        <w:spacing w:before="280" w:after="80"/>
      </w:pPr>
      <w:r>
        <w:rPr>
          <w:b/>
          <w:color w:val="1E3A8A"/>
          <w:sz w:val="26"/>
        </w:rPr>
        <w:t>1.7 Research Questions</w:t>
      </w:r>
    </w:p>
    <w:p>
      <w:r>
        <w:rPr>
          <w:b/>
        </w:rPr>
        <w:t xml:space="preserve">RQ1: </w:t>
      </w:r>
      <w:r>
        <w:t>Which machine-learning model provides the strongest discrimination for CAD prediction?</w:t>
      </w:r>
    </w:p>
    <w:p>
      <w:r>
        <w:rPr>
          <w:b/>
        </w:rPr>
        <w:t xml:space="preserve">RQ2: </w:t>
      </w:r>
      <w:r>
        <w:t>Are the model's predicted probabilities well calibrated?</w:t>
      </w:r>
    </w:p>
    <w:p>
      <w:r>
        <w:rPr>
          <w:b/>
        </w:rPr>
        <w:t xml:space="preserve">RQ3: </w:t>
      </w:r>
      <w:r>
        <w:t>How well does the selected model generalize across the four clinical data sources?</w:t>
      </w:r>
    </w:p>
    <w:p>
      <w:r>
        <w:rPr>
          <w:b/>
        </w:rPr>
        <w:t xml:space="preserve">RQ4: </w:t>
      </w:r>
      <w:r>
        <w:t>To what extent do SHAP and LIME provide concordant feature rankings for individual patients?</w:t>
      </w:r>
    </w:p>
    <w:p>
      <w:r>
        <w:rPr>
          <w:b/>
        </w:rPr>
        <w:t xml:space="preserve">RQ5: </w:t>
      </w:r>
      <w:r>
        <w:t>How stable are patient-level explanations under resampling and small input perturbations?</w:t>
      </w:r>
    </w:p>
    <w:p>
      <w:r>
        <w:rPr>
          <w:b/>
        </w:rPr>
        <w:t xml:space="preserve">RQ6: </w:t>
      </w:r>
      <w:r>
        <w:t>How does missing clinical information affect predictive performance, calibration and explanation stability?</w:t>
      </w:r>
    </w:p>
    <w:p>
      <w:r>
        <w:rPr>
          <w:b/>
        </w:rPr>
        <w:t xml:space="preserve">RQ7: </w:t>
      </w:r>
      <w:r>
        <w:t>Does the final model provide positive estimated net benefit across clinically relevant decision thresholds?</w:t>
      </w:r>
    </w:p>
    <w:p>
      <w:pPr>
        <w:pStyle w:val="Heading2"/>
        <w:keepNext/>
        <w:spacing w:before="280" w:after="80"/>
      </w:pPr>
      <w:r>
        <w:rPr>
          <w:b/>
          <w:color w:val="1E3A8A"/>
          <w:sz w:val="26"/>
        </w:rPr>
        <w:t>1.8 Key Contributions</w:t>
      </w:r>
    </w:p>
    <w:p>
      <w:r>
        <w:t>• A unified evaluation framework combining prediction, calibration, cross-site evaluation and XAI assessment.</w:t>
      </w:r>
    </w:p>
    <w:p>
      <w:r>
        <w:t>• A quantitative analysis of SHAP–LIME explanation concordance rather than relying on visual inspection alone.</w:t>
      </w:r>
    </w:p>
    <w:p>
      <w:r>
        <w:t>• A systematic evaluation of explanation stability and missing-data robustness.</w:t>
      </w:r>
    </w:p>
    <w:p>
      <w:r>
        <w:t>• A comparison of early-available clinical features versus a broader feature set, if supported by the final data and experimental design.</w:t>
      </w:r>
    </w:p>
    <w:p>
      <w:r>
        <w:t>• A clinical-utility analysis using Decision Curve Analysis without claiming prospective clinical effectiveness.</w:t>
      </w:r>
    </w:p>
    <w:p>
      <w:pPr>
        <w:pStyle w:val="Heading1"/>
        <w:keepNext/>
        <w:spacing w:before="280" w:after="80"/>
      </w:pPr>
      <w:r>
        <w:rPr>
          <w:b/>
          <w:color w:val="0F172A"/>
          <w:sz w:val="32"/>
        </w:rPr>
        <w:t>2. Related Work</w:t>
      </w:r>
    </w:p>
    <w:p>
      <w:r>
        <w:t>Prior CAD and heart-disease prediction studies have demonstrated that conventional statistical models, tree-based ensembles, support-vector machines and neural networks can achieve useful predictive performance. Other studies have incorporated feature selection, class-balancing methods, hyperparameter optimization and XAI techniques. Recent literature nevertheless continues to identify challenges involving external validation, calibration, generalizability, explainability and clinical translation.</w:t>
      </w:r>
    </w:p>
    <w:p>
      <w:pPr>
        <w:pStyle w:val="Heading2"/>
        <w:keepNext/>
        <w:spacing w:before="280" w:after="80"/>
      </w:pPr>
      <w:r>
        <w:rPr>
          <w:b/>
          <w:color w:val="1E3A8A"/>
          <w:sz w:val="26"/>
        </w:rPr>
        <w:t>2.1 Machine Learning for CAD Prediction</w:t>
      </w:r>
    </w:p>
    <w:p>
      <w:r>
        <w:t>Machine-learning approaches considered in this study include interpretable statistical baselines and nonlinear ensemble or kernel methods. The purpose of model comparison is benchmarking rather than claiming that the number of algorithms itself constitutes novelty.</w:t>
      </w:r>
    </w:p>
    <w:p>
      <w:pPr>
        <w:pStyle w:val="Heading2"/>
        <w:keepNext/>
        <w:spacing w:before="280" w:after="80"/>
      </w:pPr>
      <w:r>
        <w:rPr>
          <w:b/>
          <w:color w:val="1E3A8A"/>
          <w:sz w:val="26"/>
        </w:rPr>
        <w:t>2.2 Explainable AI</w:t>
      </w:r>
    </w:p>
    <w:p>
      <w:r>
        <w:t>SHAP and LIME are used to provide complementary local explanations. The study does not assume that agreement between two explainers proves biological truth; instead, concordance and stability are treated as measurable properties of the explanations.</w:t>
      </w:r>
    </w:p>
    <w:p>
      <w:pPr>
        <w:pStyle w:val="Heading2"/>
        <w:keepNext/>
        <w:spacing w:before="280" w:after="80"/>
      </w:pPr>
      <w:r>
        <w:rPr>
          <w:b/>
          <w:color w:val="1E3A8A"/>
          <w:sz w:val="26"/>
        </w:rPr>
        <w:t>2.3 Calibration</w:t>
      </w:r>
    </w:p>
    <w:p>
      <w:r>
        <w:t>Calibration concerns the relationship between predicted probabilities and observed outcomes. A model can have strong discrimination while producing probabilities that are systematically too high or too low. This study therefore evaluates calibration separately from discrimination.</w:t>
      </w:r>
    </w:p>
    <w:p>
      <w:pPr>
        <w:pStyle w:val="Heading2"/>
        <w:keepNext/>
        <w:spacing w:before="280" w:after="80"/>
      </w:pPr>
      <w:r>
        <w:rPr>
          <w:b/>
          <w:color w:val="1E3A8A"/>
          <w:sz w:val="26"/>
        </w:rPr>
        <w:t>2.4 Generalization and Clinical Utility</w:t>
      </w:r>
    </w:p>
    <w:p>
      <w:r>
        <w:t>Because the four UCI sources originate from different clinical settings, they provide an opportunity to evaluate whether model performance changes across sites. Decision Curve Analysis is used as a complementary analysis of potential net benefit and is not interpreted as evidence of improved patient outcomes.</w:t>
      </w:r>
    </w:p>
    <w:p>
      <w:pPr>
        <w:pStyle w:val="Heading1"/>
        <w:keepNext/>
        <w:spacing w:before="280" w:after="80"/>
      </w:pPr>
      <w:r>
        <w:rPr>
          <w:b/>
          <w:color w:val="0F172A"/>
          <w:sz w:val="32"/>
        </w:rPr>
        <w:t>3. Materials and Methods</w:t>
      </w:r>
    </w:p>
    <w:p>
      <w:pPr>
        <w:pStyle w:val="Heading2"/>
        <w:keepNext/>
        <w:spacing w:before="280" w:after="80"/>
      </w:pPr>
      <w:r>
        <w:rPr>
          <w:b/>
          <w:color w:val="1E3A8A"/>
          <w:sz w:val="26"/>
        </w:rPr>
        <w:t>3.1 Dataset</w:t>
      </w:r>
    </w:p>
    <w:p>
      <w:r>
        <w:t>This study uses publicly available historical clinical data from four healthcare institutions contained in the UCI Heart Disease repository: the Cleveland Clinic Foundation, Hungarian Institute of Cardiology, the Switzerland clinical source, and the Veterans Administration Medical Center in Long Beach. The four processed sources together contain approximately 920 patient records. The data are historical clinical patient data and are not prospective data collected for the present study.</w:t>
      </w:r>
    </w:p>
    <w:tbl>
      <w:tblPr>
        <w:tblW w:type="auto" w:w="0"/>
        <w:jc w:val="center"/>
        <w:tblLayout w:type="autofit"/>
        <w:tblLook w:firstColumn="1" w:firstRow="1" w:lastColumn="0" w:lastRow="0" w:noHBand="0" w:noVBand="1" w:val="04A0"/>
      </w:tblPr>
      <w:tblGrid>
        <w:gridCol w:w="2340"/>
        <w:gridCol w:w="2340"/>
        <w:gridCol w:w="2340"/>
        <w:gridCol w:w="2340"/>
      </w:tblGrid>
      <w:tr>
        <w:trPr>
          <w:cantSplit/>
          <w:tblHeader/>
        </w:trPr>
        <w:tc>
          <w:tcPr>
            <w:tcW w:type="dxa" w:w="2340"/>
            <w:shd w:fill="1E3A8A"/>
            <w:tcMar>
              <w:top w:w="100" w:type="dxa"/>
              <w:bottom w:w="100" w:type="dxa"/>
              <w:left w:w="140" w:type="dxa"/>
              <w:right w:w="140" w:type="dxa"/>
            </w:tcMar>
          </w:tcPr>
          <w:p>
            <w:pPr>
              <w:spacing w:before="40" w:after="40"/>
            </w:pPr>
            <w:r>
              <w:rPr>
                <w:b/>
                <w:color w:val="FFFFFF"/>
                <w:sz w:val="19"/>
              </w:rPr>
              <w:t>Clinical Data Source</w:t>
            </w:r>
          </w:p>
        </w:tc>
        <w:tc>
          <w:tcPr>
            <w:tcW w:type="dxa" w:w="2340"/>
            <w:shd w:fill="1E3A8A"/>
            <w:tcMar>
              <w:top w:w="100" w:type="dxa"/>
              <w:bottom w:w="100" w:type="dxa"/>
              <w:left w:w="140" w:type="dxa"/>
              <w:right w:w="140" w:type="dxa"/>
            </w:tcMar>
          </w:tcPr>
          <w:p>
            <w:pPr>
              <w:spacing w:before="40" w:after="40"/>
            </w:pPr>
            <w:r>
              <w:rPr>
                <w:b/>
                <w:color w:val="FFFFFF"/>
                <w:sz w:val="19"/>
              </w:rPr>
              <w:t>Location</w:t>
            </w:r>
          </w:p>
        </w:tc>
        <w:tc>
          <w:tcPr>
            <w:tcW w:type="dxa" w:w="2340"/>
            <w:shd w:fill="1E3A8A"/>
            <w:tcMar>
              <w:top w:w="100" w:type="dxa"/>
              <w:bottom w:w="100" w:type="dxa"/>
              <w:left w:w="140" w:type="dxa"/>
              <w:right w:w="140" w:type="dxa"/>
            </w:tcMar>
          </w:tcPr>
          <w:p>
            <w:pPr>
              <w:spacing w:before="40" w:after="40"/>
            </w:pPr>
            <w:r>
              <w:rPr>
                <w:b/>
                <w:color w:val="FFFFFF"/>
                <w:sz w:val="19"/>
              </w:rPr>
              <w:t>Records (N)</w:t>
            </w:r>
          </w:p>
        </w:tc>
        <w:tc>
          <w:tcPr>
            <w:tcW w:type="dxa" w:w="2340"/>
            <w:shd w:fill="1E3A8A"/>
            <w:tcMar>
              <w:top w:w="100" w:type="dxa"/>
              <w:bottom w:w="100" w:type="dxa"/>
              <w:left w:w="140" w:type="dxa"/>
              <w:right w:w="140" w:type="dxa"/>
            </w:tcMar>
          </w:tcPr>
          <w:p>
            <w:pPr>
              <w:spacing w:before="40" w:after="40"/>
            </w:pPr>
            <w:r>
              <w:rPr>
                <w:b/>
                <w:color w:val="FFFFFF"/>
                <w:sz w:val="19"/>
              </w:rPr>
              <w:t>Role in Study</w:t>
            </w:r>
          </w:p>
        </w:tc>
      </w:tr>
      <w:tr>
        <w:trPr>
          <w:cantSplit/>
        </w:trPr>
        <w:tc>
          <w:tcPr>
            <w:tcW w:type="dxa" w:w="2340"/>
            <w:shd w:fill="F1F5F9"/>
            <w:tcMar>
              <w:top w:w="80" w:type="dxa"/>
              <w:bottom w:w="80" w:type="dxa"/>
              <w:left w:w="120" w:type="dxa"/>
              <w:right w:w="120" w:type="dxa"/>
            </w:tcMar>
          </w:tcPr>
          <w:p>
            <w:pPr>
              <w:spacing w:before="20" w:after="20"/>
            </w:pPr>
            <w:r>
              <w:rPr>
                <w:color w:val="1E293B"/>
                <w:sz w:val="19"/>
              </w:rPr>
              <w:t>Cleveland Clinic Foundation</w:t>
            </w:r>
          </w:p>
        </w:tc>
        <w:tc>
          <w:tcPr>
            <w:tcW w:type="dxa" w:w="2340"/>
            <w:shd w:fill="F1F5F9"/>
            <w:tcMar>
              <w:top w:w="80" w:type="dxa"/>
              <w:bottom w:w="80" w:type="dxa"/>
              <w:left w:w="120" w:type="dxa"/>
              <w:right w:w="120" w:type="dxa"/>
            </w:tcMar>
          </w:tcPr>
          <w:p>
            <w:pPr>
              <w:spacing w:before="20" w:after="20"/>
            </w:pPr>
            <w:r>
              <w:rPr>
                <w:color w:val="1E293B"/>
                <w:sz w:val="19"/>
              </w:rPr>
              <w:t>Cleveland, USA</w:t>
            </w:r>
          </w:p>
        </w:tc>
        <w:tc>
          <w:tcPr>
            <w:tcW w:type="dxa" w:w="2340"/>
            <w:shd w:fill="F1F5F9"/>
            <w:tcMar>
              <w:top w:w="80" w:type="dxa"/>
              <w:bottom w:w="80" w:type="dxa"/>
              <w:left w:w="120" w:type="dxa"/>
              <w:right w:w="120" w:type="dxa"/>
            </w:tcMar>
          </w:tcPr>
          <w:p>
            <w:pPr>
              <w:spacing w:before="20" w:after="20"/>
            </w:pPr>
            <w:r>
              <w:rPr>
                <w:color w:val="1E293B"/>
                <w:sz w:val="19"/>
              </w:rPr>
              <w:t>303</w:t>
            </w:r>
          </w:p>
        </w:tc>
        <w:tc>
          <w:tcPr>
            <w:tcW w:type="dxa" w:w="2340"/>
            <w:shd w:fill="F1F5F9"/>
            <w:tcMar>
              <w:top w:w="80" w:type="dxa"/>
              <w:bottom w:w="80" w:type="dxa"/>
              <w:left w:w="120" w:type="dxa"/>
              <w:right w:w="120" w:type="dxa"/>
            </w:tcMar>
          </w:tcPr>
          <w:p>
            <w:pPr>
              <w:spacing w:before="20" w:after="20"/>
            </w:pPr>
            <w:r>
              <w:rPr>
                <w:color w:val="1E293B"/>
                <w:sz w:val="19"/>
              </w:rPr>
              <w:t>Primary benchmark &amp; complete imaging source</w:t>
            </w:r>
          </w:p>
        </w:tc>
      </w:tr>
      <w:tr>
        <w:trPr>
          <w:cantSplit/>
        </w:trPr>
        <w:tc>
          <w:tcPr>
            <w:tcW w:type="dxa" w:w="2340"/>
            <w:shd w:fill="FFFFFF"/>
            <w:tcMar>
              <w:top w:w="80" w:type="dxa"/>
              <w:bottom w:w="80" w:type="dxa"/>
              <w:left w:w="120" w:type="dxa"/>
              <w:right w:w="120" w:type="dxa"/>
            </w:tcMar>
          </w:tcPr>
          <w:p>
            <w:pPr>
              <w:spacing w:before="20" w:after="20"/>
            </w:pPr>
            <w:r>
              <w:rPr>
                <w:color w:val="1E293B"/>
                <w:sz w:val="19"/>
              </w:rPr>
              <w:t>Hungarian Institute of Cardiology</w:t>
            </w:r>
          </w:p>
        </w:tc>
        <w:tc>
          <w:tcPr>
            <w:tcW w:type="dxa" w:w="2340"/>
            <w:shd w:fill="FFFFFF"/>
            <w:tcMar>
              <w:top w:w="80" w:type="dxa"/>
              <w:bottom w:w="80" w:type="dxa"/>
              <w:left w:w="120" w:type="dxa"/>
              <w:right w:w="120" w:type="dxa"/>
            </w:tcMar>
          </w:tcPr>
          <w:p>
            <w:pPr>
              <w:spacing w:before="20" w:after="20"/>
            </w:pPr>
            <w:r>
              <w:rPr>
                <w:color w:val="1E293B"/>
                <w:sz w:val="19"/>
              </w:rPr>
              <w:t>Budapest, Hungary</w:t>
            </w:r>
          </w:p>
        </w:tc>
        <w:tc>
          <w:tcPr>
            <w:tcW w:type="dxa" w:w="2340"/>
            <w:shd w:fill="FFFFFF"/>
            <w:tcMar>
              <w:top w:w="80" w:type="dxa"/>
              <w:bottom w:w="80" w:type="dxa"/>
              <w:left w:w="120" w:type="dxa"/>
              <w:right w:w="120" w:type="dxa"/>
            </w:tcMar>
          </w:tcPr>
          <w:p>
            <w:pPr>
              <w:spacing w:before="20" w:after="20"/>
            </w:pPr>
            <w:r>
              <w:rPr>
                <w:color w:val="1E293B"/>
                <w:sz w:val="19"/>
              </w:rPr>
              <w:t>294</w:t>
            </w:r>
          </w:p>
        </w:tc>
        <w:tc>
          <w:tcPr>
            <w:tcW w:type="dxa" w:w="2340"/>
            <w:shd w:fill="FFFFFF"/>
            <w:tcMar>
              <w:top w:w="80" w:type="dxa"/>
              <w:bottom w:w="80" w:type="dxa"/>
              <w:left w:w="120" w:type="dxa"/>
              <w:right w:w="120" w:type="dxa"/>
            </w:tcMar>
          </w:tcPr>
          <w:p>
            <w:pPr>
              <w:spacing w:before="20" w:after="20"/>
            </w:pPr>
            <w:r>
              <w:rPr>
                <w:color w:val="1E293B"/>
                <w:sz w:val="19"/>
              </w:rPr>
              <w:t>Non-invasive clinical &amp; exercise cohort</w:t>
            </w:r>
          </w:p>
        </w:tc>
      </w:tr>
      <w:tr>
        <w:trPr>
          <w:cantSplit/>
        </w:trPr>
        <w:tc>
          <w:tcPr>
            <w:tcW w:type="dxa" w:w="2340"/>
            <w:shd w:fill="F1F5F9"/>
            <w:tcMar>
              <w:top w:w="80" w:type="dxa"/>
              <w:bottom w:w="80" w:type="dxa"/>
              <w:left w:w="120" w:type="dxa"/>
              <w:right w:w="120" w:type="dxa"/>
            </w:tcMar>
          </w:tcPr>
          <w:p>
            <w:pPr>
              <w:spacing w:before="20" w:after="20"/>
            </w:pPr>
            <w:r>
              <w:rPr>
                <w:color w:val="1E293B"/>
                <w:sz w:val="19"/>
              </w:rPr>
              <w:t>Switzerland Clinical Source</w:t>
            </w:r>
          </w:p>
        </w:tc>
        <w:tc>
          <w:tcPr>
            <w:tcW w:type="dxa" w:w="2340"/>
            <w:shd w:fill="F1F5F9"/>
            <w:tcMar>
              <w:top w:w="80" w:type="dxa"/>
              <w:bottom w:w="80" w:type="dxa"/>
              <w:left w:w="120" w:type="dxa"/>
              <w:right w:w="120" w:type="dxa"/>
            </w:tcMar>
          </w:tcPr>
          <w:p>
            <w:pPr>
              <w:spacing w:before="20" w:after="20"/>
            </w:pPr>
            <w:r>
              <w:rPr>
                <w:color w:val="1E293B"/>
                <w:sz w:val="19"/>
              </w:rPr>
              <w:t>Zurich, Switzerland</w:t>
            </w:r>
          </w:p>
        </w:tc>
        <w:tc>
          <w:tcPr>
            <w:tcW w:type="dxa" w:w="2340"/>
            <w:shd w:fill="F1F5F9"/>
            <w:tcMar>
              <w:top w:w="80" w:type="dxa"/>
              <w:bottom w:w="80" w:type="dxa"/>
              <w:left w:w="120" w:type="dxa"/>
              <w:right w:w="120" w:type="dxa"/>
            </w:tcMar>
          </w:tcPr>
          <w:p>
            <w:pPr>
              <w:spacing w:before="20" w:after="20"/>
            </w:pPr>
            <w:r>
              <w:rPr>
                <w:color w:val="1E293B"/>
                <w:sz w:val="19"/>
              </w:rPr>
              <w:t>123</w:t>
            </w:r>
          </w:p>
        </w:tc>
        <w:tc>
          <w:tcPr>
            <w:tcW w:type="dxa" w:w="2340"/>
            <w:shd w:fill="F1F5F9"/>
            <w:tcMar>
              <w:top w:w="80" w:type="dxa"/>
              <w:bottom w:w="80" w:type="dxa"/>
              <w:left w:w="120" w:type="dxa"/>
              <w:right w:w="120" w:type="dxa"/>
            </w:tcMar>
          </w:tcPr>
          <w:p>
            <w:pPr>
              <w:spacing w:before="20" w:after="20"/>
            </w:pPr>
            <w:r>
              <w:rPr>
                <w:color w:val="1E293B"/>
                <w:sz w:val="19"/>
              </w:rPr>
              <w:t>Advanced referral cohort (high skew)</w:t>
            </w:r>
          </w:p>
        </w:tc>
      </w:tr>
      <w:tr>
        <w:trPr>
          <w:cantSplit/>
        </w:trPr>
        <w:tc>
          <w:tcPr>
            <w:tcW w:type="dxa" w:w="2340"/>
            <w:shd w:fill="FFFFFF"/>
            <w:tcMar>
              <w:top w:w="80" w:type="dxa"/>
              <w:bottom w:w="80" w:type="dxa"/>
              <w:left w:w="120" w:type="dxa"/>
              <w:right w:w="120" w:type="dxa"/>
            </w:tcMar>
          </w:tcPr>
          <w:p>
            <w:pPr>
              <w:spacing w:before="20" w:after="20"/>
            </w:pPr>
            <w:r>
              <w:rPr>
                <w:color w:val="1E293B"/>
                <w:sz w:val="19"/>
              </w:rPr>
              <w:t>VA Medical Center</w:t>
            </w:r>
          </w:p>
        </w:tc>
        <w:tc>
          <w:tcPr>
            <w:tcW w:type="dxa" w:w="2340"/>
            <w:shd w:fill="FFFFFF"/>
            <w:tcMar>
              <w:top w:w="80" w:type="dxa"/>
              <w:bottom w:w="80" w:type="dxa"/>
              <w:left w:w="120" w:type="dxa"/>
              <w:right w:w="120" w:type="dxa"/>
            </w:tcMar>
          </w:tcPr>
          <w:p>
            <w:pPr>
              <w:spacing w:before="20" w:after="20"/>
            </w:pPr>
            <w:r>
              <w:rPr>
                <w:color w:val="1E293B"/>
                <w:sz w:val="19"/>
              </w:rPr>
              <w:t>Long Beach, USA</w:t>
            </w:r>
          </w:p>
        </w:tc>
        <w:tc>
          <w:tcPr>
            <w:tcW w:type="dxa" w:w="2340"/>
            <w:shd w:fill="FFFFFF"/>
            <w:tcMar>
              <w:top w:w="80" w:type="dxa"/>
              <w:bottom w:w="80" w:type="dxa"/>
              <w:left w:w="120" w:type="dxa"/>
              <w:right w:w="120" w:type="dxa"/>
            </w:tcMar>
          </w:tcPr>
          <w:p>
            <w:pPr>
              <w:spacing w:before="20" w:after="20"/>
            </w:pPr>
            <w:r>
              <w:rPr>
                <w:color w:val="1E293B"/>
                <w:sz w:val="19"/>
              </w:rPr>
              <w:t>200</w:t>
            </w:r>
          </w:p>
        </w:tc>
        <w:tc>
          <w:tcPr>
            <w:tcW w:type="dxa" w:w="2340"/>
            <w:shd w:fill="FFFFFF"/>
            <w:tcMar>
              <w:top w:w="80" w:type="dxa"/>
              <w:bottom w:w="80" w:type="dxa"/>
              <w:left w:w="120" w:type="dxa"/>
              <w:right w:w="120" w:type="dxa"/>
            </w:tcMar>
          </w:tcPr>
          <w:p>
            <w:pPr>
              <w:spacing w:before="20" w:after="20"/>
            </w:pPr>
            <w:r>
              <w:rPr>
                <w:color w:val="1E293B"/>
                <w:sz w:val="19"/>
              </w:rPr>
              <w:t>High-comorbidity veteran cohort</w:t>
            </w:r>
          </w:p>
        </w:tc>
      </w:tr>
      <w:tr>
        <w:trPr>
          <w:cantSplit/>
        </w:trPr>
        <w:tc>
          <w:tcPr>
            <w:tcW w:type="dxa" w:w="2340"/>
            <w:shd w:fill="F1F5F9"/>
            <w:tcMar>
              <w:top w:w="80" w:type="dxa"/>
              <w:bottom w:w="80" w:type="dxa"/>
              <w:left w:w="120" w:type="dxa"/>
              <w:right w:w="120" w:type="dxa"/>
            </w:tcMar>
          </w:tcPr>
          <w:p>
            <w:pPr>
              <w:spacing w:before="20" w:after="20"/>
            </w:pPr>
            <w:r>
              <w:rPr>
                <w:color w:val="1E293B"/>
                <w:sz w:val="19"/>
              </w:rPr>
              <w:t>Combined Multi-Center</w:t>
            </w:r>
          </w:p>
        </w:tc>
        <w:tc>
          <w:tcPr>
            <w:tcW w:type="dxa" w:w="2340"/>
            <w:shd w:fill="F1F5F9"/>
            <w:tcMar>
              <w:top w:w="80" w:type="dxa"/>
              <w:bottom w:w="80" w:type="dxa"/>
              <w:left w:w="120" w:type="dxa"/>
              <w:right w:w="120" w:type="dxa"/>
            </w:tcMar>
          </w:tcPr>
          <w:p>
            <w:pPr>
              <w:spacing w:before="20" w:after="20"/>
            </w:pPr>
            <w:r>
              <w:rPr>
                <w:color w:val="1E293B"/>
                <w:sz w:val="19"/>
              </w:rPr>
              <w:t>Four Sites</w:t>
            </w:r>
          </w:p>
        </w:tc>
        <w:tc>
          <w:tcPr>
            <w:tcW w:type="dxa" w:w="2340"/>
            <w:shd w:fill="F1F5F9"/>
            <w:tcMar>
              <w:top w:w="80" w:type="dxa"/>
              <w:bottom w:w="80" w:type="dxa"/>
              <w:left w:w="120" w:type="dxa"/>
              <w:right w:w="120" w:type="dxa"/>
            </w:tcMar>
          </w:tcPr>
          <w:p>
            <w:pPr>
              <w:spacing w:before="20" w:after="20"/>
            </w:pPr>
            <w:r>
              <w:rPr>
                <w:color w:val="1E293B"/>
                <w:sz w:val="19"/>
              </w:rPr>
              <w:t>920</w:t>
            </w:r>
          </w:p>
        </w:tc>
        <w:tc>
          <w:tcPr>
            <w:tcW w:type="dxa" w:w="2340"/>
            <w:shd w:fill="F1F5F9"/>
            <w:tcMar>
              <w:top w:w="80" w:type="dxa"/>
              <w:bottom w:w="80" w:type="dxa"/>
              <w:left w:w="120" w:type="dxa"/>
              <w:right w:w="120" w:type="dxa"/>
            </w:tcMar>
          </w:tcPr>
          <w:p>
            <w:pPr>
              <w:spacing w:before="20" w:after="20"/>
            </w:pPr>
            <w:r>
              <w:rPr>
                <w:color w:val="1E293B"/>
                <w:sz w:val="19"/>
              </w:rPr>
              <w:t>Pooled multi-site &amp; leave-one-center-out experiments</w:t>
            </w:r>
          </w:p>
        </w:tc>
      </w:tr>
    </w:tbl>
    <w:p>
      <w:pPr>
        <w:spacing w:after="80"/>
      </w:pPr>
    </w:p>
    <w:p>
      <w:pPr>
        <w:pStyle w:val="Heading2"/>
        <w:keepNext/>
        <w:spacing w:before="280" w:after="80"/>
      </w:pPr>
      <w:r>
        <w:rPr>
          <w:b/>
          <w:color w:val="1E3A8A"/>
          <w:sz w:val="26"/>
        </w:rPr>
        <w:t>3.2 Outcome Definition</w:t>
      </w:r>
    </w:p>
    <w:p>
      <w:r>
        <w:t>The original UCI Heart Disease data include a diagnostic outcome variable (num / target) ranging from 0 (absence of CAD) to 1–4 (varying severity of coronary angiographic stenosis ≥ 50%). For binary classification, the target definition is mapped such that 0 represents healthy / non-significant stenosis and 1 represents angiographically proven CAD (target &gt; 0). This definition is applied consistently across all experiments.</w:t>
      </w:r>
    </w:p>
    <w:p>
      <w:pPr>
        <w:pStyle w:val="Heading2"/>
        <w:keepNext/>
        <w:spacing w:before="280" w:after="80"/>
      </w:pPr>
      <w:r>
        <w:rPr>
          <w:b/>
          <w:color w:val="1E3A8A"/>
          <w:sz w:val="26"/>
        </w:rPr>
        <w:t>3.3 Clinical Features</w:t>
      </w:r>
    </w:p>
    <w:p>
      <w:r>
        <w:t>The commonly used processed data contain demographic, symptom, physiological, laboratory, electrocardiographic, exercise-related and diagnostic features. The analysis distinguishes between variables that may be available earlier in the clinical pathway and variables that are obtained through later diagnostic investigations:</w:t>
      </w:r>
    </w:p>
    <w:p>
      <w:r>
        <w:rPr>
          <w:b/>
        </w:rPr>
        <w:t xml:space="preserve">• Demographic: </w:t>
      </w:r>
      <w:r>
        <w:t>age (years), sex (1=Male, 0=Female).</w:t>
      </w:r>
    </w:p>
    <w:p>
      <w:r>
        <w:rPr>
          <w:b/>
        </w:rPr>
        <w:t xml:space="preserve">• Symptoms: </w:t>
      </w:r>
      <w:r>
        <w:t>chest-pain category (cp: 1=Typical Angina, 2=Atypical, 3=Non-Anginal, 4=Asymptomatic).</w:t>
      </w:r>
    </w:p>
    <w:p>
      <w:r>
        <w:rPr>
          <w:b/>
        </w:rPr>
        <w:t xml:space="preserve">• Vital / Laboratory: </w:t>
      </w:r>
      <w:r>
        <w:t>resting blood pressure (trestbps in mm Hg), serum cholesterol (chol in mg/dL), fasting blood sugar &gt; 120 mg/dL (fbs).</w:t>
      </w:r>
    </w:p>
    <w:p>
      <w:r>
        <w:rPr>
          <w:b/>
        </w:rPr>
        <w:t xml:space="preserve">• Electrophysiological / Exercise: </w:t>
      </w:r>
      <w:r>
        <w:t>resting ECG (restecg), maximum heart rate (thalach in bpm), exercise-induced angina (exang), ST depression (oldpeak in mm), and ST-segment slope (slope).</w:t>
      </w:r>
    </w:p>
    <w:p>
      <w:r>
        <w:rPr>
          <w:b/>
        </w:rPr>
        <w:t xml:space="preserve">• Diagnostic Investigations: </w:t>
      </w:r>
      <w:r>
        <w:t>number of major vessels colored by fluoroscopy (ca: 0–3) and thallium scintigraphy stress defect (thal: 3=Normal, 6=Fixed, 7=Reversible).</w:t>
      </w:r>
    </w:p>
    <w:p>
      <w:pPr>
        <w:pStyle w:val="Heading2"/>
        <w:keepNext/>
        <w:spacing w:before="280" w:after="80"/>
      </w:pPr>
      <w:r>
        <w:rPr>
          <w:b/>
          <w:color w:val="1E3A8A"/>
          <w:sz w:val="26"/>
        </w:rPr>
        <w:t>3.4 Early vs Full Feature Analysis</w:t>
      </w:r>
    </w:p>
    <w:p>
      <w:r>
        <w:t>To avoid overstating the meaning of 'early prediction', two feature scenarios are proposed where supported by the data. The Early Feature Set (Track B, 11 features) contains variables plausibly available during initial non-invasive clinical triage, while the Full Feature Set (Track A, 13 features) includes the broader diagnostic feature set (including fluoroscopy and scintigraphy). The purpose is to quantify how much predictive and explanatory performance depends on costly later diagnostic information.</w:t>
      </w:r>
    </w:p>
    <w:p>
      <w:pPr>
        <w:pStyle w:val="Heading2"/>
        <w:keepNext/>
        <w:spacing w:before="280" w:after="80"/>
      </w:pPr>
      <w:r>
        <w:rPr>
          <w:b/>
          <w:color w:val="1E3A8A"/>
          <w:sz w:val="26"/>
        </w:rPr>
        <w:t>3.5 Data Quality and Missingness</w:t>
      </w:r>
    </w:p>
    <w:p>
      <w:r>
        <w:t>Missingness was summarized by variable and clinical source before model development. In non-Cleveland cohorts, variables ca and thal exhibit significant missingness (&gt;80%) due to historical imaging costs. Imputation, scaling, encoding, feature selection and class-balancing operations are fitted strictly within the training folds. The holdout test data remain untouched until final evaluation to prevent information leakage.</w:t>
      </w:r>
    </w:p>
    <w:p>
      <w:pPr>
        <w:pStyle w:val="Heading2"/>
        <w:keepNext/>
        <w:spacing w:before="280" w:after="80"/>
      </w:pPr>
      <w:r>
        <w:rPr>
          <w:b/>
          <w:color w:val="1E3A8A"/>
          <w:sz w:val="26"/>
        </w:rPr>
        <w:t>3.6 Leakage-Free Experimental Pipeline</w:t>
      </w:r>
    </w:p>
    <w:p>
      <w:r>
        <w:t>The experimental pipeline strictly follows the sequence: data partitioning → training-fold preprocessing → KNN imputation (k=5) → StandardScaler normalization → cost-sensitive class balancing → 5-fold cross-validation → probability calibration fitting → holdout test evaluation. Resampling methods such as SMOTE were never applied to the full dataset before partitioning.</w:t>
      </w:r>
    </w:p>
    <w:p>
      <w:pPr>
        <w:pStyle w:val="Heading2"/>
        <w:keepNext/>
        <w:spacing w:before="280" w:after="80"/>
      </w:pPr>
      <w:r>
        <w:rPr>
          <w:b/>
          <w:color w:val="1E3A8A"/>
          <w:sz w:val="26"/>
        </w:rPr>
        <w:t>3.7 Machine-Learning Models</w:t>
      </w:r>
    </w:p>
    <w:p>
      <w:r>
        <w:t>We implemented 10 candidate classifiers across diverse algorithmic paradigms: L2-Regularized Logistic Regression, Support Vector Machine (RBF kernel), Random Forest, Extra Trees, Gradient Boosting Decision Trees (GBDT), XGBoost, CatBoost, LightGBM, Multi-Layer Perceptron (MLP), and a Soft-Voting Meta-Ensemble. The model zoo serves as a comprehensive benchmarking suite.</w:t>
      </w:r>
    </w:p>
    <w:p>
      <w:pPr>
        <w:pStyle w:val="Heading2"/>
        <w:keepNext/>
        <w:spacing w:before="280" w:after="80"/>
      </w:pPr>
      <w:r>
        <w:rPr>
          <w:b/>
          <w:color w:val="1E3A8A"/>
          <w:sz w:val="26"/>
        </w:rPr>
        <w:t>3.8 Internal Validation &amp; Cross-Site Generalization</w:t>
      </w:r>
    </w:p>
    <w:p>
      <w:r>
        <w:t>Model development uses stratified 5-fold cross-validation within the training cohort. For cross-site generalization, a Leave-One-Center-Out (LOCO) evaluation was conducted across the four clinical data sources to quantify domain transferability without assuming cross-site homogeneity.</w:t>
      </w:r>
    </w:p>
    <w:p>
      <w:pPr>
        <w:pStyle w:val="Heading2"/>
        <w:keepNext/>
        <w:spacing w:before="280" w:after="80"/>
      </w:pPr>
      <w:r>
        <w:rPr>
          <w:b/>
          <w:color w:val="1E3A8A"/>
          <w:sz w:val="26"/>
        </w:rPr>
        <w:t>3.9 Probability Calibration &amp; Metrics</w:t>
      </w:r>
    </w:p>
    <w:p>
      <w:r>
        <w:t>Probability calibration is evaluated via Platt Scaling (Sigmoid) and Isotonic Regression. We report Expected Calibration Error (ECE), Brier Score Loss, ROC-AUC, PR-AUC, Sensitivity, Specificity, Precision, and F1-Score.</w:t>
      </w:r>
    </w:p>
    <w:p>
      <w:pPr>
        <w:pStyle w:val="Heading2"/>
        <w:keepNext/>
        <w:spacing w:before="280" w:after="80"/>
      </w:pPr>
      <w:r>
        <w:rPr>
          <w:b/>
          <w:color w:val="1E3A8A"/>
          <w:sz w:val="26"/>
        </w:rPr>
        <w:t>3.10 SHAP–LIME Concordance &amp; Stability</w:t>
      </w:r>
    </w:p>
    <w:p>
      <w:r>
        <w:t>Patient-level explanations are extracted simultaneously via TreeSHAP and LIME tabular surrogates. Concordance is evaluated via Spearman rank correlation (ρ), Kendall's tau (τ), Top-k Jaccard feature overlap, and directional sign agreement.</w:t>
      </w:r>
    </w:p>
    <w:p>
      <w:pPr>
        <w:pStyle w:val="Heading1"/>
        <w:keepNext/>
        <w:spacing w:before="280" w:after="80"/>
      </w:pPr>
      <w:r>
        <w:rPr>
          <w:b/>
          <w:color w:val="0F172A"/>
          <w:sz w:val="32"/>
        </w:rPr>
        <w:t>4. Results and Empirical Validation</w:t>
      </w:r>
    </w:p>
    <w:p>
      <w:pPr>
        <w:pStyle w:val="Heading2"/>
        <w:keepNext/>
        <w:spacing w:before="280" w:after="80"/>
      </w:pPr>
      <w:r>
        <w:rPr>
          <w:b/>
          <w:color w:val="1E3A8A"/>
          <w:sz w:val="26"/>
        </w:rPr>
        <w:t>4.1 Model Performance Benchmarking</w:t>
      </w:r>
    </w:p>
    <w:p>
      <w:r>
        <w:t>Table 2 reports the performance metrics across all 10 evaluated machine learning architectures on the holdout test dataset (n=61).</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shd w:fill="1E3A8A"/>
            <w:tcMar>
              <w:top w:w="100" w:type="dxa"/>
              <w:bottom w:w="100" w:type="dxa"/>
              <w:left w:w="140" w:type="dxa"/>
              <w:right w:w="140" w:type="dxa"/>
            </w:tcMar>
          </w:tcPr>
          <w:p>
            <w:pPr>
              <w:spacing w:before="40" w:after="40"/>
            </w:pPr>
            <w:r>
              <w:rPr>
                <w:b/>
                <w:color w:val="FFFFFF"/>
                <w:sz w:val="19"/>
              </w:rPr>
              <w:t>Model Architecture</w:t>
            </w:r>
          </w:p>
        </w:tc>
        <w:tc>
          <w:tcPr>
            <w:tcW w:type="dxa" w:w="1170"/>
            <w:shd w:fill="1E3A8A"/>
            <w:tcMar>
              <w:top w:w="100" w:type="dxa"/>
              <w:bottom w:w="100" w:type="dxa"/>
              <w:left w:w="140" w:type="dxa"/>
              <w:right w:w="140" w:type="dxa"/>
            </w:tcMar>
          </w:tcPr>
          <w:p>
            <w:pPr>
              <w:spacing w:before="40" w:after="40"/>
            </w:pPr>
            <w:r>
              <w:rPr>
                <w:b/>
                <w:color w:val="FFFFFF"/>
                <w:sz w:val="19"/>
              </w:rPr>
              <w:t>ROC-AUC (%)</w:t>
            </w:r>
          </w:p>
        </w:tc>
        <w:tc>
          <w:tcPr>
            <w:tcW w:type="dxa" w:w="1170"/>
            <w:shd w:fill="1E3A8A"/>
            <w:tcMar>
              <w:top w:w="100" w:type="dxa"/>
              <w:bottom w:w="100" w:type="dxa"/>
              <w:left w:w="140" w:type="dxa"/>
              <w:right w:w="140" w:type="dxa"/>
            </w:tcMar>
          </w:tcPr>
          <w:p>
            <w:pPr>
              <w:spacing w:before="40" w:after="40"/>
            </w:pPr>
            <w:r>
              <w:rPr>
                <w:b/>
                <w:color w:val="FFFFFF"/>
                <w:sz w:val="19"/>
              </w:rPr>
              <w:t>PR-AUC (%)</w:t>
            </w:r>
          </w:p>
        </w:tc>
        <w:tc>
          <w:tcPr>
            <w:tcW w:type="dxa" w:w="1170"/>
            <w:shd w:fill="1E3A8A"/>
            <w:tcMar>
              <w:top w:w="100" w:type="dxa"/>
              <w:bottom w:w="100" w:type="dxa"/>
              <w:left w:w="140" w:type="dxa"/>
              <w:right w:w="140" w:type="dxa"/>
            </w:tcMar>
          </w:tcPr>
          <w:p>
            <w:pPr>
              <w:spacing w:before="40" w:after="40"/>
            </w:pPr>
            <w:r>
              <w:rPr>
                <w:b/>
                <w:color w:val="FFFFFF"/>
                <w:sz w:val="19"/>
              </w:rPr>
              <w:t>Sensitivity (%)</w:t>
            </w:r>
          </w:p>
        </w:tc>
        <w:tc>
          <w:tcPr>
            <w:tcW w:type="dxa" w:w="1170"/>
            <w:shd w:fill="1E3A8A"/>
            <w:tcMar>
              <w:top w:w="100" w:type="dxa"/>
              <w:bottom w:w="100" w:type="dxa"/>
              <w:left w:w="140" w:type="dxa"/>
              <w:right w:w="140" w:type="dxa"/>
            </w:tcMar>
          </w:tcPr>
          <w:p>
            <w:pPr>
              <w:spacing w:before="40" w:after="40"/>
            </w:pPr>
            <w:r>
              <w:rPr>
                <w:b/>
                <w:color w:val="FFFFFF"/>
                <w:sz w:val="19"/>
              </w:rPr>
              <w:t>Specificity (%)</w:t>
            </w:r>
          </w:p>
        </w:tc>
        <w:tc>
          <w:tcPr>
            <w:tcW w:type="dxa" w:w="1170"/>
            <w:shd w:fill="1E3A8A"/>
            <w:tcMar>
              <w:top w:w="100" w:type="dxa"/>
              <w:bottom w:w="100" w:type="dxa"/>
              <w:left w:w="140" w:type="dxa"/>
              <w:right w:w="140" w:type="dxa"/>
            </w:tcMar>
          </w:tcPr>
          <w:p>
            <w:pPr>
              <w:spacing w:before="40" w:after="40"/>
            </w:pPr>
            <w:r>
              <w:rPr>
                <w:b/>
                <w:color w:val="FFFFFF"/>
                <w:sz w:val="19"/>
              </w:rPr>
              <w:t>F1-Score (%)</w:t>
            </w:r>
          </w:p>
        </w:tc>
        <w:tc>
          <w:tcPr>
            <w:tcW w:type="dxa" w:w="1170"/>
            <w:shd w:fill="1E3A8A"/>
            <w:tcMar>
              <w:top w:w="100" w:type="dxa"/>
              <w:bottom w:w="100" w:type="dxa"/>
              <w:left w:w="140" w:type="dxa"/>
              <w:right w:w="140" w:type="dxa"/>
            </w:tcMar>
          </w:tcPr>
          <w:p>
            <w:pPr>
              <w:spacing w:before="40" w:after="40"/>
            </w:pPr>
            <w:r>
              <w:rPr>
                <w:b/>
                <w:color w:val="FFFFFF"/>
                <w:sz w:val="19"/>
              </w:rPr>
              <w:t>ECE</w:t>
            </w:r>
          </w:p>
        </w:tc>
        <w:tc>
          <w:tcPr>
            <w:tcW w:type="dxa" w:w="1170"/>
            <w:shd w:fill="1E3A8A"/>
            <w:tcMar>
              <w:top w:w="100" w:type="dxa"/>
              <w:bottom w:w="100" w:type="dxa"/>
              <w:left w:w="140" w:type="dxa"/>
              <w:right w:w="140" w:type="dxa"/>
            </w:tcMar>
          </w:tcPr>
          <w:p>
            <w:pPr>
              <w:spacing w:before="40" w:after="40"/>
            </w:pPr>
            <w:r>
              <w:rPr>
                <w:b/>
                <w:color w:val="FFFFFF"/>
                <w:sz w:val="19"/>
              </w:rPr>
              <w:t>Brier Score</w:t>
            </w:r>
          </w:p>
        </w:tc>
      </w:tr>
      <w:tr>
        <w:trPr>
          <w:cantSplit/>
        </w:trPr>
        <w:tc>
          <w:tcPr>
            <w:tcW w:type="dxa" w:w="1170"/>
            <w:shd w:fill="F1F5F9"/>
            <w:tcMar>
              <w:top w:w="80" w:type="dxa"/>
              <w:bottom w:w="80" w:type="dxa"/>
              <w:left w:w="120" w:type="dxa"/>
              <w:right w:w="120" w:type="dxa"/>
            </w:tcMar>
          </w:tcPr>
          <w:p>
            <w:pPr>
              <w:spacing w:before="20" w:after="20"/>
            </w:pPr>
            <w:r>
              <w:rPr>
                <w:color w:val="1E293B"/>
                <w:sz w:val="19"/>
              </w:rPr>
              <w:t>Random Forest Ensemble</w:t>
            </w:r>
          </w:p>
        </w:tc>
        <w:tc>
          <w:tcPr>
            <w:tcW w:type="dxa" w:w="1170"/>
            <w:shd w:fill="F1F5F9"/>
            <w:tcMar>
              <w:top w:w="80" w:type="dxa"/>
              <w:bottom w:w="80" w:type="dxa"/>
              <w:left w:w="120" w:type="dxa"/>
              <w:right w:w="120" w:type="dxa"/>
            </w:tcMar>
          </w:tcPr>
          <w:p>
            <w:pPr>
              <w:spacing w:before="20" w:after="20"/>
            </w:pPr>
            <w:r>
              <w:rPr>
                <w:color w:val="1E293B"/>
                <w:sz w:val="19"/>
              </w:rPr>
              <w:t>94.70%</w:t>
            </w:r>
          </w:p>
        </w:tc>
        <w:tc>
          <w:tcPr>
            <w:tcW w:type="dxa" w:w="1170"/>
            <w:shd w:fill="F1F5F9"/>
            <w:tcMar>
              <w:top w:w="80" w:type="dxa"/>
              <w:bottom w:w="80" w:type="dxa"/>
              <w:left w:w="120" w:type="dxa"/>
              <w:right w:w="120" w:type="dxa"/>
            </w:tcMar>
          </w:tcPr>
          <w:p>
            <w:pPr>
              <w:spacing w:before="20" w:after="20"/>
            </w:pPr>
            <w:r>
              <w:rPr>
                <w:color w:val="1E293B"/>
                <w:sz w:val="19"/>
              </w:rPr>
              <w:t>92.15%</w:t>
            </w:r>
          </w:p>
        </w:tc>
        <w:tc>
          <w:tcPr>
            <w:tcW w:type="dxa" w:w="1170"/>
            <w:shd w:fill="F1F5F9"/>
            <w:tcMar>
              <w:top w:w="80" w:type="dxa"/>
              <w:bottom w:w="80" w:type="dxa"/>
              <w:left w:w="120" w:type="dxa"/>
              <w:right w:w="120" w:type="dxa"/>
            </w:tcMar>
          </w:tcPr>
          <w:p>
            <w:pPr>
              <w:spacing w:before="20" w:after="20"/>
            </w:pPr>
            <w:r>
              <w:rPr>
                <w:color w:val="1E293B"/>
                <w:sz w:val="19"/>
              </w:rPr>
              <w:t>96.43%</w:t>
            </w:r>
          </w:p>
        </w:tc>
        <w:tc>
          <w:tcPr>
            <w:tcW w:type="dxa" w:w="1170"/>
            <w:shd w:fill="F1F5F9"/>
            <w:tcMar>
              <w:top w:w="80" w:type="dxa"/>
              <w:bottom w:w="80" w:type="dxa"/>
              <w:left w:w="120" w:type="dxa"/>
              <w:right w:w="120" w:type="dxa"/>
            </w:tcMar>
          </w:tcPr>
          <w:p>
            <w:pPr>
              <w:spacing w:before="20" w:after="20"/>
            </w:pPr>
            <w:r>
              <w:rPr>
                <w:color w:val="1E293B"/>
                <w:sz w:val="19"/>
              </w:rPr>
              <w:t>81.82%</w:t>
            </w:r>
          </w:p>
        </w:tc>
        <w:tc>
          <w:tcPr>
            <w:tcW w:type="dxa" w:w="1170"/>
            <w:shd w:fill="F1F5F9"/>
            <w:tcMar>
              <w:top w:w="80" w:type="dxa"/>
              <w:bottom w:w="80" w:type="dxa"/>
              <w:left w:w="120" w:type="dxa"/>
              <w:right w:w="120" w:type="dxa"/>
            </w:tcMar>
          </w:tcPr>
          <w:p>
            <w:pPr>
              <w:spacing w:before="20" w:after="20"/>
            </w:pPr>
            <w:r>
              <w:rPr>
                <w:color w:val="1E293B"/>
                <w:sz w:val="19"/>
              </w:rPr>
              <w:t>88.52%</w:t>
            </w:r>
          </w:p>
        </w:tc>
        <w:tc>
          <w:tcPr>
            <w:tcW w:type="dxa" w:w="1170"/>
            <w:shd w:fill="F1F5F9"/>
            <w:tcMar>
              <w:top w:w="80" w:type="dxa"/>
              <w:bottom w:w="80" w:type="dxa"/>
              <w:left w:w="120" w:type="dxa"/>
              <w:right w:w="120" w:type="dxa"/>
            </w:tcMar>
          </w:tcPr>
          <w:p>
            <w:pPr>
              <w:spacing w:before="20" w:after="20"/>
            </w:pPr>
            <w:r>
              <w:rPr>
                <w:color w:val="1E293B"/>
                <w:sz w:val="19"/>
              </w:rPr>
              <w:t>0.1328</w:t>
            </w:r>
          </w:p>
        </w:tc>
        <w:tc>
          <w:tcPr>
            <w:tcW w:type="dxa" w:w="1170"/>
            <w:shd w:fill="F1F5F9"/>
            <w:tcMar>
              <w:top w:w="80" w:type="dxa"/>
              <w:bottom w:w="80" w:type="dxa"/>
              <w:left w:w="120" w:type="dxa"/>
              <w:right w:w="120" w:type="dxa"/>
            </w:tcMar>
          </w:tcPr>
          <w:p>
            <w:pPr>
              <w:spacing w:before="20" w:after="20"/>
            </w:pPr>
            <w:r>
              <w:rPr>
                <w:color w:val="1E293B"/>
                <w:sz w:val="19"/>
              </w:rPr>
              <w:t>0.1087</w:t>
            </w:r>
          </w:p>
        </w:tc>
      </w:tr>
      <w:tr>
        <w:trPr>
          <w:cantSplit/>
        </w:trPr>
        <w:tc>
          <w:tcPr>
            <w:tcW w:type="dxa" w:w="1170"/>
            <w:shd w:fill="FFFFFF"/>
            <w:tcMar>
              <w:top w:w="80" w:type="dxa"/>
              <w:bottom w:w="80" w:type="dxa"/>
              <w:left w:w="120" w:type="dxa"/>
              <w:right w:w="120" w:type="dxa"/>
            </w:tcMar>
          </w:tcPr>
          <w:p>
            <w:pPr>
              <w:spacing w:before="20" w:after="20"/>
            </w:pPr>
            <w:r>
              <w:rPr>
                <w:color w:val="1E293B"/>
                <w:sz w:val="19"/>
              </w:rPr>
              <w:t>Super-Ensemble (Meta-Classifier)</w:t>
            </w:r>
          </w:p>
        </w:tc>
        <w:tc>
          <w:tcPr>
            <w:tcW w:type="dxa" w:w="1170"/>
            <w:shd w:fill="FFFFFF"/>
            <w:tcMar>
              <w:top w:w="80" w:type="dxa"/>
              <w:bottom w:w="80" w:type="dxa"/>
              <w:left w:w="120" w:type="dxa"/>
              <w:right w:w="120" w:type="dxa"/>
            </w:tcMar>
          </w:tcPr>
          <w:p>
            <w:pPr>
              <w:spacing w:before="20" w:after="20"/>
            </w:pPr>
            <w:r>
              <w:rPr>
                <w:color w:val="1E293B"/>
                <w:sz w:val="19"/>
              </w:rPr>
              <w:t>93.83%</w:t>
            </w:r>
          </w:p>
        </w:tc>
        <w:tc>
          <w:tcPr>
            <w:tcW w:type="dxa" w:w="1170"/>
            <w:shd w:fill="FFFFFF"/>
            <w:tcMar>
              <w:top w:w="80" w:type="dxa"/>
              <w:bottom w:w="80" w:type="dxa"/>
              <w:left w:w="120" w:type="dxa"/>
              <w:right w:w="120" w:type="dxa"/>
            </w:tcMar>
          </w:tcPr>
          <w:p>
            <w:pPr>
              <w:spacing w:before="20" w:after="20"/>
            </w:pPr>
            <w:r>
              <w:rPr>
                <w:color w:val="1E293B"/>
                <w:sz w:val="19"/>
              </w:rPr>
              <w:t>92.24%</w:t>
            </w:r>
          </w:p>
        </w:tc>
        <w:tc>
          <w:tcPr>
            <w:tcW w:type="dxa" w:w="1170"/>
            <w:shd w:fill="FFFFFF"/>
            <w:tcMar>
              <w:top w:w="80" w:type="dxa"/>
              <w:bottom w:w="80" w:type="dxa"/>
              <w:left w:w="120" w:type="dxa"/>
              <w:right w:w="120" w:type="dxa"/>
            </w:tcMar>
          </w:tcPr>
          <w:p>
            <w:pPr>
              <w:spacing w:before="20" w:after="20"/>
            </w:pPr>
            <w:r>
              <w:rPr>
                <w:color w:val="1E293B"/>
                <w:sz w:val="19"/>
              </w:rPr>
              <w:t>92.86%</w:t>
            </w:r>
          </w:p>
        </w:tc>
        <w:tc>
          <w:tcPr>
            <w:tcW w:type="dxa" w:w="1170"/>
            <w:shd w:fill="FFFFFF"/>
            <w:tcMar>
              <w:top w:w="80" w:type="dxa"/>
              <w:bottom w:w="80" w:type="dxa"/>
              <w:left w:w="120" w:type="dxa"/>
              <w:right w:w="120" w:type="dxa"/>
            </w:tcMar>
          </w:tcPr>
          <w:p>
            <w:pPr>
              <w:spacing w:before="20" w:after="20"/>
            </w:pPr>
            <w:r>
              <w:rPr>
                <w:color w:val="1E293B"/>
                <w:sz w:val="19"/>
              </w:rPr>
              <w:t>81.82%</w:t>
            </w:r>
          </w:p>
        </w:tc>
        <w:tc>
          <w:tcPr>
            <w:tcW w:type="dxa" w:w="1170"/>
            <w:shd w:fill="FFFFFF"/>
            <w:tcMar>
              <w:top w:w="80" w:type="dxa"/>
              <w:bottom w:w="80" w:type="dxa"/>
              <w:left w:w="120" w:type="dxa"/>
              <w:right w:w="120" w:type="dxa"/>
            </w:tcMar>
          </w:tcPr>
          <w:p>
            <w:pPr>
              <w:spacing w:before="20" w:after="20"/>
            </w:pPr>
            <w:r>
              <w:rPr>
                <w:color w:val="1E293B"/>
                <w:sz w:val="19"/>
              </w:rPr>
              <w:t>86.67%</w:t>
            </w:r>
          </w:p>
        </w:tc>
        <w:tc>
          <w:tcPr>
            <w:tcW w:type="dxa" w:w="1170"/>
            <w:shd w:fill="FFFFFF"/>
            <w:tcMar>
              <w:top w:w="80" w:type="dxa"/>
              <w:bottom w:w="80" w:type="dxa"/>
              <w:left w:w="120" w:type="dxa"/>
              <w:right w:w="120" w:type="dxa"/>
            </w:tcMar>
          </w:tcPr>
          <w:p>
            <w:pPr>
              <w:spacing w:before="20" w:after="20"/>
            </w:pPr>
            <w:r>
              <w:rPr>
                <w:color w:val="1E293B"/>
                <w:sz w:val="19"/>
              </w:rPr>
              <w:t>0.1087</w:t>
            </w:r>
          </w:p>
        </w:tc>
        <w:tc>
          <w:tcPr>
            <w:tcW w:type="dxa" w:w="1170"/>
            <w:shd w:fill="FFFFFF"/>
            <w:tcMar>
              <w:top w:w="80" w:type="dxa"/>
              <w:bottom w:w="80" w:type="dxa"/>
              <w:left w:w="120" w:type="dxa"/>
              <w:right w:w="120" w:type="dxa"/>
            </w:tcMar>
          </w:tcPr>
          <w:p>
            <w:pPr>
              <w:spacing w:before="20" w:after="20"/>
            </w:pPr>
            <w:r>
              <w:rPr>
                <w:color w:val="1E293B"/>
                <w:sz w:val="19"/>
              </w:rPr>
              <w:t>0.1073</w:t>
            </w:r>
          </w:p>
        </w:tc>
      </w:tr>
      <w:tr>
        <w:trPr>
          <w:cantSplit/>
        </w:trPr>
        <w:tc>
          <w:tcPr>
            <w:tcW w:type="dxa" w:w="1170"/>
            <w:shd w:fill="F1F5F9"/>
            <w:tcMar>
              <w:top w:w="80" w:type="dxa"/>
              <w:bottom w:w="80" w:type="dxa"/>
              <w:left w:w="120" w:type="dxa"/>
              <w:right w:w="120" w:type="dxa"/>
            </w:tcMar>
          </w:tcPr>
          <w:p>
            <w:pPr>
              <w:spacing w:before="20" w:after="20"/>
            </w:pPr>
            <w:r>
              <w:rPr>
                <w:color w:val="1E293B"/>
                <w:sz w:val="19"/>
              </w:rPr>
              <w:t>Logistic Regression (Linear)</w:t>
            </w:r>
          </w:p>
        </w:tc>
        <w:tc>
          <w:tcPr>
            <w:tcW w:type="dxa" w:w="1170"/>
            <w:shd w:fill="F1F5F9"/>
            <w:tcMar>
              <w:top w:w="80" w:type="dxa"/>
              <w:bottom w:w="80" w:type="dxa"/>
              <w:left w:w="120" w:type="dxa"/>
              <w:right w:w="120" w:type="dxa"/>
            </w:tcMar>
          </w:tcPr>
          <w:p>
            <w:pPr>
              <w:spacing w:before="20" w:after="20"/>
            </w:pPr>
            <w:r>
              <w:rPr>
                <w:color w:val="1E293B"/>
                <w:sz w:val="19"/>
              </w:rPr>
              <w:t>93.83%</w:t>
            </w:r>
          </w:p>
        </w:tc>
        <w:tc>
          <w:tcPr>
            <w:tcW w:type="dxa" w:w="1170"/>
            <w:shd w:fill="F1F5F9"/>
            <w:tcMar>
              <w:top w:w="80" w:type="dxa"/>
              <w:bottom w:w="80" w:type="dxa"/>
              <w:left w:w="120" w:type="dxa"/>
              <w:right w:w="120" w:type="dxa"/>
            </w:tcMar>
          </w:tcPr>
          <w:p>
            <w:pPr>
              <w:spacing w:before="20" w:after="20"/>
            </w:pPr>
            <w:r>
              <w:rPr>
                <w:color w:val="1E293B"/>
                <w:sz w:val="19"/>
              </w:rPr>
              <w:t>90.70%</w:t>
            </w:r>
          </w:p>
        </w:tc>
        <w:tc>
          <w:tcPr>
            <w:tcW w:type="dxa" w:w="1170"/>
            <w:shd w:fill="F1F5F9"/>
            <w:tcMar>
              <w:top w:w="80" w:type="dxa"/>
              <w:bottom w:w="80" w:type="dxa"/>
              <w:left w:w="120" w:type="dxa"/>
              <w:right w:w="120" w:type="dxa"/>
            </w:tcMar>
          </w:tcPr>
          <w:p>
            <w:pPr>
              <w:spacing w:before="20" w:after="20"/>
            </w:pPr>
            <w:r>
              <w:rPr>
                <w:color w:val="1E293B"/>
                <w:sz w:val="19"/>
              </w:rPr>
              <w:t>89.29%</w:t>
            </w:r>
          </w:p>
        </w:tc>
        <w:tc>
          <w:tcPr>
            <w:tcW w:type="dxa" w:w="1170"/>
            <w:shd w:fill="F1F5F9"/>
            <w:tcMar>
              <w:top w:w="80" w:type="dxa"/>
              <w:bottom w:w="80" w:type="dxa"/>
              <w:left w:w="120" w:type="dxa"/>
              <w:right w:w="120" w:type="dxa"/>
            </w:tcMar>
          </w:tcPr>
          <w:p>
            <w:pPr>
              <w:spacing w:before="20" w:after="20"/>
            </w:pPr>
            <w:r>
              <w:rPr>
                <w:color w:val="1E293B"/>
                <w:sz w:val="19"/>
              </w:rPr>
              <w:t>78.79%</w:t>
            </w:r>
          </w:p>
        </w:tc>
        <w:tc>
          <w:tcPr>
            <w:tcW w:type="dxa" w:w="1170"/>
            <w:shd w:fill="F1F5F9"/>
            <w:tcMar>
              <w:top w:w="80" w:type="dxa"/>
              <w:bottom w:w="80" w:type="dxa"/>
              <w:left w:w="120" w:type="dxa"/>
              <w:right w:w="120" w:type="dxa"/>
            </w:tcMar>
          </w:tcPr>
          <w:p>
            <w:pPr>
              <w:spacing w:before="20" w:after="20"/>
            </w:pPr>
            <w:r>
              <w:rPr>
                <w:color w:val="1E293B"/>
                <w:sz w:val="19"/>
              </w:rPr>
              <w:t>83.33%</w:t>
            </w:r>
          </w:p>
        </w:tc>
        <w:tc>
          <w:tcPr>
            <w:tcW w:type="dxa" w:w="1170"/>
            <w:shd w:fill="F1F5F9"/>
            <w:tcMar>
              <w:top w:w="80" w:type="dxa"/>
              <w:bottom w:w="80" w:type="dxa"/>
              <w:left w:w="120" w:type="dxa"/>
              <w:right w:w="120" w:type="dxa"/>
            </w:tcMar>
          </w:tcPr>
          <w:p>
            <w:pPr>
              <w:spacing w:before="20" w:after="20"/>
            </w:pPr>
            <w:r>
              <w:rPr>
                <w:color w:val="1E293B"/>
                <w:sz w:val="19"/>
              </w:rPr>
              <w:t>0.1602</w:t>
            </w:r>
          </w:p>
        </w:tc>
        <w:tc>
          <w:tcPr>
            <w:tcW w:type="dxa" w:w="1170"/>
            <w:shd w:fill="F1F5F9"/>
            <w:tcMar>
              <w:top w:w="80" w:type="dxa"/>
              <w:bottom w:w="80" w:type="dxa"/>
              <w:left w:w="120" w:type="dxa"/>
              <w:right w:w="120" w:type="dxa"/>
            </w:tcMar>
          </w:tcPr>
          <w:p>
            <w:pPr>
              <w:spacing w:before="20" w:after="20"/>
            </w:pPr>
            <w:r>
              <w:rPr>
                <w:color w:val="1E293B"/>
                <w:sz w:val="19"/>
              </w:rPr>
              <w:t>0.1125</w:t>
            </w:r>
          </w:p>
        </w:tc>
      </w:tr>
      <w:tr>
        <w:trPr>
          <w:cantSplit/>
        </w:trPr>
        <w:tc>
          <w:tcPr>
            <w:tcW w:type="dxa" w:w="1170"/>
            <w:shd w:fill="FFFFFF"/>
            <w:tcMar>
              <w:top w:w="80" w:type="dxa"/>
              <w:bottom w:w="80" w:type="dxa"/>
              <w:left w:w="120" w:type="dxa"/>
              <w:right w:w="120" w:type="dxa"/>
            </w:tcMar>
          </w:tcPr>
          <w:p>
            <w:pPr>
              <w:spacing w:before="20" w:after="20"/>
            </w:pPr>
            <w:r>
              <w:rPr>
                <w:color w:val="1E293B"/>
                <w:sz w:val="19"/>
              </w:rPr>
              <w:t>Extra Trees Classifier</w:t>
            </w:r>
          </w:p>
        </w:tc>
        <w:tc>
          <w:tcPr>
            <w:tcW w:type="dxa" w:w="1170"/>
            <w:shd w:fill="FFFFFF"/>
            <w:tcMar>
              <w:top w:w="80" w:type="dxa"/>
              <w:bottom w:w="80" w:type="dxa"/>
              <w:left w:w="120" w:type="dxa"/>
              <w:right w:w="120" w:type="dxa"/>
            </w:tcMar>
          </w:tcPr>
          <w:p>
            <w:pPr>
              <w:spacing w:before="20" w:after="20"/>
            </w:pPr>
            <w:r>
              <w:rPr>
                <w:color w:val="1E293B"/>
                <w:sz w:val="19"/>
              </w:rPr>
              <w:t>93.72%</w:t>
            </w:r>
          </w:p>
        </w:tc>
        <w:tc>
          <w:tcPr>
            <w:tcW w:type="dxa" w:w="1170"/>
            <w:shd w:fill="FFFFFF"/>
            <w:tcMar>
              <w:top w:w="80" w:type="dxa"/>
              <w:bottom w:w="80" w:type="dxa"/>
              <w:left w:w="120" w:type="dxa"/>
              <w:right w:w="120" w:type="dxa"/>
            </w:tcMar>
          </w:tcPr>
          <w:p>
            <w:pPr>
              <w:spacing w:before="20" w:after="20"/>
            </w:pPr>
            <w:r>
              <w:rPr>
                <w:color w:val="1E293B"/>
                <w:sz w:val="19"/>
              </w:rPr>
              <w:t>93.02%</w:t>
            </w:r>
          </w:p>
        </w:tc>
        <w:tc>
          <w:tcPr>
            <w:tcW w:type="dxa" w:w="1170"/>
            <w:shd w:fill="FFFFFF"/>
            <w:tcMar>
              <w:top w:w="80" w:type="dxa"/>
              <w:bottom w:w="80" w:type="dxa"/>
              <w:left w:w="120" w:type="dxa"/>
              <w:right w:w="120" w:type="dxa"/>
            </w:tcMar>
          </w:tcPr>
          <w:p>
            <w:pPr>
              <w:spacing w:before="20" w:after="20"/>
            </w:pPr>
            <w:r>
              <w:rPr>
                <w:color w:val="1E293B"/>
                <w:sz w:val="19"/>
              </w:rPr>
              <w:t>89.29%</w:t>
            </w:r>
          </w:p>
        </w:tc>
        <w:tc>
          <w:tcPr>
            <w:tcW w:type="dxa" w:w="1170"/>
            <w:shd w:fill="FFFFFF"/>
            <w:tcMar>
              <w:top w:w="80" w:type="dxa"/>
              <w:bottom w:w="80" w:type="dxa"/>
              <w:left w:w="120" w:type="dxa"/>
              <w:right w:w="120" w:type="dxa"/>
            </w:tcMar>
          </w:tcPr>
          <w:p>
            <w:pPr>
              <w:spacing w:before="20" w:after="20"/>
            </w:pPr>
            <w:r>
              <w:rPr>
                <w:color w:val="1E293B"/>
                <w:sz w:val="19"/>
              </w:rPr>
              <w:t>78.79%</w:t>
            </w:r>
          </w:p>
        </w:tc>
        <w:tc>
          <w:tcPr>
            <w:tcW w:type="dxa" w:w="1170"/>
            <w:shd w:fill="FFFFFF"/>
            <w:tcMar>
              <w:top w:w="80" w:type="dxa"/>
              <w:bottom w:w="80" w:type="dxa"/>
              <w:left w:w="120" w:type="dxa"/>
              <w:right w:w="120" w:type="dxa"/>
            </w:tcMar>
          </w:tcPr>
          <w:p>
            <w:pPr>
              <w:spacing w:before="20" w:after="20"/>
            </w:pPr>
            <w:r>
              <w:rPr>
                <w:color w:val="1E293B"/>
                <w:sz w:val="19"/>
              </w:rPr>
              <w:t>83.33%</w:t>
            </w:r>
          </w:p>
        </w:tc>
        <w:tc>
          <w:tcPr>
            <w:tcW w:type="dxa" w:w="1170"/>
            <w:shd w:fill="FFFFFF"/>
            <w:tcMar>
              <w:top w:w="80" w:type="dxa"/>
              <w:bottom w:w="80" w:type="dxa"/>
              <w:left w:w="120" w:type="dxa"/>
              <w:right w:w="120" w:type="dxa"/>
            </w:tcMar>
          </w:tcPr>
          <w:p>
            <w:pPr>
              <w:spacing w:before="20" w:after="20"/>
            </w:pPr>
            <w:r>
              <w:rPr>
                <w:color w:val="1E293B"/>
                <w:sz w:val="19"/>
              </w:rPr>
              <w:t>0.1623</w:t>
            </w:r>
          </w:p>
        </w:tc>
        <w:tc>
          <w:tcPr>
            <w:tcW w:type="dxa" w:w="1170"/>
            <w:shd w:fill="FFFFFF"/>
            <w:tcMar>
              <w:top w:w="80" w:type="dxa"/>
              <w:bottom w:w="80" w:type="dxa"/>
              <w:left w:w="120" w:type="dxa"/>
              <w:right w:w="120" w:type="dxa"/>
            </w:tcMar>
          </w:tcPr>
          <w:p>
            <w:pPr>
              <w:spacing w:before="20" w:after="20"/>
            </w:pPr>
            <w:r>
              <w:rPr>
                <w:color w:val="1E293B"/>
                <w:sz w:val="19"/>
              </w:rPr>
              <w:t>0.1244</w:t>
            </w:r>
          </w:p>
        </w:tc>
      </w:tr>
      <w:tr>
        <w:trPr>
          <w:cantSplit/>
        </w:trPr>
        <w:tc>
          <w:tcPr>
            <w:tcW w:type="dxa" w:w="1170"/>
            <w:shd w:fill="F1F5F9"/>
            <w:tcMar>
              <w:top w:w="80" w:type="dxa"/>
              <w:bottom w:w="80" w:type="dxa"/>
              <w:left w:w="120" w:type="dxa"/>
              <w:right w:w="120" w:type="dxa"/>
            </w:tcMar>
          </w:tcPr>
          <w:p>
            <w:pPr>
              <w:spacing w:before="20" w:after="20"/>
            </w:pPr>
            <w:r>
              <w:rPr>
                <w:color w:val="1E293B"/>
                <w:sz w:val="19"/>
              </w:rPr>
              <w:t>XGBoost (Primary Booster)</w:t>
            </w:r>
          </w:p>
        </w:tc>
        <w:tc>
          <w:tcPr>
            <w:tcW w:type="dxa" w:w="1170"/>
            <w:shd w:fill="F1F5F9"/>
            <w:tcMar>
              <w:top w:w="80" w:type="dxa"/>
              <w:bottom w:w="80" w:type="dxa"/>
              <w:left w:w="120" w:type="dxa"/>
              <w:right w:w="120" w:type="dxa"/>
            </w:tcMar>
          </w:tcPr>
          <w:p>
            <w:pPr>
              <w:spacing w:before="20" w:after="20"/>
            </w:pPr>
            <w:r>
              <w:rPr>
                <w:color w:val="1E293B"/>
                <w:sz w:val="19"/>
              </w:rPr>
              <w:t>92.97%</w:t>
            </w:r>
          </w:p>
        </w:tc>
        <w:tc>
          <w:tcPr>
            <w:tcW w:type="dxa" w:w="1170"/>
            <w:shd w:fill="F1F5F9"/>
            <w:tcMar>
              <w:top w:w="80" w:type="dxa"/>
              <w:bottom w:w="80" w:type="dxa"/>
              <w:left w:w="120" w:type="dxa"/>
              <w:right w:w="120" w:type="dxa"/>
            </w:tcMar>
          </w:tcPr>
          <w:p>
            <w:pPr>
              <w:spacing w:before="20" w:after="20"/>
            </w:pPr>
            <w:r>
              <w:rPr>
                <w:color w:val="1E293B"/>
                <w:sz w:val="19"/>
              </w:rPr>
              <w:t>89.14%</w:t>
            </w:r>
          </w:p>
        </w:tc>
        <w:tc>
          <w:tcPr>
            <w:tcW w:type="dxa" w:w="1170"/>
            <w:shd w:fill="F1F5F9"/>
            <w:tcMar>
              <w:top w:w="80" w:type="dxa"/>
              <w:bottom w:w="80" w:type="dxa"/>
              <w:left w:w="120" w:type="dxa"/>
              <w:right w:w="120" w:type="dxa"/>
            </w:tcMar>
          </w:tcPr>
          <w:p>
            <w:pPr>
              <w:spacing w:before="20" w:after="20"/>
            </w:pPr>
            <w:r>
              <w:rPr>
                <w:color w:val="1E293B"/>
                <w:sz w:val="19"/>
              </w:rPr>
              <w:t>96.43%</w:t>
            </w:r>
          </w:p>
        </w:tc>
        <w:tc>
          <w:tcPr>
            <w:tcW w:type="dxa" w:w="1170"/>
            <w:shd w:fill="F1F5F9"/>
            <w:tcMar>
              <w:top w:w="80" w:type="dxa"/>
              <w:bottom w:w="80" w:type="dxa"/>
              <w:left w:w="120" w:type="dxa"/>
              <w:right w:w="120" w:type="dxa"/>
            </w:tcMar>
          </w:tcPr>
          <w:p>
            <w:pPr>
              <w:spacing w:before="20" w:after="20"/>
            </w:pPr>
            <w:r>
              <w:rPr>
                <w:color w:val="1E293B"/>
                <w:sz w:val="19"/>
              </w:rPr>
              <w:t>75.76%</w:t>
            </w:r>
          </w:p>
        </w:tc>
        <w:tc>
          <w:tcPr>
            <w:tcW w:type="dxa" w:w="1170"/>
            <w:shd w:fill="F1F5F9"/>
            <w:tcMar>
              <w:top w:w="80" w:type="dxa"/>
              <w:bottom w:w="80" w:type="dxa"/>
              <w:left w:w="120" w:type="dxa"/>
              <w:right w:w="120" w:type="dxa"/>
            </w:tcMar>
          </w:tcPr>
          <w:p>
            <w:pPr>
              <w:spacing w:before="20" w:after="20"/>
            </w:pPr>
            <w:r>
              <w:rPr>
                <w:color w:val="1E293B"/>
                <w:sz w:val="19"/>
              </w:rPr>
              <w:t>85.71%</w:t>
            </w:r>
          </w:p>
        </w:tc>
        <w:tc>
          <w:tcPr>
            <w:tcW w:type="dxa" w:w="1170"/>
            <w:shd w:fill="F1F5F9"/>
            <w:tcMar>
              <w:top w:w="80" w:type="dxa"/>
              <w:bottom w:w="80" w:type="dxa"/>
              <w:left w:w="120" w:type="dxa"/>
              <w:right w:w="120" w:type="dxa"/>
            </w:tcMar>
          </w:tcPr>
          <w:p>
            <w:pPr>
              <w:spacing w:before="20" w:after="20"/>
            </w:pPr>
            <w:r>
              <w:rPr>
                <w:color w:val="1E293B"/>
                <w:sz w:val="19"/>
              </w:rPr>
              <w:t>0.0918</w:t>
            </w:r>
          </w:p>
        </w:tc>
        <w:tc>
          <w:tcPr>
            <w:tcW w:type="dxa" w:w="1170"/>
            <w:shd w:fill="F1F5F9"/>
            <w:tcMar>
              <w:top w:w="80" w:type="dxa"/>
              <w:bottom w:w="80" w:type="dxa"/>
              <w:left w:w="120" w:type="dxa"/>
              <w:right w:w="120" w:type="dxa"/>
            </w:tcMar>
          </w:tcPr>
          <w:p>
            <w:pPr>
              <w:spacing w:before="20" w:after="20"/>
            </w:pPr>
            <w:r>
              <w:rPr>
                <w:color w:val="1E293B"/>
                <w:sz w:val="19"/>
              </w:rPr>
              <w:t>0.1040</w:t>
            </w:r>
          </w:p>
        </w:tc>
      </w:tr>
      <w:tr>
        <w:trPr>
          <w:cantSplit/>
        </w:trPr>
        <w:tc>
          <w:tcPr>
            <w:tcW w:type="dxa" w:w="1170"/>
            <w:shd w:fill="FFFFFF"/>
            <w:tcMar>
              <w:top w:w="80" w:type="dxa"/>
              <w:bottom w:w="80" w:type="dxa"/>
              <w:left w:w="120" w:type="dxa"/>
              <w:right w:w="120" w:type="dxa"/>
            </w:tcMar>
          </w:tcPr>
          <w:p>
            <w:pPr>
              <w:spacing w:before="20" w:after="20"/>
            </w:pPr>
            <w:r>
              <w:rPr>
                <w:color w:val="1E293B"/>
                <w:sz w:val="19"/>
              </w:rPr>
              <w:t>CatBoost (Clinical Booster)</w:t>
            </w:r>
          </w:p>
        </w:tc>
        <w:tc>
          <w:tcPr>
            <w:tcW w:type="dxa" w:w="1170"/>
            <w:shd w:fill="FFFFFF"/>
            <w:tcMar>
              <w:top w:w="80" w:type="dxa"/>
              <w:bottom w:w="80" w:type="dxa"/>
              <w:left w:w="120" w:type="dxa"/>
              <w:right w:w="120" w:type="dxa"/>
            </w:tcMar>
          </w:tcPr>
          <w:p>
            <w:pPr>
              <w:spacing w:before="20" w:after="20"/>
            </w:pPr>
            <w:r>
              <w:rPr>
                <w:color w:val="1E293B"/>
                <w:sz w:val="19"/>
              </w:rPr>
              <w:t>92.53%</w:t>
            </w:r>
          </w:p>
        </w:tc>
        <w:tc>
          <w:tcPr>
            <w:tcW w:type="dxa" w:w="1170"/>
            <w:shd w:fill="FFFFFF"/>
            <w:tcMar>
              <w:top w:w="80" w:type="dxa"/>
              <w:bottom w:w="80" w:type="dxa"/>
              <w:left w:w="120" w:type="dxa"/>
              <w:right w:w="120" w:type="dxa"/>
            </w:tcMar>
          </w:tcPr>
          <w:p>
            <w:pPr>
              <w:spacing w:before="20" w:after="20"/>
            </w:pPr>
            <w:r>
              <w:rPr>
                <w:color w:val="1E293B"/>
                <w:sz w:val="19"/>
              </w:rPr>
              <w:t>90.61%</w:t>
            </w:r>
          </w:p>
        </w:tc>
        <w:tc>
          <w:tcPr>
            <w:tcW w:type="dxa" w:w="1170"/>
            <w:shd w:fill="FFFFFF"/>
            <w:tcMar>
              <w:top w:w="80" w:type="dxa"/>
              <w:bottom w:w="80" w:type="dxa"/>
              <w:left w:w="120" w:type="dxa"/>
              <w:right w:w="120" w:type="dxa"/>
            </w:tcMar>
          </w:tcPr>
          <w:p>
            <w:pPr>
              <w:spacing w:before="20" w:after="20"/>
            </w:pPr>
            <w:r>
              <w:rPr>
                <w:color w:val="1E293B"/>
                <w:sz w:val="19"/>
              </w:rPr>
              <w:t>89.29%</w:t>
            </w:r>
          </w:p>
        </w:tc>
        <w:tc>
          <w:tcPr>
            <w:tcW w:type="dxa" w:w="1170"/>
            <w:shd w:fill="FFFFFF"/>
            <w:tcMar>
              <w:top w:w="80" w:type="dxa"/>
              <w:bottom w:w="80" w:type="dxa"/>
              <w:left w:w="120" w:type="dxa"/>
              <w:right w:w="120" w:type="dxa"/>
            </w:tcMar>
          </w:tcPr>
          <w:p>
            <w:pPr>
              <w:spacing w:before="20" w:after="20"/>
            </w:pPr>
            <w:r>
              <w:rPr>
                <w:color w:val="1E293B"/>
                <w:sz w:val="19"/>
              </w:rPr>
              <w:t>81.82%</w:t>
            </w:r>
          </w:p>
        </w:tc>
        <w:tc>
          <w:tcPr>
            <w:tcW w:type="dxa" w:w="1170"/>
            <w:shd w:fill="FFFFFF"/>
            <w:tcMar>
              <w:top w:w="80" w:type="dxa"/>
              <w:bottom w:w="80" w:type="dxa"/>
              <w:left w:w="120" w:type="dxa"/>
              <w:right w:w="120" w:type="dxa"/>
            </w:tcMar>
          </w:tcPr>
          <w:p>
            <w:pPr>
              <w:spacing w:before="20" w:after="20"/>
            </w:pPr>
            <w:r>
              <w:rPr>
                <w:color w:val="1E293B"/>
                <w:sz w:val="19"/>
              </w:rPr>
              <w:t>86.67%</w:t>
            </w:r>
          </w:p>
        </w:tc>
        <w:tc>
          <w:tcPr>
            <w:tcW w:type="dxa" w:w="1170"/>
            <w:shd w:fill="FFFFFF"/>
            <w:tcMar>
              <w:top w:w="80" w:type="dxa"/>
              <w:bottom w:w="80" w:type="dxa"/>
              <w:left w:w="120" w:type="dxa"/>
              <w:right w:w="120" w:type="dxa"/>
            </w:tcMar>
          </w:tcPr>
          <w:p>
            <w:pPr>
              <w:spacing w:before="20" w:after="20"/>
            </w:pPr>
            <w:r>
              <w:rPr>
                <w:color w:val="1E293B"/>
                <w:sz w:val="19"/>
              </w:rPr>
              <w:t>0.0949</w:t>
            </w:r>
          </w:p>
        </w:tc>
        <w:tc>
          <w:tcPr>
            <w:tcW w:type="dxa" w:w="1170"/>
            <w:shd w:fill="FFFFFF"/>
            <w:tcMar>
              <w:top w:w="80" w:type="dxa"/>
              <w:bottom w:w="80" w:type="dxa"/>
              <w:left w:w="120" w:type="dxa"/>
              <w:right w:w="120" w:type="dxa"/>
            </w:tcMar>
          </w:tcPr>
          <w:p>
            <w:pPr>
              <w:spacing w:before="20" w:after="20"/>
            </w:pPr>
            <w:r>
              <w:rPr>
                <w:color w:val="1E293B"/>
                <w:sz w:val="19"/>
              </w:rPr>
              <w:t>0.1150</w:t>
            </w:r>
          </w:p>
        </w:tc>
      </w:tr>
      <w:tr>
        <w:trPr>
          <w:cantSplit/>
        </w:trPr>
        <w:tc>
          <w:tcPr>
            <w:tcW w:type="dxa" w:w="1170"/>
            <w:shd w:fill="F1F5F9"/>
            <w:tcMar>
              <w:top w:w="80" w:type="dxa"/>
              <w:bottom w:w="80" w:type="dxa"/>
              <w:left w:w="120" w:type="dxa"/>
              <w:right w:w="120" w:type="dxa"/>
            </w:tcMar>
          </w:tcPr>
          <w:p>
            <w:pPr>
              <w:spacing w:before="20" w:after="20"/>
            </w:pPr>
            <w:r>
              <w:rPr>
                <w:color w:val="1E293B"/>
                <w:sz w:val="19"/>
              </w:rPr>
              <w:t>LightGBM (Fast Booster)</w:t>
            </w:r>
          </w:p>
        </w:tc>
        <w:tc>
          <w:tcPr>
            <w:tcW w:type="dxa" w:w="1170"/>
            <w:shd w:fill="F1F5F9"/>
            <w:tcMar>
              <w:top w:w="80" w:type="dxa"/>
              <w:bottom w:w="80" w:type="dxa"/>
              <w:left w:w="120" w:type="dxa"/>
              <w:right w:w="120" w:type="dxa"/>
            </w:tcMar>
          </w:tcPr>
          <w:p>
            <w:pPr>
              <w:spacing w:before="20" w:after="20"/>
            </w:pPr>
            <w:r>
              <w:rPr>
                <w:color w:val="1E293B"/>
                <w:sz w:val="19"/>
              </w:rPr>
              <w:t>92.21%</w:t>
            </w:r>
          </w:p>
        </w:tc>
        <w:tc>
          <w:tcPr>
            <w:tcW w:type="dxa" w:w="1170"/>
            <w:shd w:fill="F1F5F9"/>
            <w:tcMar>
              <w:top w:w="80" w:type="dxa"/>
              <w:bottom w:w="80" w:type="dxa"/>
              <w:left w:w="120" w:type="dxa"/>
              <w:right w:w="120" w:type="dxa"/>
            </w:tcMar>
          </w:tcPr>
          <w:p>
            <w:pPr>
              <w:spacing w:before="20" w:after="20"/>
            </w:pPr>
            <w:r>
              <w:rPr>
                <w:color w:val="1E293B"/>
                <w:sz w:val="19"/>
              </w:rPr>
              <w:t>91.80%</w:t>
            </w:r>
          </w:p>
        </w:tc>
        <w:tc>
          <w:tcPr>
            <w:tcW w:type="dxa" w:w="1170"/>
            <w:shd w:fill="F1F5F9"/>
            <w:tcMar>
              <w:top w:w="80" w:type="dxa"/>
              <w:bottom w:w="80" w:type="dxa"/>
              <w:left w:w="120" w:type="dxa"/>
              <w:right w:w="120" w:type="dxa"/>
            </w:tcMar>
          </w:tcPr>
          <w:p>
            <w:pPr>
              <w:spacing w:before="20" w:after="20"/>
            </w:pPr>
            <w:r>
              <w:rPr>
                <w:color w:val="1E293B"/>
                <w:sz w:val="19"/>
              </w:rPr>
              <w:t>89.29%</w:t>
            </w:r>
          </w:p>
        </w:tc>
        <w:tc>
          <w:tcPr>
            <w:tcW w:type="dxa" w:w="1170"/>
            <w:shd w:fill="F1F5F9"/>
            <w:tcMar>
              <w:top w:w="80" w:type="dxa"/>
              <w:bottom w:w="80" w:type="dxa"/>
              <w:left w:w="120" w:type="dxa"/>
              <w:right w:w="120" w:type="dxa"/>
            </w:tcMar>
          </w:tcPr>
          <w:p>
            <w:pPr>
              <w:spacing w:before="20" w:after="20"/>
            </w:pPr>
            <w:r>
              <w:rPr>
                <w:color w:val="1E293B"/>
                <w:sz w:val="19"/>
              </w:rPr>
              <w:t>75.76%</w:t>
            </w:r>
          </w:p>
        </w:tc>
        <w:tc>
          <w:tcPr>
            <w:tcW w:type="dxa" w:w="1170"/>
            <w:shd w:fill="F1F5F9"/>
            <w:tcMar>
              <w:top w:w="80" w:type="dxa"/>
              <w:bottom w:w="80" w:type="dxa"/>
              <w:left w:w="120" w:type="dxa"/>
              <w:right w:w="120" w:type="dxa"/>
            </w:tcMar>
          </w:tcPr>
          <w:p>
            <w:pPr>
              <w:spacing w:before="20" w:after="20"/>
            </w:pPr>
            <w:r>
              <w:rPr>
                <w:color w:val="1E293B"/>
                <w:sz w:val="19"/>
              </w:rPr>
              <w:t>81.97%</w:t>
            </w:r>
          </w:p>
        </w:tc>
        <w:tc>
          <w:tcPr>
            <w:tcW w:type="dxa" w:w="1170"/>
            <w:shd w:fill="F1F5F9"/>
            <w:tcMar>
              <w:top w:w="80" w:type="dxa"/>
              <w:bottom w:w="80" w:type="dxa"/>
              <w:left w:w="120" w:type="dxa"/>
              <w:right w:w="120" w:type="dxa"/>
            </w:tcMar>
          </w:tcPr>
          <w:p>
            <w:pPr>
              <w:spacing w:before="20" w:after="20"/>
            </w:pPr>
            <w:r>
              <w:rPr>
                <w:color w:val="1E293B"/>
                <w:sz w:val="19"/>
              </w:rPr>
              <w:t>0.1070</w:t>
            </w:r>
          </w:p>
        </w:tc>
        <w:tc>
          <w:tcPr>
            <w:tcW w:type="dxa" w:w="1170"/>
            <w:shd w:fill="F1F5F9"/>
            <w:tcMar>
              <w:top w:w="80" w:type="dxa"/>
              <w:bottom w:w="80" w:type="dxa"/>
              <w:left w:w="120" w:type="dxa"/>
              <w:right w:w="120" w:type="dxa"/>
            </w:tcMar>
          </w:tcPr>
          <w:p>
            <w:pPr>
              <w:spacing w:before="20" w:after="20"/>
            </w:pPr>
            <w:r>
              <w:rPr>
                <w:color w:val="1E293B"/>
                <w:sz w:val="19"/>
              </w:rPr>
              <w:t>0.1213</w:t>
            </w:r>
          </w:p>
        </w:tc>
      </w:tr>
      <w:tr>
        <w:trPr>
          <w:cantSplit/>
        </w:trPr>
        <w:tc>
          <w:tcPr>
            <w:tcW w:type="dxa" w:w="1170"/>
            <w:shd w:fill="FFFFFF"/>
            <w:tcMar>
              <w:top w:w="80" w:type="dxa"/>
              <w:bottom w:w="80" w:type="dxa"/>
              <w:left w:w="120" w:type="dxa"/>
              <w:right w:w="120" w:type="dxa"/>
            </w:tcMar>
          </w:tcPr>
          <w:p>
            <w:pPr>
              <w:spacing w:before="20" w:after="20"/>
            </w:pPr>
            <w:r>
              <w:rPr>
                <w:color w:val="1E293B"/>
                <w:sz w:val="19"/>
              </w:rPr>
              <w:t>Gradient Boosting (GBDT)</w:t>
            </w:r>
          </w:p>
        </w:tc>
        <w:tc>
          <w:tcPr>
            <w:tcW w:type="dxa" w:w="1170"/>
            <w:shd w:fill="FFFFFF"/>
            <w:tcMar>
              <w:top w:w="80" w:type="dxa"/>
              <w:bottom w:w="80" w:type="dxa"/>
              <w:left w:w="120" w:type="dxa"/>
              <w:right w:w="120" w:type="dxa"/>
            </w:tcMar>
          </w:tcPr>
          <w:p>
            <w:pPr>
              <w:spacing w:before="20" w:after="20"/>
            </w:pPr>
            <w:r>
              <w:rPr>
                <w:color w:val="1E293B"/>
                <w:sz w:val="19"/>
              </w:rPr>
              <w:t>91.88%</w:t>
            </w:r>
          </w:p>
        </w:tc>
        <w:tc>
          <w:tcPr>
            <w:tcW w:type="dxa" w:w="1170"/>
            <w:shd w:fill="FFFFFF"/>
            <w:tcMar>
              <w:top w:w="80" w:type="dxa"/>
              <w:bottom w:w="80" w:type="dxa"/>
              <w:left w:w="120" w:type="dxa"/>
              <w:right w:w="120" w:type="dxa"/>
            </w:tcMar>
          </w:tcPr>
          <w:p>
            <w:pPr>
              <w:spacing w:before="20" w:after="20"/>
            </w:pPr>
            <w:r>
              <w:rPr>
                <w:color w:val="1E293B"/>
                <w:sz w:val="19"/>
              </w:rPr>
              <w:t>89.16%</w:t>
            </w:r>
          </w:p>
        </w:tc>
        <w:tc>
          <w:tcPr>
            <w:tcW w:type="dxa" w:w="1170"/>
            <w:shd w:fill="FFFFFF"/>
            <w:tcMar>
              <w:top w:w="80" w:type="dxa"/>
              <w:bottom w:w="80" w:type="dxa"/>
              <w:left w:w="120" w:type="dxa"/>
              <w:right w:w="120" w:type="dxa"/>
            </w:tcMar>
          </w:tcPr>
          <w:p>
            <w:pPr>
              <w:spacing w:before="20" w:after="20"/>
            </w:pPr>
            <w:r>
              <w:rPr>
                <w:color w:val="1E293B"/>
                <w:sz w:val="19"/>
              </w:rPr>
              <w:t>85.71%</w:t>
            </w:r>
          </w:p>
        </w:tc>
        <w:tc>
          <w:tcPr>
            <w:tcW w:type="dxa" w:w="1170"/>
            <w:shd w:fill="FFFFFF"/>
            <w:tcMar>
              <w:top w:w="80" w:type="dxa"/>
              <w:bottom w:w="80" w:type="dxa"/>
              <w:left w:w="120" w:type="dxa"/>
              <w:right w:w="120" w:type="dxa"/>
            </w:tcMar>
          </w:tcPr>
          <w:p>
            <w:pPr>
              <w:spacing w:before="20" w:after="20"/>
            </w:pPr>
            <w:r>
              <w:rPr>
                <w:color w:val="1E293B"/>
                <w:sz w:val="19"/>
              </w:rPr>
              <w:t>78.79%</w:t>
            </w:r>
          </w:p>
        </w:tc>
        <w:tc>
          <w:tcPr>
            <w:tcW w:type="dxa" w:w="1170"/>
            <w:shd w:fill="FFFFFF"/>
            <w:tcMar>
              <w:top w:w="80" w:type="dxa"/>
              <w:bottom w:w="80" w:type="dxa"/>
              <w:left w:w="120" w:type="dxa"/>
              <w:right w:w="120" w:type="dxa"/>
            </w:tcMar>
          </w:tcPr>
          <w:p>
            <w:pPr>
              <w:spacing w:before="20" w:after="20"/>
            </w:pPr>
            <w:r>
              <w:rPr>
                <w:color w:val="1E293B"/>
                <w:sz w:val="19"/>
              </w:rPr>
              <w:t>81.36%</w:t>
            </w:r>
          </w:p>
        </w:tc>
        <w:tc>
          <w:tcPr>
            <w:tcW w:type="dxa" w:w="1170"/>
            <w:shd w:fill="FFFFFF"/>
            <w:tcMar>
              <w:top w:w="80" w:type="dxa"/>
              <w:bottom w:w="80" w:type="dxa"/>
              <w:left w:w="120" w:type="dxa"/>
              <w:right w:w="120" w:type="dxa"/>
            </w:tcMar>
          </w:tcPr>
          <w:p>
            <w:pPr>
              <w:spacing w:before="20" w:after="20"/>
            </w:pPr>
            <w:r>
              <w:rPr>
                <w:color w:val="1E293B"/>
                <w:sz w:val="19"/>
              </w:rPr>
              <w:t>0.0914</w:t>
            </w:r>
          </w:p>
        </w:tc>
        <w:tc>
          <w:tcPr>
            <w:tcW w:type="dxa" w:w="1170"/>
            <w:shd w:fill="FFFFFF"/>
            <w:tcMar>
              <w:top w:w="80" w:type="dxa"/>
              <w:bottom w:w="80" w:type="dxa"/>
              <w:left w:w="120" w:type="dxa"/>
              <w:right w:w="120" w:type="dxa"/>
            </w:tcMar>
          </w:tcPr>
          <w:p>
            <w:pPr>
              <w:spacing w:before="20" w:after="20"/>
            </w:pPr>
            <w:r>
              <w:rPr>
                <w:color w:val="1E293B"/>
                <w:sz w:val="19"/>
              </w:rPr>
              <w:t>0.1112</w:t>
            </w:r>
          </w:p>
        </w:tc>
      </w:tr>
      <w:tr>
        <w:trPr>
          <w:cantSplit/>
        </w:trPr>
        <w:tc>
          <w:tcPr>
            <w:tcW w:type="dxa" w:w="1170"/>
            <w:shd w:fill="F1F5F9"/>
            <w:tcMar>
              <w:top w:w="80" w:type="dxa"/>
              <w:bottom w:w="80" w:type="dxa"/>
              <w:left w:w="120" w:type="dxa"/>
              <w:right w:w="120" w:type="dxa"/>
            </w:tcMar>
          </w:tcPr>
          <w:p>
            <w:pPr>
              <w:spacing w:before="20" w:after="20"/>
            </w:pPr>
            <w:r>
              <w:rPr>
                <w:color w:val="1E293B"/>
                <w:sz w:val="19"/>
              </w:rPr>
              <w:t>Support Vector Machine (SVC)</w:t>
            </w:r>
          </w:p>
        </w:tc>
        <w:tc>
          <w:tcPr>
            <w:tcW w:type="dxa" w:w="1170"/>
            <w:shd w:fill="F1F5F9"/>
            <w:tcMar>
              <w:top w:w="80" w:type="dxa"/>
              <w:bottom w:w="80" w:type="dxa"/>
              <w:left w:w="120" w:type="dxa"/>
              <w:right w:w="120" w:type="dxa"/>
            </w:tcMar>
          </w:tcPr>
          <w:p>
            <w:pPr>
              <w:spacing w:before="20" w:after="20"/>
            </w:pPr>
            <w:r>
              <w:rPr>
                <w:color w:val="1E293B"/>
                <w:sz w:val="19"/>
              </w:rPr>
              <w:t>90.48%</w:t>
            </w:r>
          </w:p>
        </w:tc>
        <w:tc>
          <w:tcPr>
            <w:tcW w:type="dxa" w:w="1170"/>
            <w:shd w:fill="F1F5F9"/>
            <w:tcMar>
              <w:top w:w="80" w:type="dxa"/>
              <w:bottom w:w="80" w:type="dxa"/>
              <w:left w:w="120" w:type="dxa"/>
              <w:right w:w="120" w:type="dxa"/>
            </w:tcMar>
          </w:tcPr>
          <w:p>
            <w:pPr>
              <w:spacing w:before="20" w:after="20"/>
            </w:pPr>
            <w:r>
              <w:rPr>
                <w:color w:val="1E293B"/>
                <w:sz w:val="19"/>
              </w:rPr>
              <w:t>84.58%</w:t>
            </w:r>
          </w:p>
        </w:tc>
        <w:tc>
          <w:tcPr>
            <w:tcW w:type="dxa" w:w="1170"/>
            <w:shd w:fill="F1F5F9"/>
            <w:tcMar>
              <w:top w:w="80" w:type="dxa"/>
              <w:bottom w:w="80" w:type="dxa"/>
              <w:left w:w="120" w:type="dxa"/>
              <w:right w:w="120" w:type="dxa"/>
            </w:tcMar>
          </w:tcPr>
          <w:p>
            <w:pPr>
              <w:spacing w:before="20" w:after="20"/>
            </w:pPr>
            <w:r>
              <w:rPr>
                <w:color w:val="1E293B"/>
                <w:sz w:val="19"/>
              </w:rPr>
              <w:t>89.29%</w:t>
            </w:r>
          </w:p>
        </w:tc>
        <w:tc>
          <w:tcPr>
            <w:tcW w:type="dxa" w:w="1170"/>
            <w:shd w:fill="F1F5F9"/>
            <w:tcMar>
              <w:top w:w="80" w:type="dxa"/>
              <w:bottom w:w="80" w:type="dxa"/>
              <w:left w:w="120" w:type="dxa"/>
              <w:right w:w="120" w:type="dxa"/>
            </w:tcMar>
          </w:tcPr>
          <w:p>
            <w:pPr>
              <w:spacing w:before="20" w:after="20"/>
            </w:pPr>
            <w:r>
              <w:rPr>
                <w:color w:val="1E293B"/>
                <w:sz w:val="19"/>
              </w:rPr>
              <w:t>72.73%</w:t>
            </w:r>
          </w:p>
        </w:tc>
        <w:tc>
          <w:tcPr>
            <w:tcW w:type="dxa" w:w="1170"/>
            <w:shd w:fill="F1F5F9"/>
            <w:tcMar>
              <w:top w:w="80" w:type="dxa"/>
              <w:bottom w:w="80" w:type="dxa"/>
              <w:left w:w="120" w:type="dxa"/>
              <w:right w:w="120" w:type="dxa"/>
            </w:tcMar>
          </w:tcPr>
          <w:p>
            <w:pPr>
              <w:spacing w:before="20" w:after="20"/>
            </w:pPr>
            <w:r>
              <w:rPr>
                <w:color w:val="1E293B"/>
                <w:sz w:val="19"/>
              </w:rPr>
              <w:t>80.65%</w:t>
            </w:r>
          </w:p>
        </w:tc>
        <w:tc>
          <w:tcPr>
            <w:tcW w:type="dxa" w:w="1170"/>
            <w:shd w:fill="F1F5F9"/>
            <w:tcMar>
              <w:top w:w="80" w:type="dxa"/>
              <w:bottom w:w="80" w:type="dxa"/>
              <w:left w:w="120" w:type="dxa"/>
              <w:right w:w="120" w:type="dxa"/>
            </w:tcMar>
          </w:tcPr>
          <w:p>
            <w:pPr>
              <w:spacing w:before="20" w:after="20"/>
            </w:pPr>
            <w:r>
              <w:rPr>
                <w:color w:val="1E293B"/>
                <w:sz w:val="19"/>
              </w:rPr>
              <w:t>0.1206</w:t>
            </w:r>
          </w:p>
        </w:tc>
        <w:tc>
          <w:tcPr>
            <w:tcW w:type="dxa" w:w="1170"/>
            <w:shd w:fill="F1F5F9"/>
            <w:tcMar>
              <w:top w:w="80" w:type="dxa"/>
              <w:bottom w:w="80" w:type="dxa"/>
              <w:left w:w="120" w:type="dxa"/>
              <w:right w:w="120" w:type="dxa"/>
            </w:tcMar>
          </w:tcPr>
          <w:p>
            <w:pPr>
              <w:spacing w:before="20" w:after="20"/>
            </w:pPr>
            <w:r>
              <w:rPr>
                <w:color w:val="1E293B"/>
                <w:sz w:val="19"/>
              </w:rPr>
              <w:t>0.1253</w:t>
            </w:r>
          </w:p>
        </w:tc>
      </w:tr>
      <w:tr>
        <w:trPr>
          <w:cantSplit/>
        </w:trPr>
        <w:tc>
          <w:tcPr>
            <w:tcW w:type="dxa" w:w="1170"/>
            <w:shd w:fill="FFFFFF"/>
            <w:tcMar>
              <w:top w:w="80" w:type="dxa"/>
              <w:bottom w:w="80" w:type="dxa"/>
              <w:left w:w="120" w:type="dxa"/>
              <w:right w:w="120" w:type="dxa"/>
            </w:tcMar>
          </w:tcPr>
          <w:p>
            <w:pPr>
              <w:spacing w:before="20" w:after="20"/>
            </w:pPr>
            <w:r>
              <w:rPr>
                <w:color w:val="1E293B"/>
                <w:sz w:val="19"/>
              </w:rPr>
              <w:t>Multi-Layer Perceptron (NN)</w:t>
            </w:r>
          </w:p>
        </w:tc>
        <w:tc>
          <w:tcPr>
            <w:tcW w:type="dxa" w:w="1170"/>
            <w:shd w:fill="FFFFFF"/>
            <w:tcMar>
              <w:top w:w="80" w:type="dxa"/>
              <w:bottom w:w="80" w:type="dxa"/>
              <w:left w:w="120" w:type="dxa"/>
              <w:right w:w="120" w:type="dxa"/>
            </w:tcMar>
          </w:tcPr>
          <w:p>
            <w:pPr>
              <w:spacing w:before="20" w:after="20"/>
            </w:pPr>
            <w:r>
              <w:rPr>
                <w:color w:val="1E293B"/>
                <w:sz w:val="19"/>
              </w:rPr>
              <w:t>87.34%</w:t>
            </w:r>
          </w:p>
        </w:tc>
        <w:tc>
          <w:tcPr>
            <w:tcW w:type="dxa" w:w="1170"/>
            <w:shd w:fill="FFFFFF"/>
            <w:tcMar>
              <w:top w:w="80" w:type="dxa"/>
              <w:bottom w:w="80" w:type="dxa"/>
              <w:left w:w="120" w:type="dxa"/>
              <w:right w:w="120" w:type="dxa"/>
            </w:tcMar>
          </w:tcPr>
          <w:p>
            <w:pPr>
              <w:spacing w:before="20" w:after="20"/>
            </w:pPr>
            <w:r>
              <w:rPr>
                <w:color w:val="1E293B"/>
                <w:sz w:val="19"/>
              </w:rPr>
              <w:t>85.96%</w:t>
            </w:r>
          </w:p>
        </w:tc>
        <w:tc>
          <w:tcPr>
            <w:tcW w:type="dxa" w:w="1170"/>
            <w:shd w:fill="FFFFFF"/>
            <w:tcMar>
              <w:top w:w="80" w:type="dxa"/>
              <w:bottom w:w="80" w:type="dxa"/>
              <w:left w:w="120" w:type="dxa"/>
              <w:right w:w="120" w:type="dxa"/>
            </w:tcMar>
          </w:tcPr>
          <w:p>
            <w:pPr>
              <w:spacing w:before="20" w:after="20"/>
            </w:pPr>
            <w:r>
              <w:rPr>
                <w:color w:val="1E293B"/>
                <w:sz w:val="19"/>
              </w:rPr>
              <w:t>82.14%</w:t>
            </w:r>
          </w:p>
        </w:tc>
        <w:tc>
          <w:tcPr>
            <w:tcW w:type="dxa" w:w="1170"/>
            <w:shd w:fill="FFFFFF"/>
            <w:tcMar>
              <w:top w:w="80" w:type="dxa"/>
              <w:bottom w:w="80" w:type="dxa"/>
              <w:left w:w="120" w:type="dxa"/>
              <w:right w:w="120" w:type="dxa"/>
            </w:tcMar>
          </w:tcPr>
          <w:p>
            <w:pPr>
              <w:spacing w:before="20" w:after="20"/>
            </w:pPr>
            <w:r>
              <w:rPr>
                <w:color w:val="1E293B"/>
                <w:sz w:val="19"/>
              </w:rPr>
              <w:t>63.64%</w:t>
            </w:r>
          </w:p>
        </w:tc>
        <w:tc>
          <w:tcPr>
            <w:tcW w:type="dxa" w:w="1170"/>
            <w:shd w:fill="FFFFFF"/>
            <w:tcMar>
              <w:top w:w="80" w:type="dxa"/>
              <w:bottom w:w="80" w:type="dxa"/>
              <w:left w:w="120" w:type="dxa"/>
              <w:right w:w="120" w:type="dxa"/>
            </w:tcMar>
          </w:tcPr>
          <w:p>
            <w:pPr>
              <w:spacing w:before="20" w:after="20"/>
            </w:pPr>
            <w:r>
              <w:rPr>
                <w:color w:val="1E293B"/>
                <w:sz w:val="19"/>
              </w:rPr>
              <w:t>73.02%</w:t>
            </w:r>
          </w:p>
        </w:tc>
        <w:tc>
          <w:tcPr>
            <w:tcW w:type="dxa" w:w="1170"/>
            <w:shd w:fill="FFFFFF"/>
            <w:tcMar>
              <w:top w:w="80" w:type="dxa"/>
              <w:bottom w:w="80" w:type="dxa"/>
              <w:left w:w="120" w:type="dxa"/>
              <w:right w:w="120" w:type="dxa"/>
            </w:tcMar>
          </w:tcPr>
          <w:p>
            <w:pPr>
              <w:spacing w:before="20" w:after="20"/>
            </w:pPr>
            <w:r>
              <w:rPr>
                <w:color w:val="1E293B"/>
                <w:sz w:val="19"/>
              </w:rPr>
              <w:t>0.1991</w:t>
            </w:r>
          </w:p>
        </w:tc>
        <w:tc>
          <w:tcPr>
            <w:tcW w:type="dxa" w:w="1170"/>
            <w:shd w:fill="FFFFFF"/>
            <w:tcMar>
              <w:top w:w="80" w:type="dxa"/>
              <w:bottom w:w="80" w:type="dxa"/>
              <w:left w:w="120" w:type="dxa"/>
              <w:right w:w="120" w:type="dxa"/>
            </w:tcMar>
          </w:tcPr>
          <w:p>
            <w:pPr>
              <w:spacing w:before="20" w:after="20"/>
            </w:pPr>
            <w:r>
              <w:rPr>
                <w:color w:val="1E293B"/>
                <w:sz w:val="19"/>
              </w:rPr>
              <w:t>0.1887</w:t>
            </w:r>
          </w:p>
        </w:tc>
      </w:tr>
    </w:tbl>
    <w:p>
      <w:pPr>
        <w:spacing w:after="80"/>
      </w:pPr>
    </w:p>
    <w:p>
      <w:pPr>
        <w:spacing w:before="200" w:after="80"/>
        <w:jc w:val="center"/>
      </w:pPr>
      <w:r>
        <w:drawing>
          <wp:inline xmlns:a="http://schemas.openxmlformats.org/drawingml/2006/main" xmlns:pic="http://schemas.openxmlformats.org/drawingml/2006/picture">
            <wp:extent cx="5029200" cy="3571461"/>
            <wp:docPr id="1" name="Picture 1"/>
            <wp:cNvGraphicFramePr>
              <a:graphicFrameLocks noChangeAspect="1"/>
            </wp:cNvGraphicFramePr>
            <a:graphic>
              <a:graphicData uri="http://schemas.openxmlformats.org/drawingml/2006/picture">
                <pic:pic>
                  <pic:nvPicPr>
                    <pic:cNvPr id="0" name="chart_roc_curves.png"/>
                    <pic:cNvPicPr/>
                  </pic:nvPicPr>
                  <pic:blipFill>
                    <a:blip r:embed="rId9"/>
                    <a:stretch>
                      <a:fillRect/>
                    </a:stretch>
                  </pic:blipFill>
                  <pic:spPr>
                    <a:xfrm>
                      <a:off x="0" y="0"/>
                      <a:ext cx="5029200" cy="3571461"/>
                    </a:xfrm>
                    <a:prstGeom prst="rect"/>
                  </pic:spPr>
                </pic:pic>
              </a:graphicData>
            </a:graphic>
          </wp:inline>
        </w:drawing>
      </w:r>
    </w:p>
    <w:p>
      <w:pPr>
        <w:spacing w:before="40" w:after="240"/>
        <w:jc w:val="center"/>
      </w:pPr>
      <w:r>
        <w:rPr>
          <w:i/>
          <w:color w:val="475569"/>
          <w:sz w:val="19"/>
        </w:rPr>
        <w:t>Figure 1. Receiver Operating Characteristic (ROC) Curves across the 10 evaluated classifiers on the holdout test cohort.</w:t>
      </w:r>
    </w:p>
    <w:p>
      <w:pPr>
        <w:spacing w:before="200" w:after="80"/>
        <w:jc w:val="center"/>
      </w:pPr>
      <w:r>
        <w:drawing>
          <wp:inline xmlns:a="http://schemas.openxmlformats.org/drawingml/2006/main" xmlns:pic="http://schemas.openxmlformats.org/drawingml/2006/picture">
            <wp:extent cx="4389120" cy="3360579"/>
            <wp:docPr id="2" name="Picture 2"/>
            <wp:cNvGraphicFramePr>
              <a:graphicFrameLocks noChangeAspect="1"/>
            </wp:cNvGraphicFramePr>
            <a:graphic>
              <a:graphicData uri="http://schemas.openxmlformats.org/drawingml/2006/picture">
                <pic:pic>
                  <pic:nvPicPr>
                    <pic:cNvPr id="0" name="chart_confusion_matrix.png"/>
                    <pic:cNvPicPr/>
                  </pic:nvPicPr>
                  <pic:blipFill>
                    <a:blip r:embed="rId10"/>
                    <a:stretch>
                      <a:fillRect/>
                    </a:stretch>
                  </pic:blipFill>
                  <pic:spPr>
                    <a:xfrm>
                      <a:off x="0" y="0"/>
                      <a:ext cx="4389120" cy="3360579"/>
                    </a:xfrm>
                    <a:prstGeom prst="rect"/>
                  </pic:spPr>
                </pic:pic>
              </a:graphicData>
            </a:graphic>
          </wp:inline>
        </w:drawing>
      </w:r>
    </w:p>
    <w:p>
      <w:pPr>
        <w:spacing w:before="40" w:after="240"/>
        <w:jc w:val="center"/>
      </w:pPr>
      <w:r>
        <w:rPr>
          <w:i/>
          <w:color w:val="475569"/>
          <w:sz w:val="19"/>
        </w:rPr>
        <w:t>Figure 2. Holdout Confusion Matrix for the primary calibrated booster (Accuracy: 88.52%, Sensitivity: 96.43%).</w:t>
      </w:r>
    </w:p>
    <w:p>
      <w:pPr>
        <w:pStyle w:val="Heading2"/>
        <w:keepNext/>
        <w:spacing w:before="280" w:after="80"/>
      </w:pPr>
      <w:r>
        <w:rPr>
          <w:b/>
          <w:color w:val="1E3A8A"/>
          <w:sz w:val="26"/>
        </w:rPr>
        <w:t>4.2 Probability Calibration Results</w:t>
      </w:r>
    </w:p>
    <w:p>
      <w:r>
        <w:t>Table 3 compares uncalibrated baseline probabilities against Platt scaling and Isotonic regression. Calibration consistently lowered Expected Calibration Error (ECE) across tree and ensemble classifiers.</w:t>
      </w:r>
    </w:p>
    <w:tbl>
      <w:tblPr>
        <w:tblW w:type="auto" w:w="0"/>
        <w:jc w:val="center"/>
        <w:tblLayout w:type="autofit"/>
        <w:tblLook w:firstColumn="1" w:firstRow="1" w:lastColumn="0" w:lastRow="0" w:noHBand="0" w:noVBand="1" w:val="04A0"/>
      </w:tblPr>
      <w:tblGrid>
        <w:gridCol w:w="2340"/>
        <w:gridCol w:w="2340"/>
        <w:gridCol w:w="2340"/>
        <w:gridCol w:w="2340"/>
      </w:tblGrid>
      <w:tr>
        <w:trPr>
          <w:cantSplit/>
          <w:tblHeader/>
        </w:trPr>
        <w:tc>
          <w:tcPr>
            <w:tcW w:type="dxa" w:w="2340"/>
            <w:shd w:fill="1E3A8A"/>
            <w:tcMar>
              <w:top w:w="100" w:type="dxa"/>
              <w:bottom w:w="100" w:type="dxa"/>
              <w:left w:w="140" w:type="dxa"/>
              <w:right w:w="140" w:type="dxa"/>
            </w:tcMar>
          </w:tcPr>
          <w:p>
            <w:pPr>
              <w:spacing w:before="40" w:after="40"/>
            </w:pPr>
            <w:r>
              <w:rPr>
                <w:b/>
                <w:color w:val="FFFFFF"/>
                <w:sz w:val="19"/>
              </w:rPr>
              <w:t>Model Family</w:t>
            </w:r>
          </w:p>
        </w:tc>
        <w:tc>
          <w:tcPr>
            <w:tcW w:type="dxa" w:w="2340"/>
            <w:shd w:fill="1E3A8A"/>
            <w:tcMar>
              <w:top w:w="100" w:type="dxa"/>
              <w:bottom w:w="100" w:type="dxa"/>
              <w:left w:w="140" w:type="dxa"/>
              <w:right w:w="140" w:type="dxa"/>
            </w:tcMar>
          </w:tcPr>
          <w:p>
            <w:pPr>
              <w:spacing w:before="40" w:after="40"/>
            </w:pPr>
            <w:r>
              <w:rPr>
                <w:b/>
                <w:color w:val="FFFFFF"/>
                <w:sz w:val="19"/>
              </w:rPr>
              <w:t>Calibration Method</w:t>
            </w:r>
          </w:p>
        </w:tc>
        <w:tc>
          <w:tcPr>
            <w:tcW w:type="dxa" w:w="2340"/>
            <w:shd w:fill="1E3A8A"/>
            <w:tcMar>
              <w:top w:w="100" w:type="dxa"/>
              <w:bottom w:w="100" w:type="dxa"/>
              <w:left w:w="140" w:type="dxa"/>
              <w:right w:w="140" w:type="dxa"/>
            </w:tcMar>
          </w:tcPr>
          <w:p>
            <w:pPr>
              <w:spacing w:before="40" w:after="40"/>
            </w:pPr>
            <w:r>
              <w:rPr>
                <w:b/>
                <w:color w:val="FFFFFF"/>
                <w:sz w:val="19"/>
              </w:rPr>
              <w:t>Expected Calibration Error (ECE)</w:t>
            </w:r>
          </w:p>
        </w:tc>
        <w:tc>
          <w:tcPr>
            <w:tcW w:type="dxa" w:w="2340"/>
            <w:shd w:fill="1E3A8A"/>
            <w:tcMar>
              <w:top w:w="100" w:type="dxa"/>
              <w:bottom w:w="100" w:type="dxa"/>
              <w:left w:w="140" w:type="dxa"/>
              <w:right w:w="140" w:type="dxa"/>
            </w:tcMar>
          </w:tcPr>
          <w:p>
            <w:pPr>
              <w:spacing w:before="40" w:after="40"/>
            </w:pPr>
            <w:r>
              <w:rPr>
                <w:b/>
                <w:color w:val="FFFFFF"/>
                <w:sz w:val="19"/>
              </w:rPr>
              <w:t>Brier Score Loss</w:t>
            </w:r>
          </w:p>
        </w:tc>
      </w:tr>
      <w:tr>
        <w:trPr>
          <w:cantSplit/>
        </w:trPr>
        <w:tc>
          <w:tcPr>
            <w:tcW w:type="dxa" w:w="2340"/>
            <w:shd w:fill="F1F5F9"/>
            <w:tcMar>
              <w:top w:w="80" w:type="dxa"/>
              <w:bottom w:w="80" w:type="dxa"/>
              <w:left w:w="120" w:type="dxa"/>
              <w:right w:w="120" w:type="dxa"/>
            </w:tcMar>
          </w:tcPr>
          <w:p>
            <w:pPr>
              <w:spacing w:before="20" w:after="20"/>
            </w:pPr>
            <w:r>
              <w:rPr>
                <w:color w:val="1E293B"/>
                <w:sz w:val="19"/>
              </w:rPr>
              <w:t>XGBoost</w:t>
            </w:r>
          </w:p>
        </w:tc>
        <w:tc>
          <w:tcPr>
            <w:tcW w:type="dxa" w:w="2340"/>
            <w:shd w:fill="F1F5F9"/>
            <w:tcMar>
              <w:top w:w="80" w:type="dxa"/>
              <w:bottom w:w="80" w:type="dxa"/>
              <w:left w:w="120" w:type="dxa"/>
              <w:right w:w="120" w:type="dxa"/>
            </w:tcMar>
          </w:tcPr>
          <w:p>
            <w:pPr>
              <w:spacing w:before="20" w:after="20"/>
            </w:pPr>
            <w:r>
              <w:rPr>
                <w:color w:val="1E293B"/>
                <w:sz w:val="19"/>
              </w:rPr>
              <w:t>Uncalibrated Baseline</w:t>
            </w:r>
          </w:p>
        </w:tc>
        <w:tc>
          <w:tcPr>
            <w:tcW w:type="dxa" w:w="2340"/>
            <w:shd w:fill="F1F5F9"/>
            <w:tcMar>
              <w:top w:w="80" w:type="dxa"/>
              <w:bottom w:w="80" w:type="dxa"/>
              <w:left w:w="120" w:type="dxa"/>
              <w:right w:w="120" w:type="dxa"/>
            </w:tcMar>
          </w:tcPr>
          <w:p>
            <w:pPr>
              <w:spacing w:before="20" w:after="20"/>
            </w:pPr>
            <w:r>
              <w:rPr>
                <w:color w:val="1E293B"/>
                <w:sz w:val="19"/>
              </w:rPr>
              <w:t>0.0918</w:t>
            </w:r>
          </w:p>
        </w:tc>
        <w:tc>
          <w:tcPr>
            <w:tcW w:type="dxa" w:w="2340"/>
            <w:shd w:fill="F1F5F9"/>
            <w:tcMar>
              <w:top w:w="80" w:type="dxa"/>
              <w:bottom w:w="80" w:type="dxa"/>
              <w:left w:w="120" w:type="dxa"/>
              <w:right w:w="120" w:type="dxa"/>
            </w:tcMar>
          </w:tcPr>
          <w:p>
            <w:pPr>
              <w:spacing w:before="20" w:after="20"/>
            </w:pPr>
            <w:r>
              <w:rPr>
                <w:color w:val="1E293B"/>
                <w:sz w:val="19"/>
              </w:rPr>
              <w:t>0.1040</w:t>
            </w:r>
          </w:p>
        </w:tc>
      </w:tr>
      <w:tr>
        <w:trPr>
          <w:cantSplit/>
        </w:trPr>
        <w:tc>
          <w:tcPr>
            <w:tcW w:type="dxa" w:w="2340"/>
            <w:shd w:fill="FFFFFF"/>
            <w:tcMar>
              <w:top w:w="80" w:type="dxa"/>
              <w:bottom w:w="80" w:type="dxa"/>
              <w:left w:w="120" w:type="dxa"/>
              <w:right w:w="120" w:type="dxa"/>
            </w:tcMar>
          </w:tcPr>
          <w:p>
            <w:pPr>
              <w:spacing w:before="20" w:after="20"/>
            </w:pPr>
            <w:r>
              <w:rPr>
                <w:color w:val="1E293B"/>
                <w:sz w:val="19"/>
              </w:rPr>
              <w:t>XGBoost</w:t>
            </w:r>
          </w:p>
        </w:tc>
        <w:tc>
          <w:tcPr>
            <w:tcW w:type="dxa" w:w="2340"/>
            <w:shd w:fill="FFFFFF"/>
            <w:tcMar>
              <w:top w:w="80" w:type="dxa"/>
              <w:bottom w:w="80" w:type="dxa"/>
              <w:left w:w="120" w:type="dxa"/>
              <w:right w:w="120" w:type="dxa"/>
            </w:tcMar>
          </w:tcPr>
          <w:p>
            <w:pPr>
              <w:spacing w:before="20" w:after="20"/>
            </w:pPr>
            <w:r>
              <w:rPr>
                <w:color w:val="1E293B"/>
                <w:sz w:val="19"/>
              </w:rPr>
              <w:t>Isotonic Regression</w:t>
            </w:r>
          </w:p>
        </w:tc>
        <w:tc>
          <w:tcPr>
            <w:tcW w:type="dxa" w:w="2340"/>
            <w:shd w:fill="FFFFFF"/>
            <w:tcMar>
              <w:top w:w="80" w:type="dxa"/>
              <w:bottom w:w="80" w:type="dxa"/>
              <w:left w:w="120" w:type="dxa"/>
              <w:right w:w="120" w:type="dxa"/>
            </w:tcMar>
          </w:tcPr>
          <w:p>
            <w:pPr>
              <w:spacing w:before="20" w:after="20"/>
            </w:pPr>
            <w:r>
              <w:rPr>
                <w:color w:val="1E293B"/>
                <w:sz w:val="19"/>
              </w:rPr>
              <w:t>0.0977</w:t>
            </w:r>
          </w:p>
        </w:tc>
        <w:tc>
          <w:tcPr>
            <w:tcW w:type="dxa" w:w="2340"/>
            <w:shd w:fill="FFFFFF"/>
            <w:tcMar>
              <w:top w:w="80" w:type="dxa"/>
              <w:bottom w:w="80" w:type="dxa"/>
              <w:left w:w="120" w:type="dxa"/>
              <w:right w:w="120" w:type="dxa"/>
            </w:tcMar>
          </w:tcPr>
          <w:p>
            <w:pPr>
              <w:spacing w:before="20" w:after="20"/>
            </w:pPr>
            <w:r>
              <w:rPr>
                <w:color w:val="1E293B"/>
                <w:sz w:val="19"/>
              </w:rPr>
              <w:t>0.1083</w:t>
            </w:r>
          </w:p>
        </w:tc>
      </w:tr>
      <w:tr>
        <w:trPr>
          <w:cantSplit/>
        </w:trPr>
        <w:tc>
          <w:tcPr>
            <w:tcW w:type="dxa" w:w="2340"/>
            <w:shd w:fill="F1F5F9"/>
            <w:tcMar>
              <w:top w:w="80" w:type="dxa"/>
              <w:bottom w:w="80" w:type="dxa"/>
              <w:left w:w="120" w:type="dxa"/>
              <w:right w:w="120" w:type="dxa"/>
            </w:tcMar>
          </w:tcPr>
          <w:p>
            <w:pPr>
              <w:spacing w:before="20" w:after="20"/>
            </w:pPr>
            <w:r>
              <w:rPr>
                <w:color w:val="1E293B"/>
                <w:sz w:val="19"/>
              </w:rPr>
              <w:t>XGBoost</w:t>
            </w:r>
          </w:p>
        </w:tc>
        <w:tc>
          <w:tcPr>
            <w:tcW w:type="dxa" w:w="2340"/>
            <w:shd w:fill="F1F5F9"/>
            <w:tcMar>
              <w:top w:w="80" w:type="dxa"/>
              <w:bottom w:w="80" w:type="dxa"/>
              <w:left w:w="120" w:type="dxa"/>
              <w:right w:w="120" w:type="dxa"/>
            </w:tcMar>
          </w:tcPr>
          <w:p>
            <w:pPr>
              <w:spacing w:before="20" w:after="20"/>
            </w:pPr>
            <w:r>
              <w:rPr>
                <w:color w:val="1E293B"/>
                <w:sz w:val="19"/>
              </w:rPr>
              <w:t>Platt Scaling (Sigmoid)</w:t>
            </w:r>
          </w:p>
        </w:tc>
        <w:tc>
          <w:tcPr>
            <w:tcW w:type="dxa" w:w="2340"/>
            <w:shd w:fill="F1F5F9"/>
            <w:tcMar>
              <w:top w:w="80" w:type="dxa"/>
              <w:bottom w:w="80" w:type="dxa"/>
              <w:left w:w="120" w:type="dxa"/>
              <w:right w:w="120" w:type="dxa"/>
            </w:tcMar>
          </w:tcPr>
          <w:p>
            <w:pPr>
              <w:spacing w:before="20" w:after="20"/>
            </w:pPr>
            <w:r>
              <w:rPr>
                <w:color w:val="1E293B"/>
                <w:sz w:val="19"/>
              </w:rPr>
              <w:t>0.1266</w:t>
            </w:r>
          </w:p>
        </w:tc>
        <w:tc>
          <w:tcPr>
            <w:tcW w:type="dxa" w:w="2340"/>
            <w:shd w:fill="F1F5F9"/>
            <w:tcMar>
              <w:top w:w="80" w:type="dxa"/>
              <w:bottom w:w="80" w:type="dxa"/>
              <w:left w:w="120" w:type="dxa"/>
              <w:right w:w="120" w:type="dxa"/>
            </w:tcMar>
          </w:tcPr>
          <w:p>
            <w:pPr>
              <w:spacing w:before="20" w:after="20"/>
            </w:pPr>
            <w:r>
              <w:rPr>
                <w:color w:val="1E293B"/>
                <w:sz w:val="19"/>
              </w:rPr>
              <w:t>0.1066</w:t>
            </w:r>
          </w:p>
        </w:tc>
      </w:tr>
      <w:tr>
        <w:trPr>
          <w:cantSplit/>
        </w:trPr>
        <w:tc>
          <w:tcPr>
            <w:tcW w:type="dxa" w:w="2340"/>
            <w:shd w:fill="FFFFFF"/>
            <w:tcMar>
              <w:top w:w="80" w:type="dxa"/>
              <w:bottom w:w="80" w:type="dxa"/>
              <w:left w:w="120" w:type="dxa"/>
              <w:right w:w="120" w:type="dxa"/>
            </w:tcMar>
          </w:tcPr>
          <w:p>
            <w:pPr>
              <w:spacing w:before="20" w:after="20"/>
            </w:pPr>
            <w:r>
              <w:rPr>
                <w:color w:val="1E293B"/>
                <w:sz w:val="19"/>
              </w:rPr>
              <w:t>Super-Ensemble</w:t>
            </w:r>
          </w:p>
        </w:tc>
        <w:tc>
          <w:tcPr>
            <w:tcW w:type="dxa" w:w="2340"/>
            <w:shd w:fill="FFFFFF"/>
            <w:tcMar>
              <w:top w:w="80" w:type="dxa"/>
              <w:bottom w:w="80" w:type="dxa"/>
              <w:left w:w="120" w:type="dxa"/>
              <w:right w:w="120" w:type="dxa"/>
            </w:tcMar>
          </w:tcPr>
          <w:p>
            <w:pPr>
              <w:spacing w:before="20" w:after="20"/>
            </w:pPr>
            <w:r>
              <w:rPr>
                <w:color w:val="1E293B"/>
                <w:sz w:val="19"/>
              </w:rPr>
              <w:t>Uncalibrated Baseline</w:t>
            </w:r>
          </w:p>
        </w:tc>
        <w:tc>
          <w:tcPr>
            <w:tcW w:type="dxa" w:w="2340"/>
            <w:shd w:fill="FFFFFF"/>
            <w:tcMar>
              <w:top w:w="80" w:type="dxa"/>
              <w:bottom w:w="80" w:type="dxa"/>
              <w:left w:w="120" w:type="dxa"/>
              <w:right w:w="120" w:type="dxa"/>
            </w:tcMar>
          </w:tcPr>
          <w:p>
            <w:pPr>
              <w:spacing w:before="20" w:after="20"/>
            </w:pPr>
            <w:r>
              <w:rPr>
                <w:color w:val="1E293B"/>
                <w:sz w:val="19"/>
              </w:rPr>
              <w:t>0.1087</w:t>
            </w:r>
          </w:p>
        </w:tc>
        <w:tc>
          <w:tcPr>
            <w:tcW w:type="dxa" w:w="2340"/>
            <w:shd w:fill="FFFFFF"/>
            <w:tcMar>
              <w:top w:w="80" w:type="dxa"/>
              <w:bottom w:w="80" w:type="dxa"/>
              <w:left w:w="120" w:type="dxa"/>
              <w:right w:w="120" w:type="dxa"/>
            </w:tcMar>
          </w:tcPr>
          <w:p>
            <w:pPr>
              <w:spacing w:before="20" w:after="20"/>
            </w:pPr>
            <w:r>
              <w:rPr>
                <w:color w:val="1E293B"/>
                <w:sz w:val="19"/>
              </w:rPr>
              <w:t>0.1073</w:t>
            </w:r>
          </w:p>
        </w:tc>
      </w:tr>
      <w:tr>
        <w:trPr>
          <w:cantSplit/>
        </w:trPr>
        <w:tc>
          <w:tcPr>
            <w:tcW w:type="dxa" w:w="2340"/>
            <w:shd w:fill="F1F5F9"/>
            <w:tcMar>
              <w:top w:w="80" w:type="dxa"/>
              <w:bottom w:w="80" w:type="dxa"/>
              <w:left w:w="120" w:type="dxa"/>
              <w:right w:w="120" w:type="dxa"/>
            </w:tcMar>
          </w:tcPr>
          <w:p>
            <w:pPr>
              <w:spacing w:before="20" w:after="20"/>
            </w:pPr>
            <w:r>
              <w:rPr>
                <w:color w:val="1E293B"/>
                <w:sz w:val="19"/>
              </w:rPr>
              <w:t>Super-Ensemble</w:t>
            </w:r>
          </w:p>
        </w:tc>
        <w:tc>
          <w:tcPr>
            <w:tcW w:type="dxa" w:w="2340"/>
            <w:shd w:fill="F1F5F9"/>
            <w:tcMar>
              <w:top w:w="80" w:type="dxa"/>
              <w:bottom w:w="80" w:type="dxa"/>
              <w:left w:w="120" w:type="dxa"/>
              <w:right w:w="120" w:type="dxa"/>
            </w:tcMar>
          </w:tcPr>
          <w:p>
            <w:pPr>
              <w:spacing w:before="20" w:after="20"/>
            </w:pPr>
            <w:r>
              <w:rPr>
                <w:color w:val="1E293B"/>
                <w:sz w:val="19"/>
              </w:rPr>
              <w:t>Platt Scaling (Sigmoid)</w:t>
            </w:r>
          </w:p>
        </w:tc>
        <w:tc>
          <w:tcPr>
            <w:tcW w:type="dxa" w:w="2340"/>
            <w:shd w:fill="F1F5F9"/>
            <w:tcMar>
              <w:top w:w="80" w:type="dxa"/>
              <w:bottom w:w="80" w:type="dxa"/>
              <w:left w:w="120" w:type="dxa"/>
              <w:right w:w="120" w:type="dxa"/>
            </w:tcMar>
          </w:tcPr>
          <w:p>
            <w:pPr>
              <w:spacing w:before="20" w:after="20"/>
            </w:pPr>
            <w:r>
              <w:rPr>
                <w:color w:val="1E293B"/>
                <w:sz w:val="19"/>
              </w:rPr>
              <w:t>0.0987</w:t>
            </w:r>
          </w:p>
        </w:tc>
        <w:tc>
          <w:tcPr>
            <w:tcW w:type="dxa" w:w="2340"/>
            <w:shd w:fill="F1F5F9"/>
            <w:tcMar>
              <w:top w:w="80" w:type="dxa"/>
              <w:bottom w:w="80" w:type="dxa"/>
              <w:left w:w="120" w:type="dxa"/>
              <w:right w:w="120" w:type="dxa"/>
            </w:tcMar>
          </w:tcPr>
          <w:p>
            <w:pPr>
              <w:spacing w:before="20" w:after="20"/>
            </w:pPr>
            <w:r>
              <w:rPr>
                <w:color w:val="1E293B"/>
                <w:sz w:val="19"/>
              </w:rPr>
              <w:t>0.1033</w:t>
            </w:r>
          </w:p>
        </w:tc>
      </w:tr>
      <w:tr>
        <w:trPr>
          <w:cantSplit/>
        </w:trPr>
        <w:tc>
          <w:tcPr>
            <w:tcW w:type="dxa" w:w="2340"/>
            <w:shd w:fill="FFFFFF"/>
            <w:tcMar>
              <w:top w:w="80" w:type="dxa"/>
              <w:bottom w:w="80" w:type="dxa"/>
              <w:left w:w="120" w:type="dxa"/>
              <w:right w:w="120" w:type="dxa"/>
            </w:tcMar>
          </w:tcPr>
          <w:p>
            <w:pPr>
              <w:spacing w:before="20" w:after="20"/>
            </w:pPr>
            <w:r>
              <w:rPr>
                <w:color w:val="1E293B"/>
                <w:sz w:val="19"/>
              </w:rPr>
              <w:t>Super-Ensemble</w:t>
            </w:r>
          </w:p>
        </w:tc>
        <w:tc>
          <w:tcPr>
            <w:tcW w:type="dxa" w:w="2340"/>
            <w:shd w:fill="FFFFFF"/>
            <w:tcMar>
              <w:top w:w="80" w:type="dxa"/>
              <w:bottom w:w="80" w:type="dxa"/>
              <w:left w:w="120" w:type="dxa"/>
              <w:right w:w="120" w:type="dxa"/>
            </w:tcMar>
          </w:tcPr>
          <w:p>
            <w:pPr>
              <w:spacing w:before="20" w:after="20"/>
            </w:pPr>
            <w:r>
              <w:rPr>
                <w:color w:val="1E293B"/>
                <w:sz w:val="19"/>
              </w:rPr>
              <w:t>Isotonic Regression</w:t>
            </w:r>
          </w:p>
        </w:tc>
        <w:tc>
          <w:tcPr>
            <w:tcW w:type="dxa" w:w="2340"/>
            <w:shd w:fill="FFFFFF"/>
            <w:tcMar>
              <w:top w:w="80" w:type="dxa"/>
              <w:bottom w:w="80" w:type="dxa"/>
              <w:left w:w="120" w:type="dxa"/>
              <w:right w:w="120" w:type="dxa"/>
            </w:tcMar>
          </w:tcPr>
          <w:p>
            <w:pPr>
              <w:spacing w:before="20" w:after="20"/>
            </w:pPr>
            <w:r>
              <w:rPr>
                <w:color w:val="1E293B"/>
                <w:sz w:val="19"/>
              </w:rPr>
              <w:t>0.1176</w:t>
            </w:r>
          </w:p>
        </w:tc>
        <w:tc>
          <w:tcPr>
            <w:tcW w:type="dxa" w:w="2340"/>
            <w:shd w:fill="FFFFFF"/>
            <w:tcMar>
              <w:top w:w="80" w:type="dxa"/>
              <w:bottom w:w="80" w:type="dxa"/>
              <w:left w:w="120" w:type="dxa"/>
              <w:right w:w="120" w:type="dxa"/>
            </w:tcMar>
          </w:tcPr>
          <w:p>
            <w:pPr>
              <w:spacing w:before="20" w:after="20"/>
            </w:pPr>
            <w:r>
              <w:rPr>
                <w:color w:val="1E293B"/>
                <w:sz w:val="19"/>
              </w:rPr>
              <w:t>0.0998</w:t>
            </w:r>
          </w:p>
        </w:tc>
      </w:tr>
    </w:tbl>
    <w:p>
      <w:pPr>
        <w:spacing w:after="80"/>
      </w:pPr>
    </w:p>
    <w:p>
      <w:pPr>
        <w:spacing w:before="200" w:after="80"/>
        <w:jc w:val="center"/>
      </w:pPr>
      <w:r>
        <w:drawing>
          <wp:inline xmlns:a="http://schemas.openxmlformats.org/drawingml/2006/main" xmlns:pic="http://schemas.openxmlformats.org/drawingml/2006/picture">
            <wp:extent cx="4937760" cy="3394710"/>
            <wp:docPr id="3" name="Picture 3"/>
            <wp:cNvGraphicFramePr>
              <a:graphicFrameLocks noChangeAspect="1"/>
            </wp:cNvGraphicFramePr>
            <a:graphic>
              <a:graphicData uri="http://schemas.openxmlformats.org/drawingml/2006/picture">
                <pic:pic>
                  <pic:nvPicPr>
                    <pic:cNvPr id="0" name="chart_calibration.png"/>
                    <pic:cNvPicPr/>
                  </pic:nvPicPr>
                  <pic:blipFill>
                    <a:blip r:embed="rId11"/>
                    <a:stretch>
                      <a:fillRect/>
                    </a:stretch>
                  </pic:blipFill>
                  <pic:spPr>
                    <a:xfrm>
                      <a:off x="0" y="0"/>
                      <a:ext cx="4937760" cy="3394710"/>
                    </a:xfrm>
                    <a:prstGeom prst="rect"/>
                  </pic:spPr>
                </pic:pic>
              </a:graphicData>
            </a:graphic>
          </wp:inline>
        </w:drawing>
      </w:r>
    </w:p>
    <w:p>
      <w:pPr>
        <w:spacing w:before="40" w:after="240"/>
        <w:jc w:val="center"/>
      </w:pPr>
      <w:r>
        <w:rPr>
          <w:i/>
          <w:color w:val="475569"/>
          <w:sz w:val="19"/>
        </w:rPr>
        <w:t>Figure 3. Reliability calibration curves comparing predicted probabilities against empirical observed CAD frequencies.</w:t>
      </w:r>
    </w:p>
    <w:p>
      <w:pPr>
        <w:pStyle w:val="Heading2"/>
        <w:keepNext/>
        <w:spacing w:before="280" w:after="80"/>
      </w:pPr>
      <w:r>
        <w:rPr>
          <w:b/>
          <w:color w:val="1E3A8A"/>
          <w:sz w:val="26"/>
        </w:rPr>
        <w:t>4.3 Cross-Site Generalization (Leave-One-Center-Out)</w:t>
      </w:r>
    </w:p>
    <w:p>
      <w:r>
        <w:t>Table 4 summarizes the zero-shot cross-site transferability across the four clinical data sources in the UCI benchmark.</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E3A8A"/>
            <w:tcMar>
              <w:top w:w="100" w:type="dxa"/>
              <w:bottom w:w="100" w:type="dxa"/>
              <w:left w:w="140" w:type="dxa"/>
              <w:right w:w="140" w:type="dxa"/>
            </w:tcMar>
          </w:tcPr>
          <w:p>
            <w:pPr>
              <w:spacing w:before="40" w:after="40"/>
            </w:pPr>
            <w:r>
              <w:rPr>
                <w:b/>
                <w:color w:val="FFFFFF"/>
                <w:sz w:val="19"/>
              </w:rPr>
              <w:t>Clinical Source</w:t>
            </w:r>
          </w:p>
        </w:tc>
        <w:tc>
          <w:tcPr>
            <w:tcW w:type="dxa" w:w="1560"/>
            <w:shd w:fill="1E3A8A"/>
            <w:tcMar>
              <w:top w:w="100" w:type="dxa"/>
              <w:bottom w:w="100" w:type="dxa"/>
              <w:left w:w="140" w:type="dxa"/>
              <w:right w:w="140" w:type="dxa"/>
            </w:tcMar>
          </w:tcPr>
          <w:p>
            <w:pPr>
              <w:spacing w:before="40" w:after="40"/>
            </w:pPr>
            <w:r>
              <w:rPr>
                <w:b/>
                <w:color w:val="FFFFFF"/>
                <w:sz w:val="19"/>
              </w:rPr>
              <w:t>Geographic Site</w:t>
            </w:r>
          </w:p>
        </w:tc>
        <w:tc>
          <w:tcPr>
            <w:tcW w:type="dxa" w:w="1560"/>
            <w:shd w:fill="1E3A8A"/>
            <w:tcMar>
              <w:top w:w="100" w:type="dxa"/>
              <w:bottom w:w="100" w:type="dxa"/>
              <w:left w:w="140" w:type="dxa"/>
              <w:right w:w="140" w:type="dxa"/>
            </w:tcMar>
          </w:tcPr>
          <w:p>
            <w:pPr>
              <w:spacing w:before="40" w:after="40"/>
            </w:pPr>
            <w:r>
              <w:rPr>
                <w:b/>
                <w:color w:val="FFFFFF"/>
                <w:sz w:val="19"/>
              </w:rPr>
              <w:t>Records (N)</w:t>
            </w:r>
          </w:p>
        </w:tc>
        <w:tc>
          <w:tcPr>
            <w:tcW w:type="dxa" w:w="1560"/>
            <w:shd w:fill="1E3A8A"/>
            <w:tcMar>
              <w:top w:w="100" w:type="dxa"/>
              <w:bottom w:w="100" w:type="dxa"/>
              <w:left w:w="140" w:type="dxa"/>
              <w:right w:w="140" w:type="dxa"/>
            </w:tcMar>
          </w:tcPr>
          <w:p>
            <w:pPr>
              <w:spacing w:before="40" w:after="40"/>
            </w:pPr>
            <w:r>
              <w:rPr>
                <w:b/>
                <w:color w:val="FFFFFF"/>
                <w:sz w:val="19"/>
              </w:rPr>
              <w:t>ROC-AUC (%)</w:t>
            </w:r>
          </w:p>
        </w:tc>
        <w:tc>
          <w:tcPr>
            <w:tcW w:type="dxa" w:w="1560"/>
            <w:shd w:fill="1E3A8A"/>
            <w:tcMar>
              <w:top w:w="100" w:type="dxa"/>
              <w:bottom w:w="100" w:type="dxa"/>
              <w:left w:w="140" w:type="dxa"/>
              <w:right w:w="140" w:type="dxa"/>
            </w:tcMar>
          </w:tcPr>
          <w:p>
            <w:pPr>
              <w:spacing w:before="40" w:after="40"/>
            </w:pPr>
            <w:r>
              <w:rPr>
                <w:b/>
                <w:color w:val="FFFFFF"/>
                <w:sz w:val="19"/>
              </w:rPr>
              <w:t>Accuracy (%)</w:t>
            </w:r>
          </w:p>
        </w:tc>
        <w:tc>
          <w:tcPr>
            <w:tcW w:type="dxa" w:w="1560"/>
            <w:shd w:fill="1E3A8A"/>
            <w:tcMar>
              <w:top w:w="100" w:type="dxa"/>
              <w:bottom w:w="100" w:type="dxa"/>
              <w:left w:w="140" w:type="dxa"/>
              <w:right w:w="140" w:type="dxa"/>
            </w:tcMar>
          </w:tcPr>
          <w:p>
            <w:pPr>
              <w:spacing w:before="40" w:after="40"/>
            </w:pPr>
            <w:r>
              <w:rPr>
                <w:b/>
                <w:color w:val="FFFFFF"/>
                <w:sz w:val="19"/>
              </w:rPr>
              <w:t>Brier Score</w:t>
            </w:r>
          </w:p>
        </w:tc>
      </w:tr>
      <w:tr>
        <w:trPr>
          <w:cantSplit/>
        </w:trPr>
        <w:tc>
          <w:tcPr>
            <w:tcW w:type="dxa" w:w="1560"/>
            <w:shd w:fill="F1F5F9"/>
            <w:tcMar>
              <w:top w:w="80" w:type="dxa"/>
              <w:bottom w:w="80" w:type="dxa"/>
              <w:left w:w="120" w:type="dxa"/>
              <w:right w:w="120" w:type="dxa"/>
            </w:tcMar>
          </w:tcPr>
          <w:p>
            <w:pPr>
              <w:spacing w:before="20" w:after="20"/>
            </w:pPr>
            <w:r>
              <w:rPr>
                <w:color w:val="1E293B"/>
                <w:sz w:val="19"/>
              </w:rPr>
              <w:t>Cleveland Clinic</w:t>
            </w:r>
          </w:p>
        </w:tc>
        <w:tc>
          <w:tcPr>
            <w:tcW w:type="dxa" w:w="1560"/>
            <w:shd w:fill="F1F5F9"/>
            <w:tcMar>
              <w:top w:w="80" w:type="dxa"/>
              <w:bottom w:w="80" w:type="dxa"/>
              <w:left w:w="120" w:type="dxa"/>
              <w:right w:w="120" w:type="dxa"/>
            </w:tcMar>
          </w:tcPr>
          <w:p>
            <w:pPr>
              <w:spacing w:before="20" w:after="20"/>
            </w:pPr>
            <w:r>
              <w:rPr>
                <w:color w:val="1E293B"/>
                <w:sz w:val="19"/>
              </w:rPr>
              <w:t>Cleveland, USA</w:t>
            </w:r>
          </w:p>
        </w:tc>
        <w:tc>
          <w:tcPr>
            <w:tcW w:type="dxa" w:w="1560"/>
            <w:shd w:fill="F1F5F9"/>
            <w:tcMar>
              <w:top w:w="80" w:type="dxa"/>
              <w:bottom w:w="80" w:type="dxa"/>
              <w:left w:w="120" w:type="dxa"/>
              <w:right w:w="120" w:type="dxa"/>
            </w:tcMar>
          </w:tcPr>
          <w:p>
            <w:pPr>
              <w:spacing w:before="20" w:after="20"/>
            </w:pPr>
            <w:r>
              <w:rPr>
                <w:color w:val="1E293B"/>
                <w:sz w:val="19"/>
              </w:rPr>
              <w:t>303</w:t>
            </w:r>
          </w:p>
        </w:tc>
        <w:tc>
          <w:tcPr>
            <w:tcW w:type="dxa" w:w="1560"/>
            <w:shd w:fill="F1F5F9"/>
            <w:tcMar>
              <w:top w:w="80" w:type="dxa"/>
              <w:bottom w:w="80" w:type="dxa"/>
              <w:left w:w="120" w:type="dxa"/>
              <w:right w:w="120" w:type="dxa"/>
            </w:tcMar>
          </w:tcPr>
          <w:p>
            <w:pPr>
              <w:spacing w:before="20" w:after="20"/>
            </w:pPr>
            <w:r>
              <w:rPr>
                <w:color w:val="1E293B"/>
                <w:sz w:val="19"/>
              </w:rPr>
              <w:t>96.29%</w:t>
            </w:r>
          </w:p>
        </w:tc>
        <w:tc>
          <w:tcPr>
            <w:tcW w:type="dxa" w:w="1560"/>
            <w:shd w:fill="F1F5F9"/>
            <w:tcMar>
              <w:top w:w="80" w:type="dxa"/>
              <w:bottom w:w="80" w:type="dxa"/>
              <w:left w:w="120" w:type="dxa"/>
              <w:right w:w="120" w:type="dxa"/>
            </w:tcMar>
          </w:tcPr>
          <w:p>
            <w:pPr>
              <w:spacing w:before="20" w:after="20"/>
            </w:pPr>
            <w:r>
              <w:rPr>
                <w:color w:val="1E293B"/>
                <w:sz w:val="19"/>
              </w:rPr>
              <w:t>90.76%</w:t>
            </w:r>
          </w:p>
        </w:tc>
        <w:tc>
          <w:tcPr>
            <w:tcW w:type="dxa" w:w="1560"/>
            <w:shd w:fill="F1F5F9"/>
            <w:tcMar>
              <w:top w:w="80" w:type="dxa"/>
              <w:bottom w:w="80" w:type="dxa"/>
              <w:left w:w="120" w:type="dxa"/>
              <w:right w:w="120" w:type="dxa"/>
            </w:tcMar>
          </w:tcPr>
          <w:p>
            <w:pPr>
              <w:spacing w:before="20" w:after="20"/>
            </w:pPr>
            <w:r>
              <w:rPr>
                <w:color w:val="1E293B"/>
                <w:sz w:val="19"/>
              </w:rPr>
              <w:t>0.0854</w:t>
            </w:r>
          </w:p>
        </w:tc>
      </w:tr>
      <w:tr>
        <w:trPr>
          <w:cantSplit/>
        </w:trPr>
        <w:tc>
          <w:tcPr>
            <w:tcW w:type="dxa" w:w="1560"/>
            <w:shd w:fill="FFFFFF"/>
            <w:tcMar>
              <w:top w:w="80" w:type="dxa"/>
              <w:bottom w:w="80" w:type="dxa"/>
              <w:left w:w="120" w:type="dxa"/>
              <w:right w:w="120" w:type="dxa"/>
            </w:tcMar>
          </w:tcPr>
          <w:p>
            <w:pPr>
              <w:spacing w:before="20" w:after="20"/>
            </w:pPr>
            <w:r>
              <w:rPr>
                <w:color w:val="1E293B"/>
                <w:sz w:val="19"/>
              </w:rPr>
              <w:t>Hungarian Cardiology</w:t>
            </w:r>
          </w:p>
        </w:tc>
        <w:tc>
          <w:tcPr>
            <w:tcW w:type="dxa" w:w="1560"/>
            <w:shd w:fill="FFFFFF"/>
            <w:tcMar>
              <w:top w:w="80" w:type="dxa"/>
              <w:bottom w:w="80" w:type="dxa"/>
              <w:left w:w="120" w:type="dxa"/>
              <w:right w:w="120" w:type="dxa"/>
            </w:tcMar>
          </w:tcPr>
          <w:p>
            <w:pPr>
              <w:spacing w:before="20" w:after="20"/>
            </w:pPr>
            <w:r>
              <w:rPr>
                <w:color w:val="1E293B"/>
                <w:sz w:val="19"/>
              </w:rPr>
              <w:t>Budapest, Hungary</w:t>
            </w:r>
          </w:p>
        </w:tc>
        <w:tc>
          <w:tcPr>
            <w:tcW w:type="dxa" w:w="1560"/>
            <w:shd w:fill="FFFFFF"/>
            <w:tcMar>
              <w:top w:w="80" w:type="dxa"/>
              <w:bottom w:w="80" w:type="dxa"/>
              <w:left w:w="120" w:type="dxa"/>
              <w:right w:w="120" w:type="dxa"/>
            </w:tcMar>
          </w:tcPr>
          <w:p>
            <w:pPr>
              <w:spacing w:before="20" w:after="20"/>
            </w:pPr>
            <w:r>
              <w:rPr>
                <w:color w:val="1E293B"/>
                <w:sz w:val="19"/>
              </w:rPr>
              <w:t>294</w:t>
            </w:r>
          </w:p>
        </w:tc>
        <w:tc>
          <w:tcPr>
            <w:tcW w:type="dxa" w:w="1560"/>
            <w:shd w:fill="FFFFFF"/>
            <w:tcMar>
              <w:top w:w="80" w:type="dxa"/>
              <w:bottom w:w="80" w:type="dxa"/>
              <w:left w:w="120" w:type="dxa"/>
              <w:right w:w="120" w:type="dxa"/>
            </w:tcMar>
          </w:tcPr>
          <w:p>
            <w:pPr>
              <w:spacing w:before="20" w:after="20"/>
            </w:pPr>
            <w:r>
              <w:rPr>
                <w:color w:val="1E293B"/>
                <w:sz w:val="19"/>
              </w:rPr>
              <w:t>88.30%</w:t>
            </w:r>
          </w:p>
        </w:tc>
        <w:tc>
          <w:tcPr>
            <w:tcW w:type="dxa" w:w="1560"/>
            <w:shd w:fill="FFFFFF"/>
            <w:tcMar>
              <w:top w:w="80" w:type="dxa"/>
              <w:bottom w:w="80" w:type="dxa"/>
              <w:left w:w="120" w:type="dxa"/>
              <w:right w:w="120" w:type="dxa"/>
            </w:tcMar>
          </w:tcPr>
          <w:p>
            <w:pPr>
              <w:spacing w:before="20" w:after="20"/>
            </w:pPr>
            <w:r>
              <w:rPr>
                <w:color w:val="1E293B"/>
                <w:sz w:val="19"/>
              </w:rPr>
              <w:t>82.31%</w:t>
            </w:r>
          </w:p>
        </w:tc>
        <w:tc>
          <w:tcPr>
            <w:tcW w:type="dxa" w:w="1560"/>
            <w:shd w:fill="FFFFFF"/>
            <w:tcMar>
              <w:top w:w="80" w:type="dxa"/>
              <w:bottom w:w="80" w:type="dxa"/>
              <w:left w:w="120" w:type="dxa"/>
              <w:right w:w="120" w:type="dxa"/>
            </w:tcMar>
          </w:tcPr>
          <w:p>
            <w:pPr>
              <w:spacing w:before="20" w:after="20"/>
            </w:pPr>
            <w:r>
              <w:rPr>
                <w:color w:val="1E293B"/>
                <w:sz w:val="19"/>
              </w:rPr>
              <w:t>0.1454</w:t>
            </w:r>
          </w:p>
        </w:tc>
      </w:tr>
      <w:tr>
        <w:trPr>
          <w:cantSplit/>
        </w:trPr>
        <w:tc>
          <w:tcPr>
            <w:tcW w:type="dxa" w:w="1560"/>
            <w:shd w:fill="F1F5F9"/>
            <w:tcMar>
              <w:top w:w="80" w:type="dxa"/>
              <w:bottom w:w="80" w:type="dxa"/>
              <w:left w:w="120" w:type="dxa"/>
              <w:right w:w="120" w:type="dxa"/>
            </w:tcMar>
          </w:tcPr>
          <w:p>
            <w:pPr>
              <w:spacing w:before="20" w:after="20"/>
            </w:pPr>
            <w:r>
              <w:rPr>
                <w:color w:val="1E293B"/>
                <w:sz w:val="19"/>
              </w:rPr>
              <w:t>VA Medical Center</w:t>
            </w:r>
          </w:p>
        </w:tc>
        <w:tc>
          <w:tcPr>
            <w:tcW w:type="dxa" w:w="1560"/>
            <w:shd w:fill="F1F5F9"/>
            <w:tcMar>
              <w:top w:w="80" w:type="dxa"/>
              <w:bottom w:w="80" w:type="dxa"/>
              <w:left w:w="120" w:type="dxa"/>
              <w:right w:w="120" w:type="dxa"/>
            </w:tcMar>
          </w:tcPr>
          <w:p>
            <w:pPr>
              <w:spacing w:before="20" w:after="20"/>
            </w:pPr>
            <w:r>
              <w:rPr>
                <w:color w:val="1E293B"/>
                <w:sz w:val="19"/>
              </w:rPr>
              <w:t>Long Beach, USA</w:t>
            </w:r>
          </w:p>
        </w:tc>
        <w:tc>
          <w:tcPr>
            <w:tcW w:type="dxa" w:w="1560"/>
            <w:shd w:fill="F1F5F9"/>
            <w:tcMar>
              <w:top w:w="80" w:type="dxa"/>
              <w:bottom w:w="80" w:type="dxa"/>
              <w:left w:w="120" w:type="dxa"/>
              <w:right w:w="120" w:type="dxa"/>
            </w:tcMar>
          </w:tcPr>
          <w:p>
            <w:pPr>
              <w:spacing w:before="20" w:after="20"/>
            </w:pPr>
            <w:r>
              <w:rPr>
                <w:color w:val="1E293B"/>
                <w:sz w:val="19"/>
              </w:rPr>
              <w:t>200</w:t>
            </w:r>
          </w:p>
        </w:tc>
        <w:tc>
          <w:tcPr>
            <w:tcW w:type="dxa" w:w="1560"/>
            <w:shd w:fill="F1F5F9"/>
            <w:tcMar>
              <w:top w:w="80" w:type="dxa"/>
              <w:bottom w:w="80" w:type="dxa"/>
              <w:left w:w="120" w:type="dxa"/>
              <w:right w:w="120" w:type="dxa"/>
            </w:tcMar>
          </w:tcPr>
          <w:p>
            <w:pPr>
              <w:spacing w:before="20" w:after="20"/>
            </w:pPr>
            <w:r>
              <w:rPr>
                <w:color w:val="1E293B"/>
                <w:sz w:val="19"/>
              </w:rPr>
              <w:t>70.14%</w:t>
            </w:r>
          </w:p>
        </w:tc>
        <w:tc>
          <w:tcPr>
            <w:tcW w:type="dxa" w:w="1560"/>
            <w:shd w:fill="F1F5F9"/>
            <w:tcMar>
              <w:top w:w="80" w:type="dxa"/>
              <w:bottom w:w="80" w:type="dxa"/>
              <w:left w:w="120" w:type="dxa"/>
              <w:right w:w="120" w:type="dxa"/>
            </w:tcMar>
          </w:tcPr>
          <w:p>
            <w:pPr>
              <w:spacing w:before="20" w:after="20"/>
            </w:pPr>
            <w:r>
              <w:rPr>
                <w:color w:val="1E293B"/>
                <w:sz w:val="19"/>
              </w:rPr>
              <w:t>69.50%</w:t>
            </w:r>
          </w:p>
        </w:tc>
        <w:tc>
          <w:tcPr>
            <w:tcW w:type="dxa" w:w="1560"/>
            <w:shd w:fill="F1F5F9"/>
            <w:tcMar>
              <w:top w:w="80" w:type="dxa"/>
              <w:bottom w:w="80" w:type="dxa"/>
              <w:left w:w="120" w:type="dxa"/>
              <w:right w:w="120" w:type="dxa"/>
            </w:tcMar>
          </w:tcPr>
          <w:p>
            <w:pPr>
              <w:spacing w:before="20" w:after="20"/>
            </w:pPr>
            <w:r>
              <w:rPr>
                <w:color w:val="1E293B"/>
                <w:sz w:val="19"/>
              </w:rPr>
              <w:t>0.1716</w:t>
            </w:r>
          </w:p>
        </w:tc>
      </w:tr>
      <w:tr>
        <w:trPr>
          <w:cantSplit/>
        </w:trPr>
        <w:tc>
          <w:tcPr>
            <w:tcW w:type="dxa" w:w="1560"/>
            <w:shd w:fill="FFFFFF"/>
            <w:tcMar>
              <w:top w:w="80" w:type="dxa"/>
              <w:bottom w:w="80" w:type="dxa"/>
              <w:left w:w="120" w:type="dxa"/>
              <w:right w:w="120" w:type="dxa"/>
            </w:tcMar>
          </w:tcPr>
          <w:p>
            <w:pPr>
              <w:spacing w:before="20" w:after="20"/>
            </w:pPr>
            <w:r>
              <w:rPr>
                <w:color w:val="1E293B"/>
                <w:sz w:val="19"/>
              </w:rPr>
              <w:t>Switzerland Source</w:t>
            </w:r>
          </w:p>
        </w:tc>
        <w:tc>
          <w:tcPr>
            <w:tcW w:type="dxa" w:w="1560"/>
            <w:shd w:fill="FFFFFF"/>
            <w:tcMar>
              <w:top w:w="80" w:type="dxa"/>
              <w:bottom w:w="80" w:type="dxa"/>
              <w:left w:w="120" w:type="dxa"/>
              <w:right w:w="120" w:type="dxa"/>
            </w:tcMar>
          </w:tcPr>
          <w:p>
            <w:pPr>
              <w:spacing w:before="20" w:after="20"/>
            </w:pPr>
            <w:r>
              <w:rPr>
                <w:color w:val="1E293B"/>
                <w:sz w:val="19"/>
              </w:rPr>
              <w:t>Zurich, Switzerland</w:t>
            </w:r>
          </w:p>
        </w:tc>
        <w:tc>
          <w:tcPr>
            <w:tcW w:type="dxa" w:w="1560"/>
            <w:shd w:fill="FFFFFF"/>
            <w:tcMar>
              <w:top w:w="80" w:type="dxa"/>
              <w:bottom w:w="80" w:type="dxa"/>
              <w:left w:w="120" w:type="dxa"/>
              <w:right w:w="120" w:type="dxa"/>
            </w:tcMar>
          </w:tcPr>
          <w:p>
            <w:pPr>
              <w:spacing w:before="20" w:after="20"/>
            </w:pPr>
            <w:r>
              <w:rPr>
                <w:color w:val="1E293B"/>
                <w:sz w:val="19"/>
              </w:rPr>
              <w:t>123</w:t>
            </w:r>
          </w:p>
        </w:tc>
        <w:tc>
          <w:tcPr>
            <w:tcW w:type="dxa" w:w="1560"/>
            <w:shd w:fill="FFFFFF"/>
            <w:tcMar>
              <w:top w:w="80" w:type="dxa"/>
              <w:bottom w:w="80" w:type="dxa"/>
              <w:left w:w="120" w:type="dxa"/>
              <w:right w:w="120" w:type="dxa"/>
            </w:tcMar>
          </w:tcPr>
          <w:p>
            <w:pPr>
              <w:spacing w:before="20" w:after="20"/>
            </w:pPr>
            <w:r>
              <w:rPr>
                <w:color w:val="1E293B"/>
                <w:sz w:val="19"/>
              </w:rPr>
              <w:t>62.61%</w:t>
            </w:r>
          </w:p>
        </w:tc>
        <w:tc>
          <w:tcPr>
            <w:tcW w:type="dxa" w:w="1560"/>
            <w:shd w:fill="FFFFFF"/>
            <w:tcMar>
              <w:top w:w="80" w:type="dxa"/>
              <w:bottom w:w="80" w:type="dxa"/>
              <w:left w:w="120" w:type="dxa"/>
              <w:right w:w="120" w:type="dxa"/>
            </w:tcMar>
          </w:tcPr>
          <w:p>
            <w:pPr>
              <w:spacing w:before="20" w:after="20"/>
            </w:pPr>
            <w:r>
              <w:rPr>
                <w:color w:val="1E293B"/>
                <w:sz w:val="19"/>
              </w:rPr>
              <w:t>86.99%</w:t>
            </w:r>
          </w:p>
        </w:tc>
        <w:tc>
          <w:tcPr>
            <w:tcW w:type="dxa" w:w="1560"/>
            <w:shd w:fill="FFFFFF"/>
            <w:tcMar>
              <w:top w:w="80" w:type="dxa"/>
              <w:bottom w:w="80" w:type="dxa"/>
              <w:left w:w="120" w:type="dxa"/>
              <w:right w:w="120" w:type="dxa"/>
            </w:tcMar>
          </w:tcPr>
          <w:p>
            <w:pPr>
              <w:spacing w:before="20" w:after="20"/>
            </w:pPr>
            <w:r>
              <w:rPr>
                <w:color w:val="1E293B"/>
                <w:sz w:val="19"/>
              </w:rPr>
              <w:t>0.0935</w:t>
            </w:r>
          </w:p>
        </w:tc>
      </w:tr>
      <w:tr>
        <w:trPr>
          <w:cantSplit/>
        </w:trPr>
        <w:tc>
          <w:tcPr>
            <w:tcW w:type="dxa" w:w="1560"/>
            <w:shd w:fill="F1F5F9"/>
            <w:tcMar>
              <w:top w:w="80" w:type="dxa"/>
              <w:bottom w:w="80" w:type="dxa"/>
              <w:left w:w="120" w:type="dxa"/>
              <w:right w:w="120" w:type="dxa"/>
            </w:tcMar>
          </w:tcPr>
          <w:p>
            <w:pPr>
              <w:spacing w:before="20" w:after="20"/>
            </w:pPr>
            <w:r>
              <w:rPr>
                <w:color w:val="1E293B"/>
                <w:sz w:val="19"/>
              </w:rPr>
              <w:t>Combined Pooled Cohort</w:t>
            </w:r>
          </w:p>
        </w:tc>
        <w:tc>
          <w:tcPr>
            <w:tcW w:type="dxa" w:w="1560"/>
            <w:shd w:fill="F1F5F9"/>
            <w:tcMar>
              <w:top w:w="80" w:type="dxa"/>
              <w:bottom w:w="80" w:type="dxa"/>
              <w:left w:w="120" w:type="dxa"/>
              <w:right w:w="120" w:type="dxa"/>
            </w:tcMar>
          </w:tcPr>
          <w:p>
            <w:pPr>
              <w:spacing w:before="20" w:after="20"/>
            </w:pPr>
            <w:r>
              <w:rPr>
                <w:color w:val="1E293B"/>
                <w:sz w:val="19"/>
              </w:rPr>
              <w:t>International</w:t>
            </w:r>
          </w:p>
        </w:tc>
        <w:tc>
          <w:tcPr>
            <w:tcW w:type="dxa" w:w="1560"/>
            <w:shd w:fill="F1F5F9"/>
            <w:tcMar>
              <w:top w:w="80" w:type="dxa"/>
              <w:bottom w:w="80" w:type="dxa"/>
              <w:left w:w="120" w:type="dxa"/>
              <w:right w:w="120" w:type="dxa"/>
            </w:tcMar>
          </w:tcPr>
          <w:p>
            <w:pPr>
              <w:spacing w:before="20" w:after="20"/>
            </w:pPr>
            <w:r>
              <w:rPr>
                <w:color w:val="1E293B"/>
                <w:sz w:val="19"/>
              </w:rPr>
              <w:t>920</w:t>
            </w:r>
          </w:p>
        </w:tc>
        <w:tc>
          <w:tcPr>
            <w:tcW w:type="dxa" w:w="1560"/>
            <w:shd w:fill="F1F5F9"/>
            <w:tcMar>
              <w:top w:w="80" w:type="dxa"/>
              <w:bottom w:w="80" w:type="dxa"/>
              <w:left w:w="120" w:type="dxa"/>
              <w:right w:w="120" w:type="dxa"/>
            </w:tcMar>
          </w:tcPr>
          <w:p>
            <w:pPr>
              <w:spacing w:before="20" w:after="20"/>
            </w:pPr>
            <w:r>
              <w:rPr>
                <w:color w:val="1E293B"/>
                <w:sz w:val="19"/>
              </w:rPr>
              <w:t>88.42%</w:t>
            </w:r>
          </w:p>
        </w:tc>
        <w:tc>
          <w:tcPr>
            <w:tcW w:type="dxa" w:w="1560"/>
            <w:shd w:fill="F1F5F9"/>
            <w:tcMar>
              <w:top w:w="80" w:type="dxa"/>
              <w:bottom w:w="80" w:type="dxa"/>
              <w:left w:w="120" w:type="dxa"/>
              <w:right w:w="120" w:type="dxa"/>
            </w:tcMar>
          </w:tcPr>
          <w:p>
            <w:pPr>
              <w:spacing w:before="20" w:after="20"/>
            </w:pPr>
            <w:r>
              <w:rPr>
                <w:color w:val="1E293B"/>
                <w:sz w:val="19"/>
              </w:rPr>
              <w:t>83.61%</w:t>
            </w:r>
          </w:p>
        </w:tc>
        <w:tc>
          <w:tcPr>
            <w:tcW w:type="dxa" w:w="1560"/>
            <w:shd w:fill="F1F5F9"/>
            <w:tcMar>
              <w:top w:w="80" w:type="dxa"/>
              <w:bottom w:w="80" w:type="dxa"/>
              <w:left w:w="120" w:type="dxa"/>
              <w:right w:w="120" w:type="dxa"/>
            </w:tcMar>
          </w:tcPr>
          <w:p>
            <w:pPr>
              <w:spacing w:before="20" w:after="20"/>
            </w:pPr>
            <w:r>
              <w:rPr>
                <w:color w:val="1E293B"/>
                <w:sz w:val="19"/>
              </w:rPr>
              <w:t>0.1192</w:t>
            </w:r>
          </w:p>
        </w:tc>
      </w:tr>
    </w:tbl>
    <w:p>
      <w:pPr>
        <w:spacing w:after="80"/>
      </w:pPr>
    </w:p>
    <w:p>
      <w:pPr>
        <w:spacing w:before="200" w:after="80"/>
        <w:jc w:val="center"/>
      </w:pPr>
      <w:r>
        <w:drawing>
          <wp:inline xmlns:a="http://schemas.openxmlformats.org/drawingml/2006/main" xmlns:pic="http://schemas.openxmlformats.org/drawingml/2006/picture">
            <wp:extent cx="4754880" cy="3046094"/>
            <wp:docPr id="4" name="Picture 4"/>
            <wp:cNvGraphicFramePr>
              <a:graphicFrameLocks noChangeAspect="1"/>
            </wp:cNvGraphicFramePr>
            <a:graphic>
              <a:graphicData uri="http://schemas.openxmlformats.org/drawingml/2006/picture">
                <pic:pic>
                  <pic:nvPicPr>
                    <pic:cNvPr id="0" name="chart_multicenter.png"/>
                    <pic:cNvPicPr/>
                  </pic:nvPicPr>
                  <pic:blipFill>
                    <a:blip r:embed="rId12"/>
                    <a:stretch>
                      <a:fillRect/>
                    </a:stretch>
                  </pic:blipFill>
                  <pic:spPr>
                    <a:xfrm>
                      <a:off x="0" y="0"/>
                      <a:ext cx="4754880" cy="3046094"/>
                    </a:xfrm>
                    <a:prstGeom prst="rect"/>
                  </pic:spPr>
                </pic:pic>
              </a:graphicData>
            </a:graphic>
          </wp:inline>
        </w:drawing>
      </w:r>
    </w:p>
    <w:p>
      <w:pPr>
        <w:spacing w:before="40" w:after="240"/>
        <w:jc w:val="center"/>
      </w:pPr>
      <w:r>
        <w:rPr>
          <w:i/>
          <w:color w:val="475569"/>
          <w:sz w:val="19"/>
        </w:rPr>
        <w:t>Figure 4. Cross-site generalization radar comparing discrimination and calibration metrics across all 4 international clinical centers.</w:t>
      </w:r>
    </w:p>
    <w:p>
      <w:pPr>
        <w:pStyle w:val="Heading2"/>
        <w:keepNext/>
        <w:spacing w:before="280" w:after="80"/>
      </w:pPr>
      <w:r>
        <w:rPr>
          <w:b/>
          <w:color w:val="1E3A8A"/>
          <w:sz w:val="26"/>
        </w:rPr>
        <w:t>4.4 SHAP–LIME Explanation Concordance Audit</w:t>
      </w:r>
    </w:p>
    <w:p>
      <w:r>
        <w:t>Table 5 presents the quantitative distribution of SHAP–LIME Concordance (Ci) evaluated across the holdout patient cohort.</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E3A8A"/>
            <w:tcMar>
              <w:top w:w="100" w:type="dxa"/>
              <w:bottom w:w="100" w:type="dxa"/>
              <w:left w:w="140" w:type="dxa"/>
              <w:right w:w="140" w:type="dxa"/>
            </w:tcMar>
          </w:tcPr>
          <w:p>
            <w:pPr>
              <w:spacing w:before="40" w:after="40"/>
            </w:pPr>
            <w:r>
              <w:rPr>
                <w:b/>
                <w:color w:val="FFFFFF"/>
                <w:sz w:val="19"/>
              </w:rPr>
              <w:t>Clinical Outcome Category</w:t>
            </w:r>
          </w:p>
        </w:tc>
        <w:tc>
          <w:tcPr>
            <w:tcW w:type="dxa" w:w="1560"/>
            <w:shd w:fill="1E3A8A"/>
            <w:tcMar>
              <w:top w:w="100" w:type="dxa"/>
              <w:bottom w:w="100" w:type="dxa"/>
              <w:left w:w="140" w:type="dxa"/>
              <w:right w:w="140" w:type="dxa"/>
            </w:tcMar>
          </w:tcPr>
          <w:p>
            <w:pPr>
              <w:spacing w:before="40" w:after="40"/>
            </w:pPr>
            <w:r>
              <w:rPr>
                <w:b/>
                <w:color w:val="FFFFFF"/>
                <w:sz w:val="19"/>
              </w:rPr>
              <w:t>Count (N)</w:t>
            </w:r>
          </w:p>
        </w:tc>
        <w:tc>
          <w:tcPr>
            <w:tcW w:type="dxa" w:w="1560"/>
            <w:shd w:fill="1E3A8A"/>
            <w:tcMar>
              <w:top w:w="100" w:type="dxa"/>
              <w:bottom w:w="100" w:type="dxa"/>
              <w:left w:w="140" w:type="dxa"/>
              <w:right w:w="140" w:type="dxa"/>
            </w:tcMar>
          </w:tcPr>
          <w:p>
            <w:pPr>
              <w:spacing w:before="40" w:after="40"/>
            </w:pPr>
            <w:r>
              <w:rPr>
                <w:b/>
                <w:color w:val="FFFFFF"/>
                <w:sz w:val="19"/>
              </w:rPr>
              <w:t>Mean Concordance (Ci)</w:t>
            </w:r>
          </w:p>
        </w:tc>
        <w:tc>
          <w:tcPr>
            <w:tcW w:type="dxa" w:w="1560"/>
            <w:shd w:fill="1E3A8A"/>
            <w:tcMar>
              <w:top w:w="100" w:type="dxa"/>
              <w:bottom w:w="100" w:type="dxa"/>
              <w:left w:w="140" w:type="dxa"/>
              <w:right w:w="140" w:type="dxa"/>
            </w:tcMar>
          </w:tcPr>
          <w:p>
            <w:pPr>
              <w:spacing w:before="40" w:after="40"/>
            </w:pPr>
            <w:r>
              <w:rPr>
                <w:b/>
                <w:color w:val="FFFFFF"/>
                <w:sz w:val="19"/>
              </w:rPr>
              <w:t>Mean Spearman ρ</w:t>
            </w:r>
          </w:p>
        </w:tc>
        <w:tc>
          <w:tcPr>
            <w:tcW w:type="dxa" w:w="1560"/>
            <w:shd w:fill="1E3A8A"/>
            <w:tcMar>
              <w:top w:w="100" w:type="dxa"/>
              <w:bottom w:w="100" w:type="dxa"/>
              <w:left w:w="140" w:type="dxa"/>
              <w:right w:w="140" w:type="dxa"/>
            </w:tcMar>
          </w:tcPr>
          <w:p>
            <w:pPr>
              <w:spacing w:before="40" w:after="40"/>
            </w:pPr>
            <w:r>
              <w:rPr>
                <w:b/>
                <w:color w:val="FFFFFF"/>
                <w:sz w:val="19"/>
              </w:rPr>
              <w:t>Top-3 Jaccard (%)</w:t>
            </w:r>
          </w:p>
        </w:tc>
        <w:tc>
          <w:tcPr>
            <w:tcW w:type="dxa" w:w="1560"/>
            <w:shd w:fill="1E3A8A"/>
            <w:tcMar>
              <w:top w:w="100" w:type="dxa"/>
              <w:bottom w:w="100" w:type="dxa"/>
              <w:left w:w="140" w:type="dxa"/>
              <w:right w:w="140" w:type="dxa"/>
            </w:tcMar>
          </w:tcPr>
          <w:p>
            <w:pPr>
              <w:spacing w:before="40" w:after="40"/>
            </w:pPr>
            <w:r>
              <w:rPr>
                <w:b/>
                <w:color w:val="FFFFFF"/>
                <w:sz w:val="19"/>
              </w:rPr>
              <w:t>Sign Agreement (%)</w:t>
            </w:r>
          </w:p>
        </w:tc>
      </w:tr>
      <w:tr>
        <w:trPr>
          <w:cantSplit/>
        </w:trPr>
        <w:tc>
          <w:tcPr>
            <w:tcW w:type="dxa" w:w="1560"/>
            <w:shd w:fill="F1F5F9"/>
            <w:tcMar>
              <w:top w:w="80" w:type="dxa"/>
              <w:bottom w:w="80" w:type="dxa"/>
              <w:left w:w="120" w:type="dxa"/>
              <w:right w:w="120" w:type="dxa"/>
            </w:tcMar>
          </w:tcPr>
          <w:p>
            <w:pPr>
              <w:spacing w:before="20" w:after="20"/>
            </w:pPr>
            <w:r>
              <w:rPr>
                <w:color w:val="1E293B"/>
                <w:sz w:val="19"/>
              </w:rPr>
              <w:t>True Positives (TP)</w:t>
            </w:r>
          </w:p>
        </w:tc>
        <w:tc>
          <w:tcPr>
            <w:tcW w:type="dxa" w:w="1560"/>
            <w:shd w:fill="F1F5F9"/>
            <w:tcMar>
              <w:top w:w="80" w:type="dxa"/>
              <w:bottom w:w="80" w:type="dxa"/>
              <w:left w:w="120" w:type="dxa"/>
              <w:right w:w="120" w:type="dxa"/>
            </w:tcMar>
          </w:tcPr>
          <w:p>
            <w:pPr>
              <w:spacing w:before="20" w:after="20"/>
            </w:pPr>
            <w:r>
              <w:rPr>
                <w:color w:val="1E293B"/>
                <w:sz w:val="19"/>
              </w:rPr>
              <w:t>27</w:t>
            </w:r>
          </w:p>
        </w:tc>
        <w:tc>
          <w:tcPr>
            <w:tcW w:type="dxa" w:w="1560"/>
            <w:shd w:fill="F1F5F9"/>
            <w:tcMar>
              <w:top w:w="80" w:type="dxa"/>
              <w:bottom w:w="80" w:type="dxa"/>
              <w:left w:w="120" w:type="dxa"/>
              <w:right w:w="120" w:type="dxa"/>
            </w:tcMar>
          </w:tcPr>
          <w:p>
            <w:pPr>
              <w:spacing w:before="20" w:after="20"/>
            </w:pPr>
            <w:r>
              <w:rPr>
                <w:color w:val="1E293B"/>
                <w:sz w:val="19"/>
              </w:rPr>
              <w:t>0.638</w:t>
            </w:r>
          </w:p>
        </w:tc>
        <w:tc>
          <w:tcPr>
            <w:tcW w:type="dxa" w:w="1560"/>
            <w:shd w:fill="F1F5F9"/>
            <w:tcMar>
              <w:top w:w="80" w:type="dxa"/>
              <w:bottom w:w="80" w:type="dxa"/>
              <w:left w:w="120" w:type="dxa"/>
              <w:right w:w="120" w:type="dxa"/>
            </w:tcMar>
          </w:tcPr>
          <w:p>
            <w:pPr>
              <w:spacing w:before="20" w:after="20"/>
            </w:pPr>
            <w:r>
              <w:rPr>
                <w:color w:val="1E293B"/>
                <w:sz w:val="19"/>
              </w:rPr>
              <w:t>0.621</w:t>
            </w:r>
          </w:p>
        </w:tc>
        <w:tc>
          <w:tcPr>
            <w:tcW w:type="dxa" w:w="1560"/>
            <w:shd w:fill="F1F5F9"/>
            <w:tcMar>
              <w:top w:w="80" w:type="dxa"/>
              <w:bottom w:w="80" w:type="dxa"/>
              <w:left w:w="120" w:type="dxa"/>
              <w:right w:w="120" w:type="dxa"/>
            </w:tcMar>
          </w:tcPr>
          <w:p>
            <w:pPr>
              <w:spacing w:before="20" w:after="20"/>
            </w:pPr>
            <w:r>
              <w:rPr>
                <w:color w:val="1E293B"/>
                <w:sz w:val="19"/>
              </w:rPr>
              <w:t>37.0%</w:t>
            </w:r>
          </w:p>
        </w:tc>
        <w:tc>
          <w:tcPr>
            <w:tcW w:type="dxa" w:w="1560"/>
            <w:shd w:fill="F1F5F9"/>
            <w:tcMar>
              <w:top w:w="80" w:type="dxa"/>
              <w:bottom w:w="80" w:type="dxa"/>
              <w:left w:w="120" w:type="dxa"/>
              <w:right w:w="120" w:type="dxa"/>
            </w:tcMar>
          </w:tcPr>
          <w:p>
            <w:pPr>
              <w:spacing w:before="20" w:after="20"/>
            </w:pPr>
            <w:r>
              <w:rPr>
                <w:color w:val="1E293B"/>
                <w:sz w:val="19"/>
              </w:rPr>
              <w:t>95.2%</w:t>
            </w:r>
          </w:p>
        </w:tc>
      </w:tr>
      <w:tr>
        <w:trPr>
          <w:cantSplit/>
        </w:trPr>
        <w:tc>
          <w:tcPr>
            <w:tcW w:type="dxa" w:w="1560"/>
            <w:shd w:fill="FFFFFF"/>
            <w:tcMar>
              <w:top w:w="80" w:type="dxa"/>
              <w:bottom w:w="80" w:type="dxa"/>
              <w:left w:w="120" w:type="dxa"/>
              <w:right w:w="120" w:type="dxa"/>
            </w:tcMar>
          </w:tcPr>
          <w:p>
            <w:pPr>
              <w:spacing w:before="20" w:after="20"/>
            </w:pPr>
            <w:r>
              <w:rPr>
                <w:color w:val="1E293B"/>
                <w:sz w:val="19"/>
              </w:rPr>
              <w:t>True Negatives (TN)</w:t>
            </w:r>
          </w:p>
        </w:tc>
        <w:tc>
          <w:tcPr>
            <w:tcW w:type="dxa" w:w="1560"/>
            <w:shd w:fill="FFFFFF"/>
            <w:tcMar>
              <w:top w:w="80" w:type="dxa"/>
              <w:bottom w:w="80" w:type="dxa"/>
              <w:left w:w="120" w:type="dxa"/>
              <w:right w:w="120" w:type="dxa"/>
            </w:tcMar>
          </w:tcPr>
          <w:p>
            <w:pPr>
              <w:spacing w:before="20" w:after="20"/>
            </w:pPr>
            <w:r>
              <w:rPr>
                <w:color w:val="1E293B"/>
                <w:sz w:val="19"/>
              </w:rPr>
              <w:t>27</w:t>
            </w:r>
          </w:p>
        </w:tc>
        <w:tc>
          <w:tcPr>
            <w:tcW w:type="dxa" w:w="1560"/>
            <w:shd w:fill="FFFFFF"/>
            <w:tcMar>
              <w:top w:w="80" w:type="dxa"/>
              <w:bottom w:w="80" w:type="dxa"/>
              <w:left w:w="120" w:type="dxa"/>
              <w:right w:w="120" w:type="dxa"/>
            </w:tcMar>
          </w:tcPr>
          <w:p>
            <w:pPr>
              <w:spacing w:before="20" w:after="20"/>
            </w:pPr>
            <w:r>
              <w:rPr>
                <w:color w:val="1E293B"/>
                <w:sz w:val="19"/>
              </w:rPr>
              <w:t>0.601</w:t>
            </w:r>
          </w:p>
        </w:tc>
        <w:tc>
          <w:tcPr>
            <w:tcW w:type="dxa" w:w="1560"/>
            <w:shd w:fill="FFFFFF"/>
            <w:tcMar>
              <w:top w:w="80" w:type="dxa"/>
              <w:bottom w:w="80" w:type="dxa"/>
              <w:left w:w="120" w:type="dxa"/>
              <w:right w:w="120" w:type="dxa"/>
            </w:tcMar>
          </w:tcPr>
          <w:p>
            <w:pPr>
              <w:spacing w:before="20" w:after="20"/>
            </w:pPr>
            <w:r>
              <w:rPr>
                <w:color w:val="1E293B"/>
                <w:sz w:val="19"/>
              </w:rPr>
              <w:t>0.534</w:t>
            </w:r>
          </w:p>
        </w:tc>
        <w:tc>
          <w:tcPr>
            <w:tcW w:type="dxa" w:w="1560"/>
            <w:shd w:fill="FFFFFF"/>
            <w:tcMar>
              <w:top w:w="80" w:type="dxa"/>
              <w:bottom w:w="80" w:type="dxa"/>
              <w:left w:w="120" w:type="dxa"/>
              <w:right w:w="120" w:type="dxa"/>
            </w:tcMar>
          </w:tcPr>
          <w:p>
            <w:pPr>
              <w:spacing w:before="20" w:after="20"/>
            </w:pPr>
            <w:r>
              <w:rPr>
                <w:color w:val="1E293B"/>
                <w:sz w:val="19"/>
              </w:rPr>
              <w:t>33.3%</w:t>
            </w:r>
          </w:p>
        </w:tc>
        <w:tc>
          <w:tcPr>
            <w:tcW w:type="dxa" w:w="1560"/>
            <w:shd w:fill="FFFFFF"/>
            <w:tcMar>
              <w:top w:w="80" w:type="dxa"/>
              <w:bottom w:w="80" w:type="dxa"/>
              <w:left w:w="120" w:type="dxa"/>
              <w:right w:w="120" w:type="dxa"/>
            </w:tcMar>
          </w:tcPr>
          <w:p>
            <w:pPr>
              <w:spacing w:before="20" w:after="20"/>
            </w:pPr>
            <w:r>
              <w:rPr>
                <w:color w:val="1E293B"/>
                <w:sz w:val="19"/>
              </w:rPr>
              <w:t>93.8%</w:t>
            </w:r>
          </w:p>
        </w:tc>
      </w:tr>
      <w:tr>
        <w:trPr>
          <w:cantSplit/>
        </w:trPr>
        <w:tc>
          <w:tcPr>
            <w:tcW w:type="dxa" w:w="1560"/>
            <w:shd w:fill="F1F5F9"/>
            <w:tcMar>
              <w:top w:w="80" w:type="dxa"/>
              <w:bottom w:w="80" w:type="dxa"/>
              <w:left w:w="120" w:type="dxa"/>
              <w:right w:w="120" w:type="dxa"/>
            </w:tcMar>
          </w:tcPr>
          <w:p>
            <w:pPr>
              <w:spacing w:before="20" w:after="20"/>
            </w:pPr>
            <w:r>
              <w:rPr>
                <w:color w:val="1E293B"/>
                <w:sz w:val="19"/>
              </w:rPr>
              <w:t>False Positives (FP)</w:t>
            </w:r>
          </w:p>
        </w:tc>
        <w:tc>
          <w:tcPr>
            <w:tcW w:type="dxa" w:w="1560"/>
            <w:shd w:fill="F1F5F9"/>
            <w:tcMar>
              <w:top w:w="80" w:type="dxa"/>
              <w:bottom w:w="80" w:type="dxa"/>
              <w:left w:w="120" w:type="dxa"/>
              <w:right w:w="120" w:type="dxa"/>
            </w:tcMar>
          </w:tcPr>
          <w:p>
            <w:pPr>
              <w:spacing w:before="20" w:after="20"/>
            </w:pPr>
            <w:r>
              <w:rPr>
                <w:color w:val="1E293B"/>
                <w:sz w:val="19"/>
              </w:rPr>
              <w:t>6</w:t>
            </w:r>
          </w:p>
        </w:tc>
        <w:tc>
          <w:tcPr>
            <w:tcW w:type="dxa" w:w="1560"/>
            <w:shd w:fill="F1F5F9"/>
            <w:tcMar>
              <w:top w:w="80" w:type="dxa"/>
              <w:bottom w:w="80" w:type="dxa"/>
              <w:left w:w="120" w:type="dxa"/>
              <w:right w:w="120" w:type="dxa"/>
            </w:tcMar>
          </w:tcPr>
          <w:p>
            <w:pPr>
              <w:spacing w:before="20" w:after="20"/>
            </w:pPr>
            <w:r>
              <w:rPr>
                <w:color w:val="1E293B"/>
                <w:sz w:val="19"/>
              </w:rPr>
              <w:t>0.589</w:t>
            </w:r>
          </w:p>
        </w:tc>
        <w:tc>
          <w:tcPr>
            <w:tcW w:type="dxa" w:w="1560"/>
            <w:shd w:fill="F1F5F9"/>
            <w:tcMar>
              <w:top w:w="80" w:type="dxa"/>
              <w:bottom w:w="80" w:type="dxa"/>
              <w:left w:w="120" w:type="dxa"/>
              <w:right w:w="120" w:type="dxa"/>
            </w:tcMar>
          </w:tcPr>
          <w:p>
            <w:pPr>
              <w:spacing w:before="20" w:after="20"/>
            </w:pPr>
            <w:r>
              <w:rPr>
                <w:color w:val="1E293B"/>
                <w:sz w:val="19"/>
              </w:rPr>
              <w:t>0.489</w:t>
            </w:r>
          </w:p>
        </w:tc>
        <w:tc>
          <w:tcPr>
            <w:tcW w:type="dxa" w:w="1560"/>
            <w:shd w:fill="F1F5F9"/>
            <w:tcMar>
              <w:top w:w="80" w:type="dxa"/>
              <w:bottom w:w="80" w:type="dxa"/>
              <w:left w:w="120" w:type="dxa"/>
              <w:right w:w="120" w:type="dxa"/>
            </w:tcMar>
          </w:tcPr>
          <w:p>
            <w:pPr>
              <w:spacing w:before="20" w:after="20"/>
            </w:pPr>
            <w:r>
              <w:rPr>
                <w:color w:val="1E293B"/>
                <w:sz w:val="19"/>
              </w:rPr>
              <w:t>27.8%</w:t>
            </w:r>
          </w:p>
        </w:tc>
        <w:tc>
          <w:tcPr>
            <w:tcW w:type="dxa" w:w="1560"/>
            <w:shd w:fill="F1F5F9"/>
            <w:tcMar>
              <w:top w:w="80" w:type="dxa"/>
              <w:bottom w:w="80" w:type="dxa"/>
              <w:left w:w="120" w:type="dxa"/>
              <w:right w:w="120" w:type="dxa"/>
            </w:tcMar>
          </w:tcPr>
          <w:p>
            <w:pPr>
              <w:spacing w:before="20" w:after="20"/>
            </w:pPr>
            <w:r>
              <w:rPr>
                <w:color w:val="1E293B"/>
                <w:sz w:val="19"/>
              </w:rPr>
              <w:t>88.9%</w:t>
            </w:r>
          </w:p>
        </w:tc>
      </w:tr>
      <w:tr>
        <w:trPr>
          <w:cantSplit/>
        </w:trPr>
        <w:tc>
          <w:tcPr>
            <w:tcW w:type="dxa" w:w="1560"/>
            <w:shd w:fill="FFFFFF"/>
            <w:tcMar>
              <w:top w:w="80" w:type="dxa"/>
              <w:bottom w:w="80" w:type="dxa"/>
              <w:left w:w="120" w:type="dxa"/>
              <w:right w:w="120" w:type="dxa"/>
            </w:tcMar>
          </w:tcPr>
          <w:p>
            <w:pPr>
              <w:spacing w:before="20" w:after="20"/>
            </w:pPr>
            <w:r>
              <w:rPr>
                <w:color w:val="1E293B"/>
                <w:sz w:val="19"/>
              </w:rPr>
              <w:t>False Negatives (FN)</w:t>
            </w:r>
          </w:p>
        </w:tc>
        <w:tc>
          <w:tcPr>
            <w:tcW w:type="dxa" w:w="1560"/>
            <w:shd w:fill="FFFFFF"/>
            <w:tcMar>
              <w:top w:w="80" w:type="dxa"/>
              <w:bottom w:w="80" w:type="dxa"/>
              <w:left w:w="120" w:type="dxa"/>
              <w:right w:w="120" w:type="dxa"/>
            </w:tcMar>
          </w:tcPr>
          <w:p>
            <w:pPr>
              <w:spacing w:before="20" w:after="20"/>
            </w:pPr>
            <w:r>
              <w:rPr>
                <w:color w:val="1E293B"/>
                <w:sz w:val="19"/>
              </w:rPr>
              <w:t>1</w:t>
            </w:r>
          </w:p>
        </w:tc>
        <w:tc>
          <w:tcPr>
            <w:tcW w:type="dxa" w:w="1560"/>
            <w:shd w:fill="FFFFFF"/>
            <w:tcMar>
              <w:top w:w="80" w:type="dxa"/>
              <w:bottom w:w="80" w:type="dxa"/>
              <w:left w:w="120" w:type="dxa"/>
              <w:right w:w="120" w:type="dxa"/>
            </w:tcMar>
          </w:tcPr>
          <w:p>
            <w:pPr>
              <w:spacing w:before="20" w:after="20"/>
            </w:pPr>
            <w:r>
              <w:rPr>
                <w:color w:val="1E293B"/>
                <w:sz w:val="19"/>
              </w:rPr>
              <w:t>0.512</w:t>
            </w:r>
          </w:p>
        </w:tc>
        <w:tc>
          <w:tcPr>
            <w:tcW w:type="dxa" w:w="1560"/>
            <w:shd w:fill="FFFFFF"/>
            <w:tcMar>
              <w:top w:w="80" w:type="dxa"/>
              <w:bottom w:w="80" w:type="dxa"/>
              <w:left w:w="120" w:type="dxa"/>
              <w:right w:w="120" w:type="dxa"/>
            </w:tcMar>
          </w:tcPr>
          <w:p>
            <w:pPr>
              <w:spacing w:before="20" w:after="20"/>
            </w:pPr>
            <w:r>
              <w:rPr>
                <w:color w:val="1E293B"/>
                <w:sz w:val="19"/>
              </w:rPr>
              <w:t>0.400</w:t>
            </w:r>
          </w:p>
        </w:tc>
        <w:tc>
          <w:tcPr>
            <w:tcW w:type="dxa" w:w="1560"/>
            <w:shd w:fill="FFFFFF"/>
            <w:tcMar>
              <w:top w:w="80" w:type="dxa"/>
              <w:bottom w:w="80" w:type="dxa"/>
              <w:left w:w="120" w:type="dxa"/>
              <w:right w:w="120" w:type="dxa"/>
            </w:tcMar>
          </w:tcPr>
          <w:p>
            <w:pPr>
              <w:spacing w:before="20" w:after="20"/>
            </w:pPr>
            <w:r>
              <w:rPr>
                <w:color w:val="1E293B"/>
                <w:sz w:val="19"/>
              </w:rPr>
              <w:t>20.0%</w:t>
            </w:r>
          </w:p>
        </w:tc>
        <w:tc>
          <w:tcPr>
            <w:tcW w:type="dxa" w:w="1560"/>
            <w:shd w:fill="FFFFFF"/>
            <w:tcMar>
              <w:top w:w="80" w:type="dxa"/>
              <w:bottom w:w="80" w:type="dxa"/>
              <w:left w:w="120" w:type="dxa"/>
              <w:right w:w="120" w:type="dxa"/>
            </w:tcMar>
          </w:tcPr>
          <w:p>
            <w:pPr>
              <w:spacing w:before="20" w:after="20"/>
            </w:pPr>
            <w:r>
              <w:rPr>
                <w:color w:val="1E293B"/>
                <w:sz w:val="19"/>
              </w:rPr>
              <w:t>80.0%</w:t>
            </w:r>
          </w:p>
        </w:tc>
      </w:tr>
      <w:tr>
        <w:trPr>
          <w:cantSplit/>
        </w:trPr>
        <w:tc>
          <w:tcPr>
            <w:tcW w:type="dxa" w:w="1560"/>
            <w:shd w:fill="F1F5F9"/>
            <w:tcMar>
              <w:top w:w="80" w:type="dxa"/>
              <w:bottom w:w="80" w:type="dxa"/>
              <w:left w:w="120" w:type="dxa"/>
              <w:right w:w="120" w:type="dxa"/>
            </w:tcMar>
          </w:tcPr>
          <w:p>
            <w:pPr>
              <w:spacing w:before="20" w:after="20"/>
            </w:pPr>
            <w:r>
              <w:rPr>
                <w:color w:val="1E293B"/>
                <w:sz w:val="19"/>
              </w:rPr>
              <w:t>Total Cohort</w:t>
            </w:r>
          </w:p>
        </w:tc>
        <w:tc>
          <w:tcPr>
            <w:tcW w:type="dxa" w:w="1560"/>
            <w:shd w:fill="F1F5F9"/>
            <w:tcMar>
              <w:top w:w="80" w:type="dxa"/>
              <w:bottom w:w="80" w:type="dxa"/>
              <w:left w:w="120" w:type="dxa"/>
              <w:right w:w="120" w:type="dxa"/>
            </w:tcMar>
          </w:tcPr>
          <w:p>
            <w:pPr>
              <w:spacing w:before="20" w:after="20"/>
            </w:pPr>
            <w:r>
              <w:rPr>
                <w:color w:val="1E293B"/>
                <w:sz w:val="19"/>
              </w:rPr>
              <w:t>61</w:t>
            </w:r>
          </w:p>
        </w:tc>
        <w:tc>
          <w:tcPr>
            <w:tcW w:type="dxa" w:w="1560"/>
            <w:shd w:fill="F1F5F9"/>
            <w:tcMar>
              <w:top w:w="80" w:type="dxa"/>
              <w:bottom w:w="80" w:type="dxa"/>
              <w:left w:w="120" w:type="dxa"/>
              <w:right w:w="120" w:type="dxa"/>
            </w:tcMar>
          </w:tcPr>
          <w:p>
            <w:pPr>
              <w:spacing w:before="20" w:after="20"/>
            </w:pPr>
            <w:r>
              <w:rPr>
                <w:color w:val="1E293B"/>
                <w:sz w:val="19"/>
              </w:rPr>
              <w:t>0.614</w:t>
            </w:r>
          </w:p>
        </w:tc>
        <w:tc>
          <w:tcPr>
            <w:tcW w:type="dxa" w:w="1560"/>
            <w:shd w:fill="F1F5F9"/>
            <w:tcMar>
              <w:top w:w="80" w:type="dxa"/>
              <w:bottom w:w="80" w:type="dxa"/>
              <w:left w:w="120" w:type="dxa"/>
              <w:right w:w="120" w:type="dxa"/>
            </w:tcMar>
          </w:tcPr>
          <w:p>
            <w:pPr>
              <w:spacing w:before="20" w:after="20"/>
            </w:pPr>
            <w:r>
              <w:rPr>
                <w:color w:val="1E293B"/>
                <w:sz w:val="19"/>
              </w:rPr>
              <w:t>0.573</w:t>
            </w:r>
          </w:p>
        </w:tc>
        <w:tc>
          <w:tcPr>
            <w:tcW w:type="dxa" w:w="1560"/>
            <w:shd w:fill="F1F5F9"/>
            <w:tcMar>
              <w:top w:w="80" w:type="dxa"/>
              <w:bottom w:w="80" w:type="dxa"/>
              <w:left w:w="120" w:type="dxa"/>
              <w:right w:w="120" w:type="dxa"/>
            </w:tcMar>
          </w:tcPr>
          <w:p>
            <w:pPr>
              <w:spacing w:before="20" w:after="20"/>
            </w:pPr>
            <w:r>
              <w:rPr>
                <w:color w:val="1E293B"/>
                <w:sz w:val="19"/>
              </w:rPr>
              <w:t>34.4%</w:t>
            </w:r>
          </w:p>
        </w:tc>
        <w:tc>
          <w:tcPr>
            <w:tcW w:type="dxa" w:w="1560"/>
            <w:shd w:fill="F1F5F9"/>
            <w:tcMar>
              <w:top w:w="80" w:type="dxa"/>
              <w:bottom w:w="80" w:type="dxa"/>
              <w:left w:w="120" w:type="dxa"/>
              <w:right w:w="120" w:type="dxa"/>
            </w:tcMar>
          </w:tcPr>
          <w:p>
            <w:pPr>
              <w:spacing w:before="20" w:after="20"/>
            </w:pPr>
            <w:r>
              <w:rPr>
                <w:color w:val="1E293B"/>
                <w:sz w:val="19"/>
              </w:rPr>
              <w:t>93.9%</w:t>
            </w:r>
          </w:p>
        </w:tc>
      </w:tr>
    </w:tbl>
    <w:p>
      <w:pPr>
        <w:spacing w:after="80"/>
      </w:pPr>
    </w:p>
    <w:p>
      <w:pPr>
        <w:spacing w:before="200" w:after="80"/>
        <w:jc w:val="center"/>
      </w:pPr>
      <w:r>
        <w:drawing>
          <wp:inline xmlns:a="http://schemas.openxmlformats.org/drawingml/2006/main" xmlns:pic="http://schemas.openxmlformats.org/drawingml/2006/picture">
            <wp:extent cx="4846320" cy="3104673"/>
            <wp:docPr id="5" name="Picture 5"/>
            <wp:cNvGraphicFramePr>
              <a:graphicFrameLocks noChangeAspect="1"/>
            </wp:cNvGraphicFramePr>
            <a:graphic>
              <a:graphicData uri="http://schemas.openxmlformats.org/drawingml/2006/picture">
                <pic:pic>
                  <pic:nvPicPr>
                    <pic:cNvPr id="0" name="chart_concordance.png"/>
                    <pic:cNvPicPr/>
                  </pic:nvPicPr>
                  <pic:blipFill>
                    <a:blip r:embed="rId13"/>
                    <a:stretch>
                      <a:fillRect/>
                    </a:stretch>
                  </pic:blipFill>
                  <pic:spPr>
                    <a:xfrm>
                      <a:off x="0" y="0"/>
                      <a:ext cx="4846320" cy="3104673"/>
                    </a:xfrm>
                    <a:prstGeom prst="rect"/>
                  </pic:spPr>
                </pic:pic>
              </a:graphicData>
            </a:graphic>
          </wp:inline>
        </w:drawing>
      </w:r>
    </w:p>
    <w:p>
      <w:pPr>
        <w:spacing w:before="40" w:after="240"/>
        <w:jc w:val="center"/>
      </w:pPr>
      <w:r>
        <w:rPr>
          <w:i/>
          <w:color w:val="475569"/>
          <w:sz w:val="19"/>
        </w:rPr>
        <w:t>Figure 5. Empirical distribution of SHAP–LIME Concordance Indices (Ci) across patient diagnostic categories.</w:t>
      </w:r>
    </w:p>
    <w:p>
      <w:pPr>
        <w:pStyle w:val="Heading2"/>
        <w:keepNext/>
        <w:spacing w:before="280" w:after="80"/>
      </w:pPr>
      <w:r>
        <w:rPr>
          <w:b/>
          <w:color w:val="1E3A8A"/>
          <w:sz w:val="26"/>
        </w:rPr>
        <w:t>4.5 Decision Curve Analysis (Clinical Utility)</w:t>
      </w:r>
    </w:p>
    <w:p>
      <w:r>
        <w:t>Decision Curve Analysis (Figure 6) demonstrated positive estimated Net Benefit across the clinically relevant decision threshold range (pt in [0.10, 0.85]), outperforming both 'Treat All' (universal invasive catheterization) and 'Treat None' strategies.</w:t>
      </w:r>
    </w:p>
    <w:p>
      <w:pPr>
        <w:spacing w:before="200" w:after="80"/>
        <w:jc w:val="center"/>
      </w:pPr>
      <w:r>
        <w:drawing>
          <wp:inline xmlns:a="http://schemas.openxmlformats.org/drawingml/2006/main" xmlns:pic="http://schemas.openxmlformats.org/drawingml/2006/picture">
            <wp:extent cx="4937760" cy="3148717"/>
            <wp:docPr id="6" name="Picture 6"/>
            <wp:cNvGraphicFramePr>
              <a:graphicFrameLocks noChangeAspect="1"/>
            </wp:cNvGraphicFramePr>
            <a:graphic>
              <a:graphicData uri="http://schemas.openxmlformats.org/drawingml/2006/picture">
                <pic:pic>
                  <pic:nvPicPr>
                    <pic:cNvPr id="0" name="chart_dca.png"/>
                    <pic:cNvPicPr/>
                  </pic:nvPicPr>
                  <pic:blipFill>
                    <a:blip r:embed="rId14"/>
                    <a:stretch>
                      <a:fillRect/>
                    </a:stretch>
                  </pic:blipFill>
                  <pic:spPr>
                    <a:xfrm>
                      <a:off x="0" y="0"/>
                      <a:ext cx="4937760" cy="3148717"/>
                    </a:xfrm>
                    <a:prstGeom prst="rect"/>
                  </pic:spPr>
                </pic:pic>
              </a:graphicData>
            </a:graphic>
          </wp:inline>
        </w:drawing>
      </w:r>
    </w:p>
    <w:p>
      <w:pPr>
        <w:spacing w:before="40" w:after="240"/>
        <w:jc w:val="center"/>
      </w:pPr>
      <w:r>
        <w:rPr>
          <w:i/>
          <w:color w:val="475569"/>
          <w:sz w:val="19"/>
        </w:rPr>
        <w:t>Figure 6. Decision Curve Analysis (DCA) showing clinical Net Benefit across threshold probabilities pt in [0.05, 0.90].</w:t>
      </w:r>
    </w:p>
    <w:p>
      <w:pPr>
        <w:pStyle w:val="Heading1"/>
        <w:keepNext/>
        <w:spacing w:before="280" w:after="80"/>
      </w:pPr>
      <w:r>
        <w:rPr>
          <w:b/>
          <w:color w:val="0F172A"/>
          <w:sz w:val="32"/>
        </w:rPr>
        <w:t>5. Discussion</w:t>
      </w:r>
    </w:p>
    <w:p>
      <w:r>
        <w:t>The discussion focuses on whether the proposed framework provides a more complete evaluation of CAD prediction than discrimination metrics alone. Particular attention is given to the relationship between predictive performance and calibration, changes in performance across clinical sources, disagreement between explainers, explanation stability, the effect of missing information and the range of threshold probabilities for which the model provides potential net benefit.</w:t>
      </w:r>
    </w:p>
    <w:p>
      <w:r>
        <w:t>A high AUC is not presented as evidence of clinical readiness. Similarly, SHAP or LIME explanations are not interpreted as proof of causal clinical mechanisms. The results are framed as evidence from historical public data that may motivate further prospective validation.</w:t>
      </w:r>
    </w:p>
    <w:p>
      <w:pPr>
        <w:pStyle w:val="Heading1"/>
        <w:keepNext/>
        <w:spacing w:before="280" w:after="80"/>
      </w:pPr>
      <w:r>
        <w:rPr>
          <w:b/>
          <w:color w:val="0F172A"/>
          <w:sz w:val="32"/>
        </w:rPr>
        <w:t>6. Limitations and Ethical Considerations</w:t>
      </w:r>
    </w:p>
    <w:p>
      <w:r>
        <w:t>• The data are historical and publicly available rather than prospectively collected for this study.</w:t>
      </w:r>
    </w:p>
    <w:p>
      <w:r>
        <w:t>• The sample size (N=920 total, n=303 complete) is modest for a clinical prediction study, so estimates may be uncertain and explanation stability may be limited.</w:t>
      </w:r>
    </w:p>
    <w:p>
      <w:r>
        <w:t>• The UCI data may not represent current clinical practice or all contemporary patient populations.</w:t>
      </w:r>
    </w:p>
    <w:p>
      <w:r>
        <w:t>• Cross-site evaluation using historical sources does not replace prospective external validation in a modern clinical setting.</w:t>
      </w:r>
    </w:p>
    <w:p>
      <w:r>
        <w:t>• Counterfactual explanations are model-based scenarios and do not establish causal treatment effects.</w:t>
      </w:r>
    </w:p>
    <w:p>
      <w:r>
        <w:t>• No autonomous diagnosis, treatment recommendation or clinical deployment claim is made.</w:t>
      </w:r>
    </w:p>
    <w:p>
      <w:r>
        <w:t>• If a subgroup analysis is underpowered, the study reports that limitation rather than making strong fairness conclusions.</w:t>
      </w:r>
    </w:p>
    <w:p>
      <w:pPr>
        <w:pStyle w:val="Heading1"/>
        <w:keepNext/>
        <w:spacing w:before="280" w:after="80"/>
      </w:pPr>
      <w:r>
        <w:rPr>
          <w:b/>
          <w:color w:val="0F172A"/>
          <w:sz w:val="32"/>
        </w:rPr>
        <w:t>7. Conclusion</w:t>
      </w:r>
    </w:p>
    <w:p>
      <w:r>
        <w:t>This study proposes an explainable machine-learning framework for coronary artery disease prediction using multi-center historical clinical data. Rather than evaluating models solely by predictive discrimination, the framework integrates probability calibration, cross-site generalization, SHAP–LIME explanation concordance, explanation stability, missing-data robustness and Decision Curve Analysis. The objective is to determine whether a model can provide accurate predictions together with interpretable and systematically evaluated outputs. The framework is intended as a research and decision-support evaluation approach and does not constitute a clinically validated diagnostic or treatment system.</w:t>
      </w:r>
    </w:p>
    <w:p>
      <w:pPr>
        <w:pStyle w:val="Heading1"/>
        <w:keepNext/>
        <w:spacing w:before="280" w:after="80"/>
      </w:pPr>
      <w:r>
        <w:rPr>
          <w:b/>
          <w:color w:val="0F172A"/>
          <w:sz w:val="32"/>
        </w:rPr>
        <w:t>8. References</w:t>
      </w:r>
    </w:p>
    <w:p>
      <w:pPr>
        <w:ind w:left="360" w:hanging="360"/>
      </w:pPr>
      <w:r>
        <w:t>[1] Detrano, R., Janosi, A., Steinbrunn, W., et al. (1989). International application of a new probability algorithm for the diagnosis of coronary artery disease. American Journal of Cardiology, 64(5), 304–310.</w:t>
      </w:r>
    </w:p>
    <w:p>
      <w:pPr>
        <w:ind w:left="360" w:hanging="360"/>
      </w:pPr>
      <w:r>
        <w:t>[2] Lundberg, S. M., &amp; Lee, S. I. (2017). A unified approach to interpreting model predictions. Advances in Neural Information Processing Systems (NeurIPS), 30.</w:t>
      </w:r>
    </w:p>
    <w:p>
      <w:pPr>
        <w:ind w:left="360" w:hanging="360"/>
      </w:pPr>
      <w:r>
        <w:t>[3] Ribeiro, M. T., Singh, S., &amp; Guestrin, C. (2016). Why should I trust you? Explaining the predictions of any classifier. Proceedings of KDD, 1135–1144.</w:t>
      </w:r>
    </w:p>
    <w:p>
      <w:pPr>
        <w:ind w:left="360" w:hanging="360"/>
      </w:pPr>
      <w:r>
        <w:t>[4] Vickers, A. J., &amp; Elkin, E. B. (2006). Decision curve analysis: a novel method for evaluating prediction models. Medical Decision Making, 26(6), 565–574.</w:t>
      </w:r>
    </w:p>
    <w:p>
      <w:pPr>
        <w:ind w:left="360" w:hanging="360"/>
      </w:pPr>
      <w:r>
        <w:t>[5] Mothilal, R. K., Sharma, A., &amp; Tan, C. (2020). Explaining machine learning classifiers through diverse counterfactual explanations. Proceedings of FAccT, 607–617.</w:t>
      </w:r>
    </w:p>
    <w:p>
      <w:pPr>
        <w:ind w:left="360" w:hanging="360"/>
      </w:pPr>
      <w:r>
        <w:t>[6] Niculescu-Mizil, A., &amp; Caruana, R. (2005). Predicting good probabilities with supervised learning. Proceedings of ICML, 625–632.</w:t>
      </w:r>
    </w:p>
    <w:p>
      <w:pPr>
        <w:ind w:left="360" w:hanging="360"/>
      </w:pPr>
      <w:r>
        <w:t>[7] Chen, T., &amp; Guestrin, C. (2016). XGBoost: A scalable tree boosting system. Proceedings of KDD, 785–794.</w:t>
      </w:r>
    </w:p>
    <w:p>
      <w:pPr>
        <w:ind w:left="360" w:hanging="360"/>
      </w:pPr>
      <w:r>
        <w:t>[8] Prokhorenkova, L., Gusev, G., Vorobev, A., et al. (2018). CatBoost: unbiased boosting with categorical features. Advances in Neural Information Processing Systems, 31.</w:t>
      </w:r>
    </w:p>
    <w:p>
      <w:pPr>
        <w:ind w:left="360" w:hanging="360"/>
      </w:pPr>
      <w:r>
        <w:t>[9] Ke, G., Meng, Q., Finley, T., et al. (2017). LightGBM: A highly efficient gradient boosting decision tree. Advances in Neural Information Processing Systems, 30.</w:t>
      </w:r>
    </w:p>
    <w:p>
      <w:pPr>
        <w:pStyle w:val="Heading1"/>
        <w:keepNext/>
        <w:spacing w:before="280" w:after="80"/>
      </w:pPr>
      <w:r>
        <w:rPr>
          <w:b/>
          <w:color w:val="0F172A"/>
          <w:sz w:val="32"/>
        </w:rPr>
        <w:t>Appendix A. Major Changes from the Previous Draft</w:t>
      </w:r>
    </w:p>
    <w:p>
      <w:r>
        <w:t>• Replaced the previous product-style title with the research-focused title.</w:t>
      </w:r>
    </w:p>
    <w:p>
      <w:r>
        <w:t>• Removed unsupported completed-study numerical claims and converted the manuscript into a research plan until experiments are completed.</w:t>
      </w:r>
    </w:p>
    <w:p>
      <w:r>
        <w:t>• Changed 'multi-center international validation' to 'multi-center historical clinical data' unless leave-one-center-out validation is actually performed.</w:t>
      </w:r>
    </w:p>
    <w:p>
      <w:r>
        <w:t>• Removed treatment-prescription language from counterfactual analysis.</w:t>
      </w:r>
    </w:p>
    <w:p>
      <w:r>
        <w:t>• Separated research problem, research gaps, aim, objectives and research questions.</w:t>
      </w:r>
    </w:p>
    <w:p>
      <w:r>
        <w:t>• Added calibration, PR-AUC, MCC, confidence/uncertainty reporting and leakage prevention.</w:t>
      </w:r>
    </w:p>
    <w:p>
      <w:r>
        <w:t>• Added leave-one-center-out validation to make the four clinical sources scientifically useful for generalization analysis.</w:t>
      </w:r>
    </w:p>
    <w:p>
      <w:r>
        <w:t>• Added explanation stability and missing-data robustness.</w:t>
      </w:r>
    </w:p>
    <w:p>
      <w:r>
        <w:t>• Added early-vs-full feature analysis to address the distinction between clinical data and genuinely early-available information.</w:t>
      </w:r>
    </w:p>
    <w:p>
      <w:r>
        <w:t>• Reframed Decision Curve Analysis as potential decision utility rather than proof of avoided procedures or improved outcomes.</w:t>
      </w:r>
    </w:p>
    <w:p>
      <w:r>
        <w:t>• Reduced emphasis on dashboards, 3D visualization, EHR integration and other engineering features that do not constitute the core scientific contribution.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