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821559888"/>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821559889"/>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821559890"/>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821559891"/>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821559892"/>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821559893"/>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821559894"/>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CW3079252</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Event Marketing</vt:lpwstr>
  </property>
  <property fmtid="{D5CDD505-2E9C-101B-9397-08002B2CF9AE}" pid="13" name="caSupplier.CorporateAddress.PostalAddress.Lines">
    <vt:lpwstr>UNIT 1202 CAPITAL TOWER 6A JIAN GUO</vt:lpwstr>
  </property>
  <property fmtid="{D5CDD505-2E9C-101B-9397-08002B2CF9AE}" pid="14" name="caSupplier.CorporateAddress.PostalAddress.City">
    <vt:lpwstr>BEIJING</vt:lpwstr>
  </property>
  <property fmtid="{D5CDD505-2E9C-101B-9397-08002B2CF9AE}" pid="15" name="caSupplier.CorporateAddress.PostalAddress.State">
    <vt:lpwstr>CN-BJ</vt:lpwstr>
  </property>
  <property fmtid="{D5CDD505-2E9C-101B-9397-08002B2CF9AE}" pid="16" name="caSupplier.CorporateAddress.PostalAddress.PostalCode">
    <vt:lpwstr>100022</vt:lpwstr>
  </property>
  <property fmtid="{D5CDD505-2E9C-101B-9397-08002B2CF9AE}" pid="17" name="caSupplier.CorporateAddress.PostalAddress.Country.Name">
    <vt:lpwstr>China</vt:lpwstr>
  </property>
  <property fmtid="{D5CDD505-2E9C-101B-9397-08002B2CF9AE}" pid="18" name="cacus_ParentCW">
    <vt:lpwstr>4905C20327</vt:lpwstr>
  </property>
  <property fmtid="{D5CDD505-2E9C-101B-9397-08002B2CF9AE}" pid="19" name="cacus_IBMLegalCompanyName">
    <vt:lpwstr>IBM (China) Co., Ltd.</vt:lpwstr>
  </property>
  <property fmtid="{D5CDD505-2E9C-101B-9397-08002B2CF9AE}" pid="20" name="_caAgreementDate">
    <vt:lpwstr>05/15/2020</vt:lpwstr>
  </property>
  <property fmtid="{D5CDD505-2E9C-101B-9397-08002B2CF9AE}" pid="21" name="_caEffectiveDate">
    <vt:lpwstr>01/02/2005</vt:lpwstr>
  </property>
  <property fmtid="{D5CDD505-2E9C-101B-9397-08002B2CF9AE}" pid="22" name="_caExpirationDate">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Yao Wei Han</vt:lpwstr>
  </property>
</Properties>
</file>