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2689902649"/>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2689902650"/>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2689902651"/>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2689902652"/>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2689902653"/>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2689902654"/>
        <w:rPr>
          <w:i/>
        </w:rPr>
      </w:pPr>
      <w:r w:rsidRPr="00956BC3">
        <w:rPr>
          <w:i/>
        </w:rPr>
        <w:t>If you are adopting related SOWs/Master SOW, add the following clause:</w:t>
      </w:r>
    </w:p>
    <w:p w14:paraId="2161575A" w14:textId="77777777" w:rsidR="00956BC3" w:rsidRPr="00956BC3" w:rsidRDefault="00D32AA8" w:rsidP="00956BC3">
      <w:pPr>
        <w:pStyle w:val="IBMBody"/>
        <w:divId w:val="2689902655"/>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2689902656"/>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2689902657"/>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2689902658"/>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2689902659"/>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2689902660"/>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2689902661"/>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2689902662"/>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2689902663"/>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2689902664"/>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2689902665"/>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CW3116853</vt:lpwstr>
  </property>
  <property fmtid="{D5CDD505-2E9C-101B-9397-08002B2CF9AE}" pid="6" name="caBuyer">
    <vt:lpwstr>IBM Corporation</vt:lpwstr>
  </property>
  <property fmtid="{D5CDD505-2E9C-101B-9397-08002B2CF9AE}" pid="7" name="caSupplier">
    <vt:lpwstr>Salesforce com Singapore Pte Ltd</vt:lpwstr>
  </property>
  <property fmtid="{D5CDD505-2E9C-101B-9397-08002B2CF9AE}" pid="8" name="caSupplier.CorporateAddress.PostalAddress.Lines">
    <vt:lpwstr> </vt:lpwstr>
  </property>
  <property fmtid="{D5CDD505-2E9C-101B-9397-08002B2CF9AE}" pid="9" name="caSupplier.CorporateAddress.PostalAddress.City">
    <vt:lpwstr> </vt:lpwstr>
  </property>
  <property fmtid="{D5CDD505-2E9C-101B-9397-08002B2CF9AE}" pid="10" name="caSupplier.CorporateAddress.PostalAddress.State">
    <vt:lpwstr> </vt:lpwstr>
  </property>
  <property fmtid="{D5CDD505-2E9C-101B-9397-08002B2CF9AE}" pid="11" name="caSupplier.CorporateAddress.PostalAddress.PostalCode">
    <vt:lpwstr> </vt:lpwstr>
  </property>
  <property fmtid="{D5CDD505-2E9C-101B-9397-08002B2CF9AE}" pid="12" name="caSupplier.CorporateAddress.PostalAddress.Country.Name">
    <vt:lpwstr> </vt:lpwstr>
  </property>
  <property fmtid="{D5CDD505-2E9C-101B-9397-08002B2CF9AE}" pid="13" name="cacus_ParentCW">
    <vt:lpwstr>CW3113769</vt:lpwstr>
  </property>
  <property fmtid="{D5CDD505-2E9C-101B-9397-08002B2CF9AE}" pid="14" name="cacus_IBMLegalCompanyName">
    <vt:lpwstr>IBM Malaysia Sdn. Bhd.</vt:lpwstr>
  </property>
  <property fmtid="{D5CDD505-2E9C-101B-9397-08002B2CF9AE}" pid="15" name="cacus_IBMLegalCompanyAddress">
    <vt:lpwstr>19th Floor, Plaza IBM, No 8 First Avenue, Persiaran Bandar Utama, Petaling Jaya, , MY, 47800</vt:lpwstr>
  </property>
  <property fmtid="{D5CDD505-2E9C-101B-9397-08002B2CF9AE}" pid="16" name="cacus_ProjectOwnerName">
    <vt:lpwstr>SARASWATHI DHEENAN</vt:lpwstr>
  </property>
</Properties>
</file>