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A524EE" wp14:paraId="5C3A068C" wp14:textId="67FCFCFE">
      <w:pPr>
        <w:pStyle w:val="Heading2"/>
        <w:rPr>
          <w:rFonts w:ascii="system-ui" w:hAnsi="system-ui" w:eastAsia="system-ui" w:cs="system-ui"/>
          <w:b w:val="1"/>
          <w:bCs w:val="1"/>
          <w:i w:val="0"/>
          <w:iCs w:val="0"/>
          <w:caps w:val="0"/>
          <w:smallCaps w:val="0"/>
          <w:noProof w:val="0"/>
          <w:sz w:val="40"/>
          <w:szCs w:val="40"/>
          <w:lang w:val="en-US"/>
        </w:rPr>
      </w:pPr>
      <w:r w:rsidRPr="4CA524EE" w:rsidR="4CA524EE">
        <w:rPr>
          <w:rFonts w:ascii="system-ui" w:hAnsi="system-ui" w:eastAsia="system-ui" w:cs="system-ui"/>
          <w:b w:val="1"/>
          <w:bCs w:val="1"/>
          <w:i w:val="0"/>
          <w:iCs w:val="0"/>
          <w:caps w:val="0"/>
          <w:smallCaps w:val="0"/>
          <w:noProof w:val="0"/>
          <w:color w:val="auto"/>
          <w:sz w:val="40"/>
          <w:szCs w:val="40"/>
          <w:lang w:val="en-US"/>
        </w:rPr>
        <w:t>Overview</w:t>
      </w:r>
    </w:p>
    <w:p xmlns:wp14="http://schemas.microsoft.com/office/word/2010/wordml" w:rsidP="4CA524EE" wp14:paraId="03CF9EA6" wp14:textId="14F16C9A">
      <w:pPr>
        <w:spacing w:before="0" w:beforeAutospacing="off"/>
      </w:pPr>
      <w:r w:rsidRPr="4CA524EE" w:rsidR="4CA524EE">
        <w:rPr>
          <w:rFonts w:ascii="system-ui" w:hAnsi="system-ui" w:eastAsia="system-ui" w:cs="system-ui"/>
          <w:b w:val="0"/>
          <w:bCs w:val="0"/>
          <w:i w:val="0"/>
          <w:iCs w:val="0"/>
          <w:caps w:val="0"/>
          <w:smallCaps w:val="0"/>
          <w:noProof w:val="0"/>
          <w:color w:val="374151"/>
          <w:sz w:val="24"/>
          <w:szCs w:val="24"/>
          <w:lang w:val="en-US"/>
        </w:rPr>
        <w:t>This Solidity smart contract implements a basic ERC721-compliant Non-Fungible Token (NFT) contract with additional functionalities. The contract allows users to mint new NFTs, set metadata, and configure various parameters. It also includes ownership management using the Ownable contract from the OpenZeppelin library.</w:t>
      </w:r>
    </w:p>
    <w:p xmlns:wp14="http://schemas.microsoft.com/office/word/2010/wordml" w:rsidP="4CA524EE" wp14:paraId="557C2B3E" wp14:textId="1EF2FF5B">
      <w:pPr>
        <w:pStyle w:val="Heading2"/>
        <w:rPr>
          <w:rFonts w:ascii="system-ui" w:hAnsi="system-ui" w:eastAsia="system-ui" w:cs="system-ui"/>
          <w:b w:val="1"/>
          <w:bCs w:val="1"/>
          <w:i w:val="0"/>
          <w:iCs w:val="0"/>
          <w:caps w:val="0"/>
          <w:smallCaps w:val="0"/>
          <w:noProof w:val="0"/>
          <w:color w:val="auto"/>
          <w:sz w:val="32"/>
          <w:szCs w:val="32"/>
          <w:lang w:val="en-US"/>
        </w:rPr>
      </w:pPr>
      <w:r w:rsidRPr="4CA524EE" w:rsidR="4CA524EE">
        <w:rPr>
          <w:rFonts w:ascii="system-ui" w:hAnsi="system-ui" w:eastAsia="system-ui" w:cs="system-ui"/>
          <w:b w:val="1"/>
          <w:bCs w:val="1"/>
          <w:i w:val="0"/>
          <w:iCs w:val="0"/>
          <w:caps w:val="0"/>
          <w:smallCaps w:val="0"/>
          <w:noProof w:val="0"/>
          <w:color w:val="auto"/>
          <w:sz w:val="32"/>
          <w:szCs w:val="32"/>
          <w:lang w:val="en-US"/>
        </w:rPr>
        <w:t>Contract Details</w:t>
      </w:r>
    </w:p>
    <w:p xmlns:wp14="http://schemas.microsoft.com/office/word/2010/wordml" w:rsidP="4CA524EE" wp14:paraId="05623016" wp14:textId="2ED713C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system-ui" w:hAnsi="system-ui" w:eastAsia="system-ui" w:cs="system-ui"/>
          <w:b w:val="1"/>
          <w:bCs w:val="1"/>
          <w:i w:val="0"/>
          <w:iCs w:val="0"/>
          <w:caps w:val="0"/>
          <w:smallCaps w:val="0"/>
          <w:noProof w:val="0"/>
          <w:color w:val="374151"/>
          <w:sz w:val="24"/>
          <w:szCs w:val="24"/>
          <w:lang w:val="en-US"/>
        </w:rPr>
        <w:t>License</w:t>
      </w:r>
      <w:r w:rsidRPr="4CA524EE" w:rsidR="4CA524EE">
        <w:rPr>
          <w:rFonts w:ascii="system-ui" w:hAnsi="system-ui" w:eastAsia="system-ui" w:cs="system-ui"/>
          <w:b w:val="0"/>
          <w:bCs w:val="0"/>
          <w:i w:val="0"/>
          <w:iCs w:val="0"/>
          <w:caps w:val="0"/>
          <w:smallCaps w:val="0"/>
          <w:noProof w:val="0"/>
          <w:color w:val="374151"/>
          <w:sz w:val="24"/>
          <w:szCs w:val="24"/>
          <w:lang w:val="en-US"/>
        </w:rPr>
        <w:t>: MIT License</w:t>
      </w:r>
    </w:p>
    <w:p xmlns:wp14="http://schemas.microsoft.com/office/word/2010/wordml" w:rsidP="4CA524EE" wp14:paraId="54651810" wp14:textId="59E482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system-ui" w:hAnsi="system-ui" w:eastAsia="system-ui" w:cs="system-ui"/>
          <w:b w:val="1"/>
          <w:bCs w:val="1"/>
          <w:i w:val="0"/>
          <w:iCs w:val="0"/>
          <w:caps w:val="0"/>
          <w:smallCaps w:val="0"/>
          <w:noProof w:val="0"/>
          <w:color w:val="374151"/>
          <w:sz w:val="24"/>
          <w:szCs w:val="24"/>
          <w:lang w:val="en-US"/>
        </w:rPr>
        <w:t>Solidity Version Compatibility</w:t>
      </w:r>
      <w:r w:rsidRPr="4CA524EE" w:rsidR="4CA524EE">
        <w:rPr>
          <w:rFonts w:ascii="system-ui" w:hAnsi="system-ui" w:eastAsia="system-ui" w:cs="system-ui"/>
          <w:b w:val="0"/>
          <w:bCs w:val="0"/>
          <w:i w:val="0"/>
          <w:iCs w:val="0"/>
          <w:caps w:val="0"/>
          <w:smallCaps w:val="0"/>
          <w:noProof w:val="0"/>
          <w:color w:val="374151"/>
          <w:sz w:val="24"/>
          <w:szCs w:val="24"/>
          <w:lang w:val="en-US"/>
        </w:rPr>
        <w:t>: &gt;=0.7.0 &lt;0.9.0</w:t>
      </w:r>
    </w:p>
    <w:p xmlns:wp14="http://schemas.microsoft.com/office/word/2010/wordml" w:rsidP="4CA524EE" wp14:paraId="03FF4434" wp14:textId="6A2581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system-ui" w:hAnsi="system-ui" w:eastAsia="system-ui" w:cs="system-ui"/>
          <w:b w:val="1"/>
          <w:bCs w:val="1"/>
          <w:i w:val="0"/>
          <w:iCs w:val="0"/>
          <w:caps w:val="0"/>
          <w:smallCaps w:val="0"/>
          <w:noProof w:val="0"/>
          <w:color w:val="374151"/>
          <w:sz w:val="24"/>
          <w:szCs w:val="24"/>
          <w:lang w:val="en-US"/>
        </w:rPr>
        <w:t>Dependencies</w:t>
      </w:r>
      <w:r w:rsidRPr="4CA524EE" w:rsidR="4CA524EE">
        <w:rPr>
          <w:rFonts w:ascii="system-ui" w:hAnsi="system-ui" w:eastAsia="system-ui" w:cs="system-ui"/>
          <w:b w:val="0"/>
          <w:bCs w:val="0"/>
          <w:i w:val="0"/>
          <w:iCs w:val="0"/>
          <w:caps w:val="0"/>
          <w:smallCaps w:val="0"/>
          <w:noProof w:val="0"/>
          <w:color w:val="374151"/>
          <w:sz w:val="24"/>
          <w:szCs w:val="24"/>
          <w:lang w:val="en-US"/>
        </w:rPr>
        <w:t>: This contract imports two other contracts:</w:t>
      </w:r>
    </w:p>
    <w:p xmlns:wp14="http://schemas.microsoft.com/office/word/2010/wordml" w:rsidP="4CA524EE" wp14:paraId="42D1D082" wp14:textId="792A531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ERC721Enumerable.sol</w:t>
      </w:r>
      <w:r w:rsidRPr="4CA524EE" w:rsidR="4CA524EE">
        <w:rPr>
          <w:rFonts w:ascii="system-ui" w:hAnsi="system-ui" w:eastAsia="system-ui" w:cs="system-ui"/>
          <w:b w:val="0"/>
          <w:bCs w:val="0"/>
          <w:i w:val="0"/>
          <w:iCs w:val="0"/>
          <w:caps w:val="0"/>
          <w:smallCaps w:val="0"/>
          <w:noProof w:val="0"/>
          <w:color w:val="374151"/>
          <w:sz w:val="24"/>
          <w:szCs w:val="24"/>
          <w:lang w:val="en-US"/>
        </w:rPr>
        <w:t>: A standard ERC721 implementation with enumeration support, part of the OpenZeppelin library.</w:t>
      </w:r>
    </w:p>
    <w:p xmlns:wp14="http://schemas.microsoft.com/office/word/2010/wordml" w:rsidP="4CA524EE" wp14:paraId="74528700" wp14:textId="067452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Ownable.sol</w:t>
      </w:r>
      <w:r w:rsidRPr="4CA524EE" w:rsidR="4CA524EE">
        <w:rPr>
          <w:rFonts w:ascii="system-ui" w:hAnsi="system-ui" w:eastAsia="system-ui" w:cs="system-ui"/>
          <w:b w:val="0"/>
          <w:bCs w:val="0"/>
          <w:i w:val="0"/>
          <w:iCs w:val="0"/>
          <w:caps w:val="0"/>
          <w:smallCaps w:val="0"/>
          <w:noProof w:val="0"/>
          <w:color w:val="374151"/>
          <w:sz w:val="24"/>
          <w:szCs w:val="24"/>
          <w:lang w:val="en-US"/>
        </w:rPr>
        <w:t>: A contract from the OpenZeppelin library to manage ownership of the NFT contract.</w:t>
      </w:r>
    </w:p>
    <w:p xmlns:wp14="http://schemas.microsoft.com/office/word/2010/wordml" w:rsidP="4CA524EE" wp14:paraId="7C409BE8" wp14:textId="2B890A9B">
      <w:pPr>
        <w:pStyle w:val="Heading2"/>
        <w:rPr>
          <w:rFonts w:ascii="system-ui" w:hAnsi="system-ui" w:eastAsia="system-ui" w:cs="system-ui"/>
          <w:b w:val="1"/>
          <w:bCs w:val="1"/>
          <w:i w:val="0"/>
          <w:iCs w:val="0"/>
          <w:caps w:val="0"/>
          <w:smallCaps w:val="0"/>
          <w:noProof w:val="0"/>
          <w:color w:val="auto"/>
          <w:sz w:val="32"/>
          <w:szCs w:val="32"/>
          <w:lang w:val="en-US"/>
        </w:rPr>
      </w:pPr>
      <w:r w:rsidRPr="4CA524EE" w:rsidR="4CA524EE">
        <w:rPr>
          <w:rFonts w:ascii="system-ui" w:hAnsi="system-ui" w:eastAsia="system-ui" w:cs="system-ui"/>
          <w:b w:val="1"/>
          <w:bCs w:val="1"/>
          <w:i w:val="0"/>
          <w:iCs w:val="0"/>
          <w:caps w:val="0"/>
          <w:smallCaps w:val="0"/>
          <w:noProof w:val="0"/>
          <w:color w:val="auto"/>
          <w:sz w:val="32"/>
          <w:szCs w:val="32"/>
          <w:lang w:val="en-US"/>
        </w:rPr>
        <w:t>Constructor</w:t>
      </w:r>
    </w:p>
    <w:p xmlns:wp14="http://schemas.microsoft.com/office/word/2010/wordml" w:rsidP="4CA524EE" wp14:paraId="3E12387B" wp14:textId="74C2EDA5">
      <w:pPr>
        <w:spacing w:before="0" w:beforeAutospacing="off"/>
      </w:pPr>
      <w:r w:rsidRPr="4CA524EE" w:rsidR="4CA524EE">
        <w:rPr>
          <w:rFonts w:ascii="system-ui" w:hAnsi="system-ui" w:eastAsia="system-ui" w:cs="system-ui"/>
          <w:b w:val="0"/>
          <w:bCs w:val="0"/>
          <w:i w:val="0"/>
          <w:iCs w:val="0"/>
          <w:caps w:val="0"/>
          <w:smallCaps w:val="0"/>
          <w:noProof w:val="0"/>
          <w:color w:val="374151"/>
          <w:sz w:val="24"/>
          <w:szCs w:val="24"/>
          <w:lang w:val="en-US"/>
        </w:rPr>
        <w:t>The constructor of the contract is used to initialize the contract and set initial values for important parameters.</w:t>
      </w:r>
    </w:p>
    <w:p xmlns:wp14="http://schemas.microsoft.com/office/word/2010/wordml" w:rsidP="4CA524EE" wp14:paraId="69115329" wp14:textId="3AAC1598">
      <w:pPr>
        <w:pStyle w:val="Heading3"/>
        <w:rPr>
          <w:rFonts w:ascii="system-ui" w:hAnsi="system-ui" w:eastAsia="system-ui" w:cs="system-ui"/>
          <w:b w:val="1"/>
          <w:bCs w:val="1"/>
          <w:i w:val="0"/>
          <w:iCs w:val="0"/>
          <w:caps w:val="0"/>
          <w:smallCaps w:val="0"/>
          <w:noProof w:val="0"/>
          <w:sz w:val="22"/>
          <w:szCs w:val="22"/>
          <w:lang w:val="en-US"/>
        </w:rPr>
      </w:pPr>
      <w:r w:rsidRPr="4CA524EE" w:rsidR="4CA524EE">
        <w:rPr>
          <w:rFonts w:ascii="system-ui" w:hAnsi="system-ui" w:eastAsia="system-ui" w:cs="system-ui"/>
          <w:b w:val="1"/>
          <w:bCs w:val="1"/>
          <w:i w:val="0"/>
          <w:iCs w:val="0"/>
          <w:caps w:val="0"/>
          <w:smallCaps w:val="0"/>
          <w:noProof w:val="0"/>
          <w:color w:val="auto"/>
          <w:sz w:val="22"/>
          <w:szCs w:val="22"/>
          <w:lang w:val="en-US"/>
        </w:rPr>
        <w:t>Parameters</w:t>
      </w:r>
    </w:p>
    <w:p xmlns:wp14="http://schemas.microsoft.com/office/word/2010/wordml" w:rsidP="4CA524EE" wp14:paraId="7C82D4BD" wp14:textId="4DADBDC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_name</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name of the NFT collection.</w:t>
      </w:r>
    </w:p>
    <w:p xmlns:wp14="http://schemas.microsoft.com/office/word/2010/wordml" w:rsidP="4CA524EE" wp14:paraId="4AD51CC6" wp14:textId="00DF1C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_symbol</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symbol or ticker for the NFT collection.</w:t>
      </w:r>
    </w:p>
    <w:p xmlns:wp14="http://schemas.microsoft.com/office/word/2010/wordml" w:rsidP="4CA524EE" wp14:paraId="00DE9F5F" wp14:textId="0D0155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_initBaseURI</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base URI for metadata of the NFTs.</w:t>
      </w:r>
    </w:p>
    <w:p xmlns:wp14="http://schemas.microsoft.com/office/word/2010/wordml" w:rsidP="4CA524EE" wp14:paraId="382C4C5A" wp14:textId="33960F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_initNotRevealedUri</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URI for metadata to display when the NFT has not been revealed yet.</w:t>
      </w:r>
    </w:p>
    <w:p xmlns:wp14="http://schemas.microsoft.com/office/word/2010/wordml" w:rsidP="4CA524EE" wp14:paraId="56B75694" wp14:textId="34F8649B">
      <w:pPr>
        <w:pStyle w:val="Heading2"/>
        <w:rPr>
          <w:rFonts w:ascii="system-ui" w:hAnsi="system-ui" w:eastAsia="system-ui" w:cs="system-ui"/>
          <w:b w:val="1"/>
          <w:bCs w:val="1"/>
          <w:i w:val="0"/>
          <w:iCs w:val="0"/>
          <w:caps w:val="0"/>
          <w:smallCaps w:val="0"/>
          <w:noProof w:val="0"/>
          <w:color w:val="auto"/>
          <w:sz w:val="32"/>
          <w:szCs w:val="32"/>
          <w:lang w:val="en-US"/>
        </w:rPr>
      </w:pPr>
      <w:r w:rsidRPr="4CA524EE" w:rsidR="4CA524EE">
        <w:rPr>
          <w:rFonts w:ascii="system-ui" w:hAnsi="system-ui" w:eastAsia="system-ui" w:cs="system-ui"/>
          <w:b w:val="1"/>
          <w:bCs w:val="1"/>
          <w:i w:val="0"/>
          <w:iCs w:val="0"/>
          <w:caps w:val="0"/>
          <w:smallCaps w:val="0"/>
          <w:noProof w:val="0"/>
          <w:color w:val="auto"/>
          <w:sz w:val="32"/>
          <w:szCs w:val="32"/>
          <w:lang w:val="en-US"/>
        </w:rPr>
        <w:t>State Variables</w:t>
      </w:r>
    </w:p>
    <w:p xmlns:wp14="http://schemas.microsoft.com/office/word/2010/wordml" w:rsidP="4CA524EE" wp14:paraId="7BD65FC6" wp14:textId="6A89EBE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baseURI</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base URI for NFT metadata, which will be combined with the token ID and </w:t>
      </w:r>
      <w:r w:rsidRPr="4CA524EE" w:rsidR="4CA524EE">
        <w:rPr>
          <w:rFonts w:ascii="Ubuntu Mono" w:hAnsi="Ubuntu Mono" w:eastAsia="Ubuntu Mono" w:cs="Ubuntu Mono"/>
          <w:b w:val="1"/>
          <w:bCs w:val="1"/>
          <w:i w:val="0"/>
          <w:iCs w:val="0"/>
          <w:caps w:val="0"/>
          <w:smallCaps w:val="0"/>
          <w:noProof w:val="0"/>
          <w:color w:val="374151"/>
          <w:sz w:val="24"/>
          <w:szCs w:val="24"/>
          <w:lang w:val="en-US"/>
        </w:rPr>
        <w:t>baseExtension</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to create the full metadata URI.</w:t>
      </w:r>
    </w:p>
    <w:p xmlns:wp14="http://schemas.microsoft.com/office/word/2010/wordml" w:rsidP="4CA524EE" wp14:paraId="1A9BD886" wp14:textId="2DFD9F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baseExtension</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file extension for the NFT metadata files (e.g., ".json").</w:t>
      </w:r>
    </w:p>
    <w:p xmlns:wp14="http://schemas.microsoft.com/office/word/2010/wordml" w:rsidP="4CA524EE" wp14:paraId="3FE399FA" wp14:textId="345AB9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cost</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(uint256): The cost in ether to mint each NFT.</w:t>
      </w:r>
    </w:p>
    <w:p xmlns:wp14="http://schemas.microsoft.com/office/word/2010/wordml" w:rsidP="4CA524EE" wp14:paraId="150BEE72" wp14:textId="136F07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maxSupply</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(uint256): The maximum total supply limit for the NFT collection.</w:t>
      </w:r>
    </w:p>
    <w:p xmlns:wp14="http://schemas.microsoft.com/office/word/2010/wordml" w:rsidP="4CA524EE" wp14:paraId="716F35FA" wp14:textId="2623AC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maxMintAmount</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(uint256): The maximum number of NFTs that can be minted in a single transaction.</w:t>
      </w:r>
    </w:p>
    <w:p xmlns:wp14="http://schemas.microsoft.com/office/word/2010/wordml" w:rsidP="4CA524EE" wp14:paraId="1E7650E6" wp14:textId="586164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paused</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(bool): A flag to indicate whether the minting process is paused (if set to true, minting is not allowed).</w:t>
      </w:r>
    </w:p>
    <w:p xmlns:wp14="http://schemas.microsoft.com/office/word/2010/wordml" w:rsidP="4CA524EE" wp14:paraId="0175B4C8" wp14:textId="2625508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revealed</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(bool): A flag to indicate whether the NFT collection has been revealed.</w:t>
      </w:r>
    </w:p>
    <w:p xmlns:wp14="http://schemas.microsoft.com/office/word/2010/wordml" w:rsidP="4CA524EE" wp14:paraId="3B19813C" wp14:textId="15CA5F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notRevealedUri</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(string): The URI for metadata to display when the NFT has not been revealed yet.</w:t>
      </w:r>
    </w:p>
    <w:p xmlns:wp14="http://schemas.microsoft.com/office/word/2010/wordml" w:rsidP="4CA524EE" wp14:paraId="0A6E70F6" wp14:textId="22D74C53">
      <w:pPr>
        <w:pStyle w:val="Heading2"/>
        <w:rPr>
          <w:rFonts w:ascii="system-ui" w:hAnsi="system-ui" w:eastAsia="system-ui" w:cs="system-ui"/>
          <w:b w:val="1"/>
          <w:bCs w:val="1"/>
          <w:i w:val="0"/>
          <w:iCs w:val="0"/>
          <w:caps w:val="0"/>
          <w:smallCaps w:val="0"/>
          <w:noProof w:val="0"/>
          <w:color w:val="auto"/>
          <w:sz w:val="28"/>
          <w:szCs w:val="28"/>
          <w:lang w:val="en-US"/>
        </w:rPr>
      </w:pPr>
      <w:r w:rsidRPr="4CA524EE" w:rsidR="4CA524EE">
        <w:rPr>
          <w:rFonts w:ascii="system-ui" w:hAnsi="system-ui" w:eastAsia="system-ui" w:cs="system-ui"/>
          <w:b w:val="1"/>
          <w:bCs w:val="1"/>
          <w:i w:val="0"/>
          <w:iCs w:val="0"/>
          <w:caps w:val="0"/>
          <w:smallCaps w:val="0"/>
          <w:noProof w:val="0"/>
          <w:color w:val="auto"/>
          <w:sz w:val="28"/>
          <w:szCs w:val="28"/>
          <w:lang w:val="en-US"/>
        </w:rPr>
        <w:t>Modifiers</w:t>
      </w:r>
    </w:p>
    <w:p xmlns:wp14="http://schemas.microsoft.com/office/word/2010/wordml" w:rsidP="4CA524EE" wp14:paraId="4E3284CF" wp14:textId="51C261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onlyOwner</w:t>
      </w:r>
      <w:r w:rsidRPr="4CA524EE" w:rsidR="4CA524EE">
        <w:rPr>
          <w:rFonts w:ascii="system-ui" w:hAnsi="system-ui" w:eastAsia="system-ui" w:cs="system-ui"/>
          <w:b w:val="0"/>
          <w:bCs w:val="0"/>
          <w:i w:val="0"/>
          <w:iCs w:val="0"/>
          <w:caps w:val="0"/>
          <w:smallCaps w:val="0"/>
          <w:noProof w:val="0"/>
          <w:color w:val="374151"/>
          <w:sz w:val="24"/>
          <w:szCs w:val="24"/>
          <w:lang w:val="en-US"/>
        </w:rPr>
        <w:t>: A custom modifier used in various functions to restrict access to the contract owner.</w:t>
      </w:r>
    </w:p>
    <w:p xmlns:wp14="http://schemas.microsoft.com/office/word/2010/wordml" w:rsidP="4CA524EE" wp14:paraId="376F5128" wp14:textId="4997B03F">
      <w:pPr>
        <w:pStyle w:val="Heading2"/>
        <w:rPr>
          <w:rFonts w:ascii="system-ui" w:hAnsi="system-ui" w:eastAsia="system-ui" w:cs="system-ui"/>
          <w:b w:val="1"/>
          <w:bCs w:val="1"/>
          <w:i w:val="0"/>
          <w:iCs w:val="0"/>
          <w:caps w:val="0"/>
          <w:smallCaps w:val="0"/>
          <w:noProof w:val="0"/>
          <w:sz w:val="30"/>
          <w:szCs w:val="30"/>
          <w:lang w:val="en-US"/>
        </w:rPr>
      </w:pPr>
      <w:r w:rsidRPr="4CA524EE" w:rsidR="4CA524EE">
        <w:rPr>
          <w:rFonts w:ascii="system-ui" w:hAnsi="system-ui" w:eastAsia="system-ui" w:cs="system-ui"/>
          <w:b w:val="1"/>
          <w:bCs w:val="1"/>
          <w:i w:val="0"/>
          <w:iCs w:val="0"/>
          <w:caps w:val="0"/>
          <w:smallCaps w:val="0"/>
          <w:noProof w:val="0"/>
          <w:color w:val="auto"/>
          <w:sz w:val="30"/>
          <w:szCs w:val="30"/>
          <w:lang w:val="en-US"/>
        </w:rPr>
        <w:t>Functions</w:t>
      </w:r>
    </w:p>
    <w:p xmlns:wp14="http://schemas.microsoft.com/office/word/2010/wordml" w:rsidP="4CA524EE" wp14:paraId="3F77887C" wp14:textId="4E39BA01">
      <w:pPr>
        <w:spacing w:before="0" w:beforeAutospacing="off"/>
      </w:pPr>
      <w:r w:rsidRPr="4CA524EE" w:rsidR="4CA524EE">
        <w:rPr>
          <w:rFonts w:ascii="system-ui" w:hAnsi="system-ui" w:eastAsia="system-ui" w:cs="system-ui"/>
          <w:b w:val="0"/>
          <w:bCs w:val="0"/>
          <w:i w:val="0"/>
          <w:iCs w:val="0"/>
          <w:caps w:val="0"/>
          <w:smallCaps w:val="0"/>
          <w:noProof w:val="0"/>
          <w:color w:val="374151"/>
          <w:sz w:val="24"/>
          <w:szCs w:val="24"/>
          <w:lang w:val="en-US"/>
        </w:rPr>
        <w:t>The contract provides several external functions to interact with and manage the NFT collection:</w:t>
      </w:r>
    </w:p>
    <w:p xmlns:wp14="http://schemas.microsoft.com/office/word/2010/wordml" w:rsidP="4CA524EE" wp14:paraId="7A1AD0DB" wp14:textId="4FE976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mint(uint256 _mintAmount)</w:t>
      </w:r>
      <w:r w:rsidRPr="4CA524EE" w:rsidR="4CA524EE">
        <w:rPr>
          <w:rFonts w:ascii="system-ui" w:hAnsi="system-ui" w:eastAsia="system-ui" w:cs="system-ui"/>
          <w:b w:val="0"/>
          <w:bCs w:val="0"/>
          <w:i w:val="0"/>
          <w:iCs w:val="0"/>
          <w:caps w:val="0"/>
          <w:smallCaps w:val="0"/>
          <w:noProof w:val="0"/>
          <w:color w:val="374151"/>
          <w:sz w:val="24"/>
          <w:szCs w:val="24"/>
          <w:lang w:val="en-US"/>
        </w:rPr>
        <w:t>: Allows users to mint new NFTs. It requires that the minting process is not paused, the minting amount is within the maximum limit, and the total supply doesn't exceed the maximum supply. Non-owner users are also required to send enough ether to cover the minting cost.</w:t>
      </w:r>
    </w:p>
    <w:p xmlns:wp14="http://schemas.microsoft.com/office/word/2010/wordml" w:rsidP="4CA524EE" wp14:paraId="6F1C26B8" wp14:textId="76471A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walletOfOwner(address _owner)</w:t>
      </w:r>
      <w:r w:rsidRPr="4CA524EE" w:rsidR="4CA524EE">
        <w:rPr>
          <w:rFonts w:ascii="system-ui" w:hAnsi="system-ui" w:eastAsia="system-ui" w:cs="system-ui"/>
          <w:b w:val="0"/>
          <w:bCs w:val="0"/>
          <w:i w:val="0"/>
          <w:iCs w:val="0"/>
          <w:caps w:val="0"/>
          <w:smallCaps w:val="0"/>
          <w:noProof w:val="0"/>
          <w:color w:val="374151"/>
          <w:sz w:val="24"/>
          <w:szCs w:val="24"/>
          <w:lang w:val="en-US"/>
        </w:rPr>
        <w:t>: Retrieves an array of token IDs owned by a specific address (owner).</w:t>
      </w:r>
    </w:p>
    <w:p xmlns:wp14="http://schemas.microsoft.com/office/word/2010/wordml" w:rsidP="4CA524EE" wp14:paraId="5C9CE3BD" wp14:textId="363341C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tokenURI(uint256 tokenId)</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Retrieves the URI for the metadata of a specific token. If the collection has not been revealed, it returns the </w:t>
      </w:r>
      <w:r w:rsidRPr="4CA524EE" w:rsidR="4CA524EE">
        <w:rPr>
          <w:rFonts w:ascii="Ubuntu Mono" w:hAnsi="Ubuntu Mono" w:eastAsia="Ubuntu Mono" w:cs="Ubuntu Mono"/>
          <w:b w:val="1"/>
          <w:bCs w:val="1"/>
          <w:i w:val="0"/>
          <w:iCs w:val="0"/>
          <w:caps w:val="0"/>
          <w:smallCaps w:val="0"/>
          <w:noProof w:val="0"/>
          <w:color w:val="374151"/>
          <w:sz w:val="24"/>
          <w:szCs w:val="24"/>
          <w:lang w:val="en-US"/>
        </w:rPr>
        <w:t>notRevealedUri</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Otherwise, it constructs the full metadata URI using the </w:t>
      </w:r>
      <w:r w:rsidRPr="4CA524EE" w:rsidR="4CA524EE">
        <w:rPr>
          <w:rFonts w:ascii="Ubuntu Mono" w:hAnsi="Ubuntu Mono" w:eastAsia="Ubuntu Mono" w:cs="Ubuntu Mono"/>
          <w:b w:val="1"/>
          <w:bCs w:val="1"/>
          <w:i w:val="0"/>
          <w:iCs w:val="0"/>
          <w:caps w:val="0"/>
          <w:smallCaps w:val="0"/>
          <w:noProof w:val="0"/>
          <w:color w:val="374151"/>
          <w:sz w:val="24"/>
          <w:szCs w:val="24"/>
          <w:lang w:val="en-US"/>
        </w:rPr>
        <w:t>baseURI</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token ID, and </w:t>
      </w:r>
      <w:r w:rsidRPr="4CA524EE" w:rsidR="4CA524EE">
        <w:rPr>
          <w:rFonts w:ascii="Ubuntu Mono" w:hAnsi="Ubuntu Mono" w:eastAsia="Ubuntu Mono" w:cs="Ubuntu Mono"/>
          <w:b w:val="1"/>
          <w:bCs w:val="1"/>
          <w:i w:val="0"/>
          <w:iCs w:val="0"/>
          <w:caps w:val="0"/>
          <w:smallCaps w:val="0"/>
          <w:noProof w:val="0"/>
          <w:color w:val="374151"/>
          <w:sz w:val="24"/>
          <w:szCs w:val="24"/>
          <w:lang w:val="en-US"/>
        </w:rPr>
        <w:t>baseExtension</w:t>
      </w:r>
      <w:r w:rsidRPr="4CA524EE" w:rsidR="4CA524EE">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rsidP="4CA524EE" wp14:paraId="60A950B6" wp14:textId="7E98A0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reveal()</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Allows the contract owner to reveal the NFT collection by setting the </w:t>
      </w:r>
      <w:r w:rsidRPr="4CA524EE" w:rsidR="4CA524EE">
        <w:rPr>
          <w:rFonts w:ascii="Ubuntu Mono" w:hAnsi="Ubuntu Mono" w:eastAsia="Ubuntu Mono" w:cs="Ubuntu Mono"/>
          <w:b w:val="1"/>
          <w:bCs w:val="1"/>
          <w:i w:val="0"/>
          <w:iCs w:val="0"/>
          <w:caps w:val="0"/>
          <w:smallCaps w:val="0"/>
          <w:noProof w:val="0"/>
          <w:color w:val="374151"/>
          <w:sz w:val="24"/>
          <w:szCs w:val="24"/>
          <w:lang w:val="en-US"/>
        </w:rPr>
        <w:t>revealed</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flag to true.</w:t>
      </w:r>
    </w:p>
    <w:p xmlns:wp14="http://schemas.microsoft.com/office/word/2010/wordml" w:rsidP="4CA524EE" wp14:paraId="657968FC" wp14:textId="73792E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setCost(uint256 _newCost)</w:t>
      </w:r>
      <w:r w:rsidRPr="4CA524EE" w:rsidR="4CA524EE">
        <w:rPr>
          <w:rFonts w:ascii="system-ui" w:hAnsi="system-ui" w:eastAsia="system-ui" w:cs="system-ui"/>
          <w:b w:val="0"/>
          <w:bCs w:val="0"/>
          <w:i w:val="0"/>
          <w:iCs w:val="0"/>
          <w:caps w:val="0"/>
          <w:smallCaps w:val="0"/>
          <w:noProof w:val="0"/>
          <w:color w:val="374151"/>
          <w:sz w:val="24"/>
          <w:szCs w:val="24"/>
          <w:lang w:val="en-US"/>
        </w:rPr>
        <w:t>: Allows the contract owner to set the new minting cost.</w:t>
      </w:r>
    </w:p>
    <w:p xmlns:wp14="http://schemas.microsoft.com/office/word/2010/wordml" w:rsidP="4CA524EE" wp14:paraId="40DEE357" wp14:textId="229500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setmaxMintAmount(uint256 _newmaxMintAmount)</w:t>
      </w:r>
      <w:r w:rsidRPr="4CA524EE" w:rsidR="4CA524EE">
        <w:rPr>
          <w:rFonts w:ascii="system-ui" w:hAnsi="system-ui" w:eastAsia="system-ui" w:cs="system-ui"/>
          <w:b w:val="0"/>
          <w:bCs w:val="0"/>
          <w:i w:val="0"/>
          <w:iCs w:val="0"/>
          <w:caps w:val="0"/>
          <w:smallCaps w:val="0"/>
          <w:noProof w:val="0"/>
          <w:color w:val="374151"/>
          <w:sz w:val="24"/>
          <w:szCs w:val="24"/>
          <w:lang w:val="en-US"/>
        </w:rPr>
        <w:t>: Allows the contract owner to set the new maximum minting amount.</w:t>
      </w:r>
    </w:p>
    <w:p xmlns:wp14="http://schemas.microsoft.com/office/word/2010/wordml" w:rsidP="4CA524EE" wp14:paraId="28E2A395" wp14:textId="5A9693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setNotRevealedURI(string memory _notRevealedURI)</w:t>
      </w:r>
      <w:r w:rsidRPr="4CA524EE" w:rsidR="4CA524EE">
        <w:rPr>
          <w:rFonts w:ascii="system-ui" w:hAnsi="system-ui" w:eastAsia="system-ui" w:cs="system-ui"/>
          <w:b w:val="0"/>
          <w:bCs w:val="0"/>
          <w:i w:val="0"/>
          <w:iCs w:val="0"/>
          <w:caps w:val="0"/>
          <w:smallCaps w:val="0"/>
          <w:noProof w:val="0"/>
          <w:color w:val="374151"/>
          <w:sz w:val="24"/>
          <w:szCs w:val="24"/>
          <w:lang w:val="en-US"/>
        </w:rPr>
        <w:t>: Allows the contract owner to set the URI for metadata when the NFT is not revealed yet.</w:t>
      </w:r>
    </w:p>
    <w:p xmlns:wp14="http://schemas.microsoft.com/office/word/2010/wordml" w:rsidP="4CA524EE" wp14:paraId="4E3A03B7" wp14:textId="550F401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setBaseURI(string memory _newBaseURI)</w:t>
      </w:r>
      <w:r w:rsidRPr="4CA524EE" w:rsidR="4CA524EE">
        <w:rPr>
          <w:rFonts w:ascii="system-ui" w:hAnsi="system-ui" w:eastAsia="system-ui" w:cs="system-ui"/>
          <w:b w:val="0"/>
          <w:bCs w:val="0"/>
          <w:i w:val="0"/>
          <w:iCs w:val="0"/>
          <w:caps w:val="0"/>
          <w:smallCaps w:val="0"/>
          <w:noProof w:val="0"/>
          <w:color w:val="374151"/>
          <w:sz w:val="24"/>
          <w:szCs w:val="24"/>
          <w:lang w:val="en-US"/>
        </w:rPr>
        <w:t>: Allows the contract owner to set the new base URI for NFT metadata.</w:t>
      </w:r>
    </w:p>
    <w:p xmlns:wp14="http://schemas.microsoft.com/office/word/2010/wordml" w:rsidP="4CA524EE" wp14:paraId="7086AF0C" wp14:textId="497E26B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setBaseExtension(string memory _newBaseExtension)</w:t>
      </w:r>
      <w:r w:rsidRPr="4CA524EE" w:rsidR="4CA524EE">
        <w:rPr>
          <w:rFonts w:ascii="system-ui" w:hAnsi="system-ui" w:eastAsia="system-ui" w:cs="system-ui"/>
          <w:b w:val="0"/>
          <w:bCs w:val="0"/>
          <w:i w:val="0"/>
          <w:iCs w:val="0"/>
          <w:caps w:val="0"/>
          <w:smallCaps w:val="0"/>
          <w:noProof w:val="0"/>
          <w:color w:val="374151"/>
          <w:sz w:val="24"/>
          <w:szCs w:val="24"/>
          <w:lang w:val="en-US"/>
        </w:rPr>
        <w:t>: Allows the contract owner to set the new file extension for NFT metadata.</w:t>
      </w:r>
    </w:p>
    <w:p xmlns:wp14="http://schemas.microsoft.com/office/word/2010/wordml" w:rsidP="4CA524EE" wp14:paraId="0D24D803" wp14:textId="0B2C25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pause(bool _state)</w:t>
      </w:r>
      <w:r w:rsidRPr="4CA524EE" w:rsidR="4CA524EE">
        <w:rPr>
          <w:rFonts w:ascii="system-ui" w:hAnsi="system-ui" w:eastAsia="system-ui" w:cs="system-ui"/>
          <w:b w:val="0"/>
          <w:bCs w:val="0"/>
          <w:i w:val="0"/>
          <w:iCs w:val="0"/>
          <w:caps w:val="0"/>
          <w:smallCaps w:val="0"/>
          <w:noProof w:val="0"/>
          <w:color w:val="374151"/>
          <w:sz w:val="24"/>
          <w:szCs w:val="24"/>
          <w:lang w:val="en-US"/>
        </w:rPr>
        <w:t>: Allows the contract owner to pause or unpause the minting process.</w:t>
      </w:r>
    </w:p>
    <w:p xmlns:wp14="http://schemas.microsoft.com/office/word/2010/wordml" w:rsidP="4CA524EE" wp14:paraId="5FD09D20" wp14:textId="1548C3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CA524EE" w:rsidR="4CA524EE">
        <w:rPr>
          <w:rFonts w:ascii="Ubuntu Mono" w:hAnsi="Ubuntu Mono" w:eastAsia="Ubuntu Mono" w:cs="Ubuntu Mono"/>
          <w:b w:val="1"/>
          <w:bCs w:val="1"/>
          <w:i w:val="0"/>
          <w:iCs w:val="0"/>
          <w:caps w:val="0"/>
          <w:smallCaps w:val="0"/>
          <w:noProof w:val="0"/>
          <w:color w:val="374151"/>
          <w:sz w:val="24"/>
          <w:szCs w:val="24"/>
          <w:lang w:val="en-US"/>
        </w:rPr>
        <w:t>withdraw()</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Allows the contract owner to withdraw the contract's balance. It sends 5% of the balance to address </w:t>
      </w:r>
      <w:r w:rsidRPr="4CA524EE" w:rsidR="4CA524EE">
        <w:rPr>
          <w:rFonts w:ascii="Ubuntu Mono" w:hAnsi="Ubuntu Mono" w:eastAsia="Ubuntu Mono" w:cs="Ubuntu Mono"/>
          <w:b w:val="1"/>
          <w:bCs w:val="1"/>
          <w:i w:val="0"/>
          <w:iCs w:val="0"/>
          <w:caps w:val="0"/>
          <w:smallCaps w:val="0"/>
          <w:noProof w:val="0"/>
          <w:color w:val="374151"/>
          <w:sz w:val="24"/>
          <w:szCs w:val="24"/>
          <w:lang w:val="en-US"/>
        </w:rPr>
        <w:t>0x943590A42C27D08e3744202c4Ae5eD55c2dE240D</w:t>
      </w:r>
      <w:r w:rsidRPr="4CA524EE" w:rsidR="4CA524EE">
        <w:rPr>
          <w:rFonts w:ascii="system-ui" w:hAnsi="system-ui" w:eastAsia="system-ui" w:cs="system-ui"/>
          <w:b w:val="0"/>
          <w:bCs w:val="0"/>
          <w:i w:val="0"/>
          <w:iCs w:val="0"/>
          <w:caps w:val="0"/>
          <w:smallCaps w:val="0"/>
          <w:noProof w:val="0"/>
          <w:color w:val="374151"/>
          <w:sz w:val="24"/>
          <w:szCs w:val="24"/>
          <w:lang w:val="en-US"/>
        </w:rPr>
        <w:t xml:space="preserve"> as support and the remaining 95% to the contract owner.</w:t>
      </w:r>
    </w:p>
    <w:p xmlns:wp14="http://schemas.microsoft.com/office/word/2010/wordml" w:rsidP="4CA524EE" wp14:paraId="06997AC9" wp14:textId="4B11FA00">
      <w:pPr>
        <w:pStyle w:val="Heading2"/>
      </w:pPr>
      <w:r w:rsidRPr="4CA524EE" w:rsidR="4CA524EE">
        <w:rPr>
          <w:rFonts w:ascii="system-ui" w:hAnsi="system-ui" w:eastAsia="system-ui" w:cs="system-ui"/>
          <w:b w:val="1"/>
          <w:bCs w:val="1"/>
          <w:i w:val="0"/>
          <w:iCs w:val="0"/>
          <w:caps w:val="0"/>
          <w:smallCaps w:val="0"/>
          <w:noProof w:val="0"/>
          <w:color w:val="auto"/>
          <w:sz w:val="24"/>
          <w:szCs w:val="24"/>
          <w:lang w:val="en-US"/>
        </w:rPr>
        <w:t>Note</w:t>
      </w:r>
    </w:p>
    <w:p xmlns:wp14="http://schemas.microsoft.com/office/word/2010/wordml" w:rsidP="4CA524EE" wp14:paraId="2B8C072D" wp14:textId="0E83A6A9">
      <w:pPr>
        <w:spacing w:before="0" w:beforeAutospacing="off" w:after="0" w:afterAutospacing="off"/>
      </w:pPr>
      <w:r w:rsidRPr="4CA524EE" w:rsidR="4CA524EE">
        <w:rPr>
          <w:rFonts w:ascii="system-ui" w:hAnsi="system-ui" w:eastAsia="system-ui" w:cs="system-ui"/>
          <w:b w:val="0"/>
          <w:bCs w:val="0"/>
          <w:i w:val="0"/>
          <w:iCs w:val="0"/>
          <w:caps w:val="0"/>
          <w:smallCaps w:val="0"/>
          <w:noProof w:val="0"/>
          <w:color w:val="374151"/>
          <w:sz w:val="24"/>
          <w:szCs w:val="24"/>
          <w:lang w:val="en-US"/>
        </w:rPr>
        <w:t>This documentation provides an overview of the NFT smart contract and its functionalities. Before deploying or interacting with any smart contract, it is crucial to conduct a thorough code review, audit the contract's security, and understand the implications of each function. Additionally, the contract references the OpenZeppelin library, which should be properly imported and verified for use.</w:t>
      </w:r>
    </w:p>
    <w:p xmlns:wp14="http://schemas.microsoft.com/office/word/2010/wordml" w:rsidP="4CA524EE" wp14:paraId="2C078E63" wp14:textId="18A7B0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0859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913E70"/>
    <w:rsid w:val="4CA524EE"/>
    <w:rsid w:val="6191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3E70"/>
  <w15:chartTrackingRefBased/>
  <w15:docId w15:val="{841E1A94-7755-44D2-B636-B34939047A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6116d329cd43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2023-07-24T12:58:36.7642501Z</dcterms:created>
  <dcterms:modified xsi:type="dcterms:W3CDTF">2023-07-24T13:02:44.7625850Z</dcterms:modified>
  <dc:creator>Raghav Singh</dc:creator>
  <lastModifiedBy>Raghav Singh</lastModifiedBy>
</coreProperties>
</file>