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40"/>
        <w:jc w:val="center"/>
      </w:pPr>
      <w:r>
        <w:rPr>
          <w:b/>
          <w:color w:val="0B5C7A"/>
          <w:sz w:val="23"/>
        </w:rPr>
        <w:t>PROJECT IMPLEMENTATION AND DEFECT REMEDIATION REPORT</w:t>
      </w:r>
    </w:p>
    <w:p>
      <w:pPr>
        <w:spacing w:after="120"/>
        <w:jc w:val="center"/>
      </w:pPr>
      <w:r>
        <w:rPr>
          <w:i/>
          <w:color w:val="555F6B"/>
          <w:sz w:val="21"/>
        </w:rPr>
        <w:t>Complete Code Explanation, Corrections Applied, Execution Guide and Re-measured Results</w:t>
      </w:r>
    </w:p>
    <w:p>
      <w:pPr>
        <w:spacing w:after="0" w:before="120"/>
        <w:jc w:val="center"/>
      </w:pPr>
      <w:r>
        <w:rPr>
          <w:b/>
          <w:color w:val="1B355E"/>
          <w:sz w:val="50"/>
        </w:rPr>
        <w:t>Customer Churn Prediction</w:t>
      </w:r>
    </w:p>
    <w:p>
      <w:pPr>
        <w:spacing w:after="0" w:before="0"/>
        <w:jc w:val="center"/>
      </w:pPr>
      <w:r>
        <w:rPr>
          <w:b/>
          <w:color w:val="1B355E"/>
          <w:sz w:val="50"/>
        </w:rPr>
        <w:t>and Retention Analytics</w:t>
      </w:r>
    </w:p>
    <w:p>
      <w:pPr>
        <w:spacing w:before="160" w:after="280"/>
        <w:jc w:val="center"/>
      </w:pPr>
      <w:r>
        <w:rPr>
          <w:i/>
          <w:color w:val="555F6B"/>
          <w:sz w:val="21"/>
        </w:rPr>
        <w:t>A Nine-Phase Business-Oriented Analytics Pipeline</w:t>
        <w:br/>
        <w:t>Data Cleaning  •  Exploratory Analysis  •  Feature Engineering  •  Segmentation</w:t>
        <w:br/>
        <w:t>Predictive Modelling  •  Explainable AI  •  Revenue Impact  •  Interactive Dashboard</w:t>
      </w:r>
    </w:p>
    <w:tbl>
      <w:tblPr>
        <w:tblStyle w:val="TableGrid"/>
        <w:tblW w:type="auto" w:w="0"/>
        <w:jc w:val="center"/>
        <w:tblLayout w:type="fixed"/>
        <w:tblLook w:firstColumn="1" w:firstRow="1" w:lastColumn="0" w:lastRow="0" w:noHBand="0" w:noVBand="1" w:val="04A0"/>
        <w:tblLayout w:type="fixed"/>
        <w:tblCellMar>
          <w:top w:w="44" w:type="dxa"/>
          <w:left w:w="90" w:type="dxa"/>
          <w:bottom w:w="44" w:type="dxa"/>
          <w:right w:w="80" w:type="dxa"/>
        </w:tblCellMar>
      </w:tblPr>
      <w:tblGrid>
        <w:gridCol w:w="2476"/>
        <w:gridCol w:w="6811"/>
      </w:tblGrid>
      <w:tr>
        <w:tc>
          <w:tcPr>
            <w:tcW w:type="dxa" w:w="2477"/>
            <w:shd w:val="clear" w:color="auto" w:fill="EEF2F7"/>
          </w:tcPr>
          <w:p>
            <w:pPr>
              <w:spacing w:after="40" w:before="40"/>
            </w:pPr>
            <w:r>
              <w:rPr>
                <w:b/>
                <w:color w:val="1B355E"/>
                <w:sz w:val="19"/>
              </w:rPr>
              <w:t>Document</w:t>
            </w:r>
          </w:p>
        </w:tc>
        <w:tc>
          <w:tcPr>
            <w:tcW w:type="dxa" w:w="6811"/>
          </w:tcPr>
          <w:p>
            <w:pPr>
              <w:spacing w:after="40" w:before="40"/>
            </w:pPr>
            <w:r>
              <w:rPr>
                <w:b w:val="0"/>
                <w:sz w:val="19"/>
              </w:rPr>
              <w:t>Implementation, remediation and results report</w:t>
            </w:r>
          </w:p>
        </w:tc>
      </w:tr>
      <w:tr>
        <w:tc>
          <w:tcPr>
            <w:tcW w:type="dxa" w:w="2477"/>
            <w:shd w:val="clear" w:color="auto" w:fill="EEF2F7"/>
          </w:tcPr>
          <w:p>
            <w:pPr>
              <w:spacing w:after="40" w:before="40"/>
            </w:pPr>
            <w:r>
              <w:rPr>
                <w:b/>
                <w:color w:val="1B355E"/>
                <w:sz w:val="19"/>
              </w:rPr>
              <w:t>Codebase</w:t>
            </w:r>
          </w:p>
        </w:tc>
        <w:tc>
          <w:tcPr>
            <w:tcW w:type="dxa" w:w="6811"/>
          </w:tcPr>
          <w:p>
            <w:pPr>
              <w:spacing w:after="40" w:before="40"/>
            </w:pPr>
            <w:r>
              <w:rPr>
                <w:b w:val="0"/>
                <w:sz w:val="19"/>
              </w:rPr>
              <w:t>customer_churn_100 / customer_churn</w:t>
            </w:r>
          </w:p>
        </w:tc>
      </w:tr>
      <w:tr>
        <w:tc>
          <w:tcPr>
            <w:tcW w:type="dxa" w:w="2477"/>
            <w:shd w:val="clear" w:color="auto" w:fill="EEF2F7"/>
          </w:tcPr>
          <w:p>
            <w:pPr>
              <w:spacing w:after="40" w:before="40"/>
            </w:pPr>
            <w:r>
              <w:rPr>
                <w:b/>
                <w:color w:val="1B355E"/>
                <w:sz w:val="19"/>
              </w:rPr>
              <w:t>Source modules</w:t>
            </w:r>
          </w:p>
        </w:tc>
        <w:tc>
          <w:tcPr>
            <w:tcW w:type="dxa" w:w="6811"/>
          </w:tcPr>
          <w:p>
            <w:pPr>
              <w:spacing w:after="40" w:before="40"/>
            </w:pPr>
            <w:r>
              <w:rPr>
                <w:b w:val="0"/>
                <w:sz w:val="19"/>
              </w:rPr>
              <w:t>9 phase scripts + 1 shared feature module + 1 Streamlit application (4 486 lines)</w:t>
            </w:r>
          </w:p>
        </w:tc>
      </w:tr>
      <w:tr>
        <w:tc>
          <w:tcPr>
            <w:tcW w:type="dxa" w:w="2477"/>
            <w:shd w:val="clear" w:color="auto" w:fill="EEF2F7"/>
          </w:tcPr>
          <w:p>
            <w:pPr>
              <w:spacing w:after="40" w:before="40"/>
            </w:pPr>
            <w:r>
              <w:rPr>
                <w:b/>
                <w:color w:val="1B355E"/>
                <w:sz w:val="19"/>
              </w:rPr>
              <w:t>Dataset</w:t>
            </w:r>
          </w:p>
        </w:tc>
        <w:tc>
          <w:tcPr>
            <w:tcW w:type="dxa" w:w="6811"/>
          </w:tcPr>
          <w:p>
            <w:pPr>
              <w:spacing w:after="40" w:before="40"/>
            </w:pPr>
            <w:r>
              <w:rPr>
                <w:b w:val="0"/>
                <w:sz w:val="19"/>
              </w:rPr>
              <w:t>Telco Customer Churn — 7 043 records × 21 attributes</w:t>
            </w:r>
          </w:p>
        </w:tc>
      </w:tr>
      <w:tr>
        <w:tc>
          <w:tcPr>
            <w:tcW w:type="dxa" w:w="2477"/>
            <w:shd w:val="clear" w:color="auto" w:fill="EEF2F7"/>
          </w:tcPr>
          <w:p>
            <w:pPr>
              <w:spacing w:after="40" w:before="40"/>
            </w:pPr>
            <w:r>
              <w:rPr>
                <w:b/>
                <w:color w:val="1B355E"/>
                <w:sz w:val="19"/>
              </w:rPr>
              <w:t>Defects corrected</w:t>
            </w:r>
          </w:p>
        </w:tc>
        <w:tc>
          <w:tcPr>
            <w:tcW w:type="dxa" w:w="6811"/>
          </w:tcPr>
          <w:p>
            <w:pPr>
              <w:spacing w:after="40" w:before="40"/>
            </w:pPr>
            <w:r>
              <w:rPr>
                <w:b w:val="0"/>
                <w:sz w:val="19"/>
              </w:rPr>
              <w:t>6 issues in two rounds (3 critical defects + 3 follow-up issues) plus 2 consequential fixes</w:t>
            </w:r>
          </w:p>
        </w:tc>
      </w:tr>
      <w:tr>
        <w:tc>
          <w:tcPr>
            <w:tcW w:type="dxa" w:w="2477"/>
            <w:shd w:val="clear" w:color="auto" w:fill="EEF2F7"/>
          </w:tcPr>
          <w:p>
            <w:pPr>
              <w:spacing w:after="40" w:before="40"/>
            </w:pPr>
            <w:r>
              <w:rPr>
                <w:b/>
                <w:color w:val="1B355E"/>
                <w:sz w:val="19"/>
              </w:rPr>
              <w:t>Environment</w:t>
            </w:r>
          </w:p>
        </w:tc>
        <w:tc>
          <w:tcPr>
            <w:tcW w:type="dxa" w:w="6811"/>
          </w:tcPr>
          <w:p>
            <w:pPr>
              <w:spacing w:after="40" w:before="40"/>
            </w:pPr>
            <w:r>
              <w:rPr>
                <w:b w:val="0"/>
                <w:sz w:val="19"/>
              </w:rPr>
              <w:t>Dedicated virtual environment (.venv), Python 3.13.13</w:t>
            </w:r>
          </w:p>
        </w:tc>
      </w:tr>
      <w:tr>
        <w:tc>
          <w:tcPr>
            <w:tcW w:type="dxa" w:w="2477"/>
            <w:shd w:val="clear" w:color="auto" w:fill="EEF2F7"/>
          </w:tcPr>
          <w:p>
            <w:pPr>
              <w:spacing w:after="40" w:before="40"/>
            </w:pPr>
            <w:r>
              <w:rPr>
                <w:b/>
                <w:color w:val="1B355E"/>
                <w:sz w:val="19"/>
              </w:rPr>
              <w:t>Best model</w:t>
            </w:r>
          </w:p>
        </w:tc>
        <w:tc>
          <w:tcPr>
            <w:tcW w:type="dxa" w:w="6811"/>
          </w:tcPr>
          <w:p>
            <w:pPr>
              <w:spacing w:after="40" w:before="40"/>
            </w:pPr>
            <w:r>
              <w:rPr>
                <w:b w:val="0"/>
                <w:sz w:val="19"/>
              </w:rPr>
              <w:t>Tuned XGBoost — test ROC-AUC 0.8472, recall 0.8262</w:t>
            </w:r>
          </w:p>
        </w:tc>
      </w:tr>
      <w:tr>
        <w:tc>
          <w:tcPr>
            <w:tcW w:type="dxa" w:w="2477"/>
            <w:shd w:val="clear" w:color="auto" w:fill="EEF2F7"/>
          </w:tcPr>
          <w:p>
            <w:pPr>
              <w:spacing w:after="40" w:before="40"/>
            </w:pPr>
            <w:r>
              <w:rPr>
                <w:b/>
                <w:color w:val="1B355E"/>
                <w:sz w:val="19"/>
              </w:rPr>
              <w:t>Pipeline status</w:t>
            </w:r>
          </w:p>
        </w:tc>
        <w:tc>
          <w:tcPr>
            <w:tcW w:type="dxa" w:w="6811"/>
          </w:tcPr>
          <w:p>
            <w:pPr>
              <w:spacing w:after="40" w:before="40"/>
            </w:pPr>
            <w:r>
              <w:rPr>
                <w:b w:val="0"/>
                <w:sz w:val="19"/>
              </w:rPr>
              <w:t>All 9 phases re-executed end to end, exit code 0</w:t>
            </w:r>
          </w:p>
        </w:tc>
      </w:tr>
      <w:tr>
        <w:tc>
          <w:tcPr>
            <w:tcW w:type="dxa" w:w="2477"/>
            <w:shd w:val="clear" w:color="auto" w:fill="EEF2F7"/>
          </w:tcPr>
          <w:p>
            <w:pPr>
              <w:spacing w:after="40" w:before="40"/>
            </w:pPr>
            <w:r>
              <w:rPr>
                <w:b/>
                <w:color w:val="1B355E"/>
                <w:sz w:val="19"/>
              </w:rPr>
              <w:t>Report date</w:t>
            </w:r>
          </w:p>
        </w:tc>
        <w:tc>
          <w:tcPr>
            <w:tcW w:type="dxa" w:w="6811"/>
          </w:tcPr>
          <w:p>
            <w:pPr>
              <w:spacing w:after="40" w:before="40"/>
            </w:pPr>
            <w:r>
              <w:rPr>
                <w:b w:val="0"/>
                <w:sz w:val="19"/>
              </w:rPr>
              <w:t>18 September 2026 (revision 2)</w:t>
            </w:r>
          </w:p>
        </w:tc>
      </w:tr>
    </w:tbl>
    <w:p>
      <w:r>
        <w:br w:type="page"/>
      </w:r>
    </w:p>
    <w:p>
      <w:pPr>
        <w:spacing w:after="160"/>
      </w:pPr>
      <w:r>
        <w:rPr>
          <w:b/>
          <w:color w:val="1B355E"/>
          <w:sz w:val="30"/>
        </w:rPr>
        <w:t>Table of Contents</w:t>
      </w:r>
    </w:p>
    <w:p>
      <w:pPr>
        <w:spacing w:after="70"/>
        <w:ind w:left="403"/>
      </w:pPr>
      <w:r>
        <w:rPr>
          <w:b/>
          <w:color w:val="0B5C7A"/>
          <w:sz w:val="21"/>
        </w:rPr>
        <w:t xml:space="preserve">1    </w:t>
      </w:r>
      <w:r>
        <w:rPr>
          <w:sz w:val="21"/>
        </w:rPr>
        <w:t>Executive Summary</w:t>
      </w:r>
    </w:p>
    <w:p>
      <w:pPr>
        <w:spacing w:after="70"/>
        <w:ind w:left="403"/>
      </w:pPr>
      <w:r>
        <w:rPr>
          <w:b/>
          <w:color w:val="0B5C7A"/>
          <w:sz w:val="21"/>
        </w:rPr>
        <w:t xml:space="preserve">2    </w:t>
      </w:r>
      <w:r>
        <w:rPr>
          <w:sz w:val="21"/>
        </w:rPr>
        <w:t>Scope, Method and What Changed</w:t>
      </w:r>
    </w:p>
    <w:p>
      <w:pPr>
        <w:spacing w:after="70"/>
        <w:ind w:left="403"/>
      </w:pPr>
      <w:r>
        <w:rPr>
          <w:b/>
          <w:color w:val="0B5C7A"/>
          <w:sz w:val="21"/>
        </w:rPr>
        <w:t xml:space="preserve">3    </w:t>
      </w:r>
      <w:r>
        <w:rPr>
          <w:sz w:val="21"/>
        </w:rPr>
        <w:t>Project Structure and File Inventory</w:t>
      </w:r>
    </w:p>
    <w:p>
      <w:pPr>
        <w:spacing w:after="70"/>
        <w:ind w:left="403"/>
      </w:pPr>
      <w:r>
        <w:rPr>
          <w:b/>
          <w:color w:val="0B5C7A"/>
          <w:sz w:val="21"/>
        </w:rPr>
        <w:t xml:space="preserve">4    </w:t>
      </w:r>
      <w:r>
        <w:rPr>
          <w:sz w:val="21"/>
        </w:rPr>
        <w:t>Virtual Environment and Configuration</w:t>
      </w:r>
    </w:p>
    <w:p>
      <w:pPr>
        <w:spacing w:after="70"/>
        <w:ind w:left="403"/>
      </w:pPr>
      <w:r>
        <w:rPr>
          <w:b/>
          <w:color w:val="0B5C7A"/>
          <w:sz w:val="21"/>
        </w:rPr>
        <w:t xml:space="preserve">5    </w:t>
      </w:r>
      <w:r>
        <w:rPr>
          <w:sz w:val="21"/>
        </w:rPr>
        <w:t>Dataset Description</w:t>
      </w:r>
    </w:p>
    <w:p>
      <w:pPr>
        <w:spacing w:after="70"/>
        <w:ind w:left="403"/>
      </w:pPr>
      <w:r>
        <w:rPr>
          <w:b/>
          <w:color w:val="0B5C7A"/>
          <w:sz w:val="21"/>
        </w:rPr>
        <w:t xml:space="preserve">6    </w:t>
      </w:r>
      <w:r>
        <w:rPr>
          <w:sz w:val="21"/>
        </w:rPr>
        <w:t>Architecture and Data Lineage</w:t>
      </w:r>
    </w:p>
    <w:p>
      <w:pPr>
        <w:spacing w:after="70"/>
        <w:ind w:left="403"/>
      </w:pPr>
      <w:r>
        <w:rPr>
          <w:b/>
          <w:color w:val="0B5C7A"/>
          <w:sz w:val="21"/>
        </w:rPr>
        <w:t xml:space="preserve">7    </w:t>
      </w:r>
      <w:r>
        <w:rPr>
          <w:sz w:val="21"/>
        </w:rPr>
        <w:t>Defect 1 — Hold-out Sample Size</w:t>
      </w:r>
    </w:p>
    <w:p>
      <w:pPr>
        <w:spacing w:after="70"/>
        <w:ind w:left="403"/>
      </w:pPr>
      <w:r>
        <w:rPr>
          <w:b/>
          <w:color w:val="0B5C7A"/>
          <w:sz w:val="21"/>
        </w:rPr>
        <w:t xml:space="preserve">8    </w:t>
      </w:r>
      <w:r>
        <w:rPr>
          <w:sz w:val="21"/>
        </w:rPr>
        <w:t>Defect 2 — Target Information Leakage</w:t>
      </w:r>
    </w:p>
    <w:p>
      <w:pPr>
        <w:spacing w:after="70"/>
        <w:ind w:left="403"/>
      </w:pPr>
      <w:r>
        <w:rPr>
          <w:b/>
          <w:color w:val="0B5C7A"/>
          <w:sz w:val="21"/>
        </w:rPr>
        <w:t xml:space="preserve">9    </w:t>
      </w:r>
      <w:r>
        <w:rPr>
          <w:sz w:val="21"/>
        </w:rPr>
        <w:t>Defect 3 — Unused Phase 4 Derived Features</w:t>
      </w:r>
    </w:p>
    <w:p>
      <w:pPr>
        <w:spacing w:after="70"/>
        <w:ind w:left="403"/>
      </w:pPr>
      <w:r>
        <w:rPr>
          <w:b/>
          <w:color w:val="0B5C7A"/>
          <w:sz w:val="21"/>
        </w:rPr>
        <w:t xml:space="preserve">10   </w:t>
      </w:r>
      <w:r>
        <w:rPr>
          <w:sz w:val="21"/>
        </w:rPr>
        <w:t>Consequential Corrections</w:t>
      </w:r>
    </w:p>
    <w:p>
      <w:pPr>
        <w:spacing w:after="70"/>
        <w:ind w:left="403"/>
      </w:pPr>
      <w:r>
        <w:rPr>
          <w:b/>
          <w:color w:val="0B5C7A"/>
          <w:sz w:val="21"/>
        </w:rPr>
        <w:t xml:space="preserve">11   </w:t>
      </w:r>
      <w:r>
        <w:rPr>
          <w:sz w:val="21"/>
        </w:rPr>
        <w:t>Phase 1 — Data Collection and Understanding</w:t>
      </w:r>
    </w:p>
    <w:p>
      <w:pPr>
        <w:spacing w:after="70"/>
        <w:ind w:left="403"/>
      </w:pPr>
      <w:r>
        <w:rPr>
          <w:b/>
          <w:color w:val="0B5C7A"/>
          <w:sz w:val="21"/>
        </w:rPr>
        <w:t xml:space="preserve">12   </w:t>
      </w:r>
      <w:r>
        <w:rPr>
          <w:sz w:val="21"/>
        </w:rPr>
        <w:t>Phase 2 — Data Cleaning</w:t>
      </w:r>
    </w:p>
    <w:p>
      <w:pPr>
        <w:spacing w:after="70"/>
        <w:ind w:left="403"/>
      </w:pPr>
      <w:r>
        <w:rPr>
          <w:b/>
          <w:color w:val="0B5C7A"/>
          <w:sz w:val="21"/>
        </w:rPr>
        <w:t xml:space="preserve">13   </w:t>
      </w:r>
      <w:r>
        <w:rPr>
          <w:sz w:val="21"/>
        </w:rPr>
        <w:t>Phase 3 — Exploratory Data Analysis</w:t>
      </w:r>
    </w:p>
    <w:p>
      <w:pPr>
        <w:spacing w:after="70"/>
        <w:ind w:left="403"/>
      </w:pPr>
      <w:r>
        <w:rPr>
          <w:b/>
          <w:color w:val="0B5C7A"/>
          <w:sz w:val="21"/>
        </w:rPr>
        <w:t xml:space="preserve">14   </w:t>
      </w:r>
      <w:r>
        <w:rPr>
          <w:sz w:val="21"/>
        </w:rPr>
        <w:t>Phase 4 — Feature Engineering</w:t>
      </w:r>
    </w:p>
    <w:p>
      <w:pPr>
        <w:spacing w:after="70"/>
        <w:ind w:left="403"/>
      </w:pPr>
      <w:r>
        <w:rPr>
          <w:b/>
          <w:color w:val="0B5C7A"/>
          <w:sz w:val="21"/>
        </w:rPr>
        <w:t xml:space="preserve">15   </w:t>
      </w:r>
      <w:r>
        <w:rPr>
          <w:sz w:val="21"/>
        </w:rPr>
        <w:t>Phase 5 — Customer Segmentation</w:t>
      </w:r>
    </w:p>
    <w:p>
      <w:pPr>
        <w:spacing w:after="70"/>
        <w:ind w:left="403"/>
      </w:pPr>
      <w:r>
        <w:rPr>
          <w:b/>
          <w:color w:val="0B5C7A"/>
          <w:sz w:val="21"/>
        </w:rPr>
        <w:t xml:space="preserve">16   </w:t>
      </w:r>
      <w:r>
        <w:rPr>
          <w:sz w:val="21"/>
        </w:rPr>
        <w:t>Phase 6 — Model Development</w:t>
      </w:r>
    </w:p>
    <w:p>
      <w:pPr>
        <w:spacing w:after="70"/>
        <w:ind w:left="403"/>
      </w:pPr>
      <w:r>
        <w:rPr>
          <w:b/>
          <w:color w:val="0B5C7A"/>
          <w:sz w:val="21"/>
        </w:rPr>
        <w:t xml:space="preserve">17   </w:t>
      </w:r>
      <w:r>
        <w:rPr>
          <w:sz w:val="21"/>
        </w:rPr>
        <w:t>Phase 7 — Model Evaluation and Threshold Analysis</w:t>
      </w:r>
    </w:p>
    <w:p>
      <w:pPr>
        <w:spacing w:after="70"/>
        <w:ind w:left="403"/>
      </w:pPr>
      <w:r>
        <w:rPr>
          <w:b/>
          <w:color w:val="0B5C7A"/>
          <w:sz w:val="21"/>
        </w:rPr>
        <w:t xml:space="preserve">18   </w:t>
      </w:r>
      <w:r>
        <w:rPr>
          <w:sz w:val="21"/>
        </w:rPr>
        <w:t>Phase 8 — Churn Probability and Explainable AI</w:t>
      </w:r>
    </w:p>
    <w:p>
      <w:pPr>
        <w:spacing w:after="70"/>
        <w:ind w:left="403"/>
      </w:pPr>
      <w:r>
        <w:rPr>
          <w:b/>
          <w:color w:val="0B5C7A"/>
          <w:sz w:val="21"/>
        </w:rPr>
        <w:t xml:space="preserve">19   </w:t>
      </w:r>
      <w:r>
        <w:rPr>
          <w:sz w:val="21"/>
        </w:rPr>
        <w:t>Phase 9 — Business Recommendations and Revenue Impact</w:t>
      </w:r>
    </w:p>
    <w:p>
      <w:pPr>
        <w:spacing w:after="70"/>
        <w:ind w:left="403"/>
      </w:pPr>
      <w:r>
        <w:rPr>
          <w:b/>
          <w:color w:val="0B5C7A"/>
          <w:sz w:val="21"/>
        </w:rPr>
        <w:t xml:space="preserve">20   </w:t>
      </w:r>
      <w:r>
        <w:rPr>
          <w:sz w:val="21"/>
        </w:rPr>
        <w:t>The Streamlit Dashboard</w:t>
      </w:r>
    </w:p>
    <w:p>
      <w:pPr>
        <w:spacing w:after="70"/>
        <w:ind w:left="403"/>
      </w:pPr>
      <w:r>
        <w:rPr>
          <w:b/>
          <w:color w:val="0B5C7A"/>
          <w:sz w:val="21"/>
        </w:rPr>
        <w:t xml:space="preserve">21   </w:t>
      </w:r>
      <w:r>
        <w:rPr>
          <w:sz w:val="21"/>
        </w:rPr>
        <w:t>Results — Before and After Remediation</w:t>
      </w:r>
    </w:p>
    <w:p>
      <w:pPr>
        <w:spacing w:after="70"/>
        <w:ind w:left="403"/>
      </w:pPr>
      <w:r>
        <w:rPr>
          <w:b/>
          <w:color w:val="0B5C7A"/>
          <w:sz w:val="21"/>
        </w:rPr>
        <w:t xml:space="preserve">22   </w:t>
      </w:r>
      <w:r>
        <w:rPr>
          <w:sz w:val="21"/>
        </w:rPr>
        <w:t>Second-Round Corrections</w:t>
      </w:r>
    </w:p>
    <w:p>
      <w:pPr>
        <w:spacing w:after="70"/>
        <w:ind w:left="403"/>
      </w:pPr>
      <w:r>
        <w:rPr>
          <w:b/>
          <w:color w:val="0B5C7A"/>
          <w:sz w:val="21"/>
        </w:rPr>
        <w:t xml:space="preserve">23   </w:t>
      </w:r>
      <w:r>
        <w:rPr>
          <w:sz w:val="21"/>
        </w:rPr>
        <w:t>Step-by-Step Execution Guide</w:t>
      </w:r>
    </w:p>
    <w:p>
      <w:pPr>
        <w:spacing w:after="70"/>
        <w:ind w:left="403"/>
      </w:pPr>
      <w:r>
        <w:rPr>
          <w:b/>
          <w:color w:val="0B5C7A"/>
          <w:sz w:val="21"/>
        </w:rPr>
        <w:t xml:space="preserve">24   </w:t>
      </w:r>
      <w:r>
        <w:rPr>
          <w:sz w:val="21"/>
        </w:rPr>
        <w:t>Conclusion</w:t>
      </w:r>
    </w:p>
    <w:p>
      <w:pPr>
        <w:spacing w:after="70"/>
        <w:ind w:left="403"/>
      </w:pPr>
      <w:r>
        <w:rPr>
          <w:b/>
          <w:color w:val="0B5C7A"/>
          <w:sz w:val="21"/>
        </w:rPr>
        <w:t xml:space="preserve">A    </w:t>
      </w:r>
      <w:r>
        <w:rPr>
          <w:sz w:val="21"/>
        </w:rPr>
        <w:t>Appendix A — Configuration Reference</w:t>
      </w:r>
    </w:p>
    <w:p>
      <w:pPr>
        <w:spacing w:after="70"/>
        <w:ind w:left="403"/>
      </w:pPr>
      <w:r>
        <w:rPr>
          <w:b/>
          <w:color w:val="0B5C7A"/>
          <w:sz w:val="21"/>
        </w:rPr>
        <w:t xml:space="preserve">B    </w:t>
      </w:r>
      <w:r>
        <w:rPr>
          <w:sz w:val="21"/>
        </w:rPr>
        <w:t>Appendix B — Complete Artefact Inventory</w:t>
      </w:r>
    </w:p>
    <w:p>
      <w:pPr>
        <w:spacing w:after="160"/>
      </w:pPr>
    </w:p>
    <w:p>
      <w:pPr>
        <w:spacing w:after="120" w:before="0"/>
        <w:jc w:val="both"/>
      </w:pPr>
      <w:r>
        <w:rPr>
          <w:b w:val="0"/>
          <w:i/>
          <w:color w:val="555F6B"/>
          <w:sz w:val="19"/>
        </w:rPr>
        <w:t>Every figure, table and numeric value in this report was produced by executing the corrected codebase in the project's virtual environment and reading the resulting files. Results measured before remediation are labelled as such throughout, so the effect of each correction can be traced.</w:t>
      </w:r>
    </w:p>
    <w:p>
      <w:r>
        <w:br w:type="page"/>
      </w:r>
    </w:p>
    <w:p>
      <w:pPr>
        <w:spacing w:after="0"/>
      </w:pPr>
    </w:p>
    <w:p>
      <w:pPr>
        <w:keepNext/>
        <w:spacing w:before="80" w:after="40"/>
        <w:pBdr>
          <w:bottom w:val="single" w:sz="10" w:space="3" w:color="1B355E"/>
        </w:pBdr>
      </w:pPr>
      <w:r>
        <w:rPr>
          <w:b/>
          <w:color w:val="1B355E"/>
          <w:sz w:val="30"/>
        </w:rPr>
        <w:t>1.  Executive Summary</w:t>
      </w:r>
    </w:p>
    <w:p>
      <w:pPr>
        <w:spacing w:after="40"/>
      </w:pPr>
    </w:p>
    <w:p>
      <w:pPr>
        <w:spacing w:after="120" w:before="0"/>
        <w:jc w:val="both"/>
      </w:pPr>
      <w:r>
        <w:rPr>
          <w:b w:val="0"/>
          <w:i w:val="0"/>
          <w:sz w:val="21"/>
        </w:rPr>
        <w:t>This report documents the customer_churn_100 codebase: a nine-phase churn prediction and retention analytics pipeline with an accompanying Streamlit dashboard. It explains every module at the level of individual code blocks, records the defects that were specified for correction in two rounds, describes exactly how each was fixed, and reports the results measured after the corrected pipeline was re-executed end to end.</w:t>
      </w:r>
    </w:p>
    <w:p>
      <w:pPr>
        <w:spacing w:after="120" w:before="0"/>
        <w:jc w:val="both"/>
      </w:pPr>
      <w:r>
        <w:rPr>
          <w:b w:val="0"/>
          <w:i w:val="0"/>
          <w:sz w:val="21"/>
        </w:rPr>
        <w:t xml:space="preserve">Revision 2 adds a second round of corrections: the SVM metric discrepancy between phases 6 and 7, the redundant </w:t>
      </w:r>
      <w:r>
        <w:rPr>
          <w:rFonts w:ascii="Consolas" w:hAnsi="Consolas" w:eastAsia="Consolas"/>
          <w:b w:val="0"/>
          <w:i w:val="0"/>
          <w:color w:val="8A2C1F"/>
          <w:sz w:val="19"/>
        </w:rPr>
        <w:t>ContractRiskFlag</w:t>
      </w:r>
      <w:r>
        <w:rPr>
          <w:b w:val="0"/>
          <w:i w:val="0"/>
          <w:sz w:val="21"/>
        </w:rPr>
        <w:t xml:space="preserve"> feature, and the collapse of the phase 9 driver cascade into a single category. All three are fixed, the affected phases were re-executed, and every figure in this revision reflects the final code.</w:t>
      </w:r>
    </w:p>
    <w:p>
      <w:pPr>
        <w:keepNext/>
        <w:spacing w:before="240" w:after="80"/>
      </w:pPr>
      <w:r>
        <w:rPr>
          <w:b/>
          <w:color w:val="1B355E"/>
          <w:sz w:val="25"/>
        </w:rPr>
        <w:t>1.1  The three defects and their remediation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432"/>
        <w:gridCol w:w="2951"/>
        <w:gridCol w:w="2951"/>
        <w:gridCol w:w="2980"/>
      </w:tblGrid>
      <w:tr>
        <w:tc>
          <w:tcPr>
            <w:tcW w:type="dxa" w:w="432"/>
            <w:shd w:val="clear" w:color="auto" w:fill="1B355E"/>
          </w:tcPr>
          <w:p>
            <w:pPr>
              <w:spacing w:after="20" w:before="20"/>
              <w:jc w:val="center"/>
            </w:pPr>
            <w:r>
              <w:rPr>
                <w:b/>
                <w:color w:val="FFFFFF"/>
                <w:sz w:val="16"/>
              </w:rPr>
              <w:t>#</w:t>
            </w:r>
          </w:p>
        </w:tc>
        <w:tc>
          <w:tcPr>
            <w:tcW w:type="dxa" w:w="2952"/>
            <w:shd w:val="clear" w:color="auto" w:fill="1B355E"/>
          </w:tcPr>
          <w:p>
            <w:pPr>
              <w:spacing w:after="20" w:before="20"/>
              <w:jc w:val="center"/>
            </w:pPr>
            <w:r>
              <w:rPr>
                <w:b/>
                <w:color w:val="FFFFFF"/>
                <w:sz w:val="16"/>
              </w:rPr>
              <w:t>Defect</w:t>
            </w:r>
          </w:p>
        </w:tc>
        <w:tc>
          <w:tcPr>
            <w:tcW w:type="dxa" w:w="2952"/>
            <w:shd w:val="clear" w:color="auto" w:fill="1B355E"/>
          </w:tcPr>
          <w:p>
            <w:pPr>
              <w:spacing w:after="20" w:before="20"/>
              <w:jc w:val="center"/>
            </w:pPr>
            <w:r>
              <w:rPr>
                <w:b/>
                <w:color w:val="FFFFFF"/>
                <w:sz w:val="16"/>
              </w:rPr>
              <w:t>Correction applied</w:t>
            </w:r>
          </w:p>
        </w:tc>
        <w:tc>
          <w:tcPr>
            <w:tcW w:type="dxa" w:w="2981"/>
            <w:shd w:val="clear" w:color="auto" w:fill="1B355E"/>
          </w:tcPr>
          <w:p>
            <w:pPr>
              <w:spacing w:after="20" w:before="20"/>
              <w:jc w:val="center"/>
            </w:pPr>
            <w:r>
              <w:rPr>
                <w:b/>
                <w:color w:val="FFFFFF"/>
                <w:sz w:val="16"/>
              </w:rPr>
              <w:t>Verified effect</w:t>
            </w:r>
          </w:p>
        </w:tc>
      </w:tr>
      <w:tr>
        <w:tc>
          <w:tcPr>
            <w:tcW w:type="dxa" w:w="432"/>
          </w:tcPr>
          <w:p>
            <w:pPr>
              <w:spacing w:after="20" w:before="20" w:line="254" w:lineRule="auto"/>
              <w:jc w:val="left"/>
            </w:pPr>
            <w:r>
              <w:rPr>
                <w:sz w:val="16"/>
              </w:rPr>
              <w:t>1</w:t>
            </w:r>
          </w:p>
        </w:tc>
        <w:tc>
          <w:tcPr>
            <w:tcW w:type="dxa" w:w="2952"/>
          </w:tcPr>
          <w:p>
            <w:pPr>
              <w:spacing w:after="20" w:before="20" w:line="254" w:lineRule="auto"/>
              <w:jc w:val="left"/>
            </w:pPr>
            <w:r>
              <w:rPr>
                <w:b/>
                <w:sz w:val="16"/>
              </w:rPr>
              <w:t>Hold-out sample size.</w:t>
            </w:r>
            <w:r>
              <w:rPr>
                <w:sz w:val="16"/>
              </w:rPr>
              <w:t xml:space="preserve"> </w:t>
            </w:r>
            <w:r>
              <w:rPr>
                <w:rFonts w:ascii="Consolas" w:hAnsi="Consolas" w:eastAsia="Consolas"/>
                <w:color w:val="8A2C1F"/>
                <w:sz w:val="15"/>
              </w:rPr>
              <w:t>TEST_SIZE = 0.05</w:t>
            </w:r>
            <w:r>
              <w:rPr>
                <w:sz w:val="16"/>
              </w:rPr>
              <w:t xml:space="preserve"> gave a 353-record test set with 94 churners, while the logs claimed an 80/20 split.</w:t>
            </w:r>
          </w:p>
        </w:tc>
        <w:tc>
          <w:tcPr>
            <w:tcW w:type="dxa" w:w="2952"/>
          </w:tcPr>
          <w:p>
            <w:pPr>
              <w:spacing w:after="20" w:before="20" w:line="254" w:lineRule="auto"/>
              <w:jc w:val="left"/>
            </w:pPr>
            <w:r>
              <w:rPr>
                <w:rFonts w:ascii="Consolas" w:hAnsi="Consolas" w:eastAsia="Consolas"/>
                <w:color w:val="8A2C1F"/>
                <w:sz w:val="15"/>
              </w:rPr>
              <w:t>TEST_SIZE = 0.20</w:t>
            </w:r>
            <w:r>
              <w:rPr>
                <w:sz w:val="16"/>
              </w:rPr>
              <w:t xml:space="preserve"> in phases 6, 7 and 8. The split ratio is now printed from the constant, so the log cannot disagree with the configuration.</w:t>
            </w:r>
          </w:p>
        </w:tc>
        <w:tc>
          <w:tcPr>
            <w:tcW w:type="dxa" w:w="2981"/>
          </w:tcPr>
          <w:p>
            <w:pPr>
              <w:spacing w:after="20" w:before="20" w:line="254" w:lineRule="auto"/>
              <w:jc w:val="left"/>
            </w:pPr>
            <w:r>
              <w:rPr>
                <w:sz w:val="16"/>
              </w:rPr>
              <w:t xml:space="preserve">Test set </w:t>
            </w:r>
            <w:r>
              <w:rPr>
                <w:b/>
                <w:sz w:val="16"/>
              </w:rPr>
              <w:t>353 → 1 409</w:t>
            </w:r>
            <w:r>
              <w:rPr>
                <w:sz w:val="16"/>
              </w:rPr>
              <w:t xml:space="preserve"> records, churners 94 → 374. 95% confidence interval on ROC-AUC </w:t>
            </w:r>
            <w:r>
              <w:rPr>
                <w:b/>
                <w:sz w:val="16"/>
              </w:rPr>
              <w:t>±0.053 → ±0.026</w:t>
            </w:r>
            <w:r>
              <w:rPr>
                <w:sz w:val="16"/>
              </w:rPr>
              <w:t>.</w:t>
            </w:r>
          </w:p>
        </w:tc>
      </w:tr>
      <w:tr>
        <w:tc>
          <w:tcPr>
            <w:tcW w:type="dxa" w:w="432"/>
            <w:shd w:val="clear" w:color="auto" w:fill="F2F5F9"/>
          </w:tcPr>
          <w:p>
            <w:pPr>
              <w:spacing w:after="20" w:before="20" w:line="254" w:lineRule="auto"/>
              <w:jc w:val="left"/>
            </w:pPr>
            <w:r>
              <w:rPr>
                <w:sz w:val="16"/>
              </w:rPr>
              <w:t>2</w:t>
            </w:r>
          </w:p>
        </w:tc>
        <w:tc>
          <w:tcPr>
            <w:tcW w:type="dxa" w:w="2952"/>
            <w:shd w:val="clear" w:color="auto" w:fill="F2F5F9"/>
          </w:tcPr>
          <w:p>
            <w:pPr>
              <w:spacing w:after="20" w:before="20" w:line="254" w:lineRule="auto"/>
              <w:jc w:val="left"/>
            </w:pPr>
            <w:r>
              <w:rPr>
                <w:b/>
                <w:sz w:val="16"/>
              </w:rPr>
              <w:t>Target information leakage.</w:t>
            </w:r>
            <w:r>
              <w:rPr>
                <w:sz w:val="16"/>
              </w:rPr>
              <w:t xml:space="preserve"> Phase 5 named clusters using their observed churn rate, then passed that name to phases 6-8 as a predictor.</w:t>
            </w:r>
          </w:p>
        </w:tc>
        <w:tc>
          <w:tcPr>
            <w:tcW w:type="dxa" w:w="2952"/>
            <w:shd w:val="clear" w:color="auto" w:fill="F2F5F9"/>
          </w:tcPr>
          <w:p>
            <w:pPr>
              <w:spacing w:after="20" w:before="20" w:line="254" w:lineRule="auto"/>
              <w:jc w:val="left"/>
            </w:pPr>
            <w:r>
              <w:rPr>
                <w:sz w:val="16"/>
              </w:rPr>
              <w:t xml:space="preserve">Segment naming now uses centroid geometry only. Models receive the nominal </w:t>
            </w:r>
            <w:r>
              <w:rPr>
                <w:rFonts w:ascii="Consolas" w:hAnsi="Consolas" w:eastAsia="Consolas"/>
                <w:color w:val="8A2C1F"/>
                <w:sz w:val="15"/>
              </w:rPr>
              <w:t>Cluster</w:t>
            </w:r>
            <w:r>
              <w:rPr>
                <w:sz w:val="16"/>
              </w:rPr>
              <w:t xml:space="preserve"> code; </w:t>
            </w:r>
            <w:r>
              <w:rPr>
                <w:rFonts w:ascii="Consolas" w:hAnsi="Consolas" w:eastAsia="Consolas"/>
                <w:color w:val="8A2C1F"/>
                <w:sz w:val="15"/>
              </w:rPr>
              <w:t>CustomerSegment</w:t>
            </w:r>
            <w:r>
              <w:rPr>
                <w:sz w:val="16"/>
              </w:rPr>
              <w:t xml:space="preserve"> is a presentation label.</w:t>
            </w:r>
          </w:p>
        </w:tc>
        <w:tc>
          <w:tcPr>
            <w:tcW w:type="dxa" w:w="2981"/>
            <w:shd w:val="clear" w:color="auto" w:fill="F2F5F9"/>
          </w:tcPr>
          <w:p>
            <w:pPr>
              <w:spacing w:after="20" w:before="20" w:line="254" w:lineRule="auto"/>
              <w:jc w:val="left"/>
            </w:pPr>
            <w:r>
              <w:rPr>
                <w:rFonts w:ascii="Consolas" w:hAnsi="Consolas" w:eastAsia="Consolas"/>
                <w:color w:val="8A2C1F"/>
                <w:sz w:val="15"/>
              </w:rPr>
              <w:t>CustomerSegment</w:t>
            </w:r>
            <w:r>
              <w:rPr>
                <w:sz w:val="16"/>
              </w:rPr>
              <w:t xml:space="preserve"> </w:t>
            </w:r>
            <w:r>
              <w:rPr>
                <w:b/>
                <w:sz w:val="16"/>
              </w:rPr>
              <w:t>no longer appears among the model inputs</w:t>
            </w:r>
            <w:r>
              <w:rPr>
                <w:sz w:val="16"/>
              </w:rPr>
              <w:t>. Duplicate segment names eliminated.</w:t>
            </w:r>
          </w:p>
        </w:tc>
      </w:tr>
      <w:tr>
        <w:tc>
          <w:tcPr>
            <w:tcW w:type="dxa" w:w="432"/>
          </w:tcPr>
          <w:p>
            <w:pPr>
              <w:spacing w:after="20" w:before="20" w:line="254" w:lineRule="auto"/>
              <w:jc w:val="left"/>
            </w:pPr>
            <w:r>
              <w:rPr>
                <w:sz w:val="16"/>
              </w:rPr>
              <w:t>3</w:t>
            </w:r>
          </w:p>
        </w:tc>
        <w:tc>
          <w:tcPr>
            <w:tcW w:type="dxa" w:w="2952"/>
          </w:tcPr>
          <w:p>
            <w:pPr>
              <w:spacing w:after="20" w:before="20" w:line="254" w:lineRule="auto"/>
              <w:jc w:val="left"/>
            </w:pPr>
            <w:r>
              <w:rPr>
                <w:b/>
                <w:sz w:val="16"/>
              </w:rPr>
              <w:t>Unused engineered features.</w:t>
            </w:r>
            <w:r>
              <w:rPr>
                <w:sz w:val="16"/>
              </w:rPr>
              <w:t xml:space="preserve"> Phase 6 read the phase 5 output, so six of the seven phase 4 features never reached a model.</w:t>
            </w:r>
          </w:p>
        </w:tc>
        <w:tc>
          <w:tcPr>
            <w:tcW w:type="dxa" w:w="2952"/>
          </w:tcPr>
          <w:p>
            <w:pPr>
              <w:spacing w:after="20" w:before="20" w:line="254" w:lineRule="auto"/>
              <w:jc w:val="left"/>
            </w:pPr>
            <w:r>
              <w:rPr>
                <w:sz w:val="16"/>
              </w:rPr>
              <w:t xml:space="preserve">Phase 4 exports unscaled features; phase 5 merges them on </w:t>
            </w:r>
            <w:r>
              <w:rPr>
                <w:rFonts w:ascii="Consolas" w:hAnsi="Consolas" w:eastAsia="Consolas"/>
                <w:color w:val="8A2C1F"/>
                <w:sz w:val="15"/>
              </w:rPr>
              <w:t>customerID</w:t>
            </w:r>
            <w:r>
              <w:rPr>
                <w:sz w:val="16"/>
              </w:rPr>
              <w:t xml:space="preserve"> with an integrity check.</w:t>
            </w:r>
          </w:p>
        </w:tc>
        <w:tc>
          <w:tcPr>
            <w:tcW w:type="dxa" w:w="2981"/>
          </w:tcPr>
          <w:p>
            <w:pPr>
              <w:spacing w:after="20" w:before="20" w:line="254" w:lineRule="auto"/>
              <w:jc w:val="left"/>
            </w:pPr>
            <w:r>
              <w:rPr>
                <w:sz w:val="16"/>
              </w:rPr>
              <w:t xml:space="preserve">All engineered features now reach the pipeline; the model matrix is </w:t>
            </w:r>
            <w:r>
              <w:rPr>
                <w:b/>
                <w:sz w:val="16"/>
              </w:rPr>
              <w:t>26</w:t>
            </w:r>
            <w:r>
              <w:rPr>
                <w:sz w:val="16"/>
              </w:rPr>
              <w:t xml:space="preserve"> columns after round 2 removed the duplicate flag. </w:t>
            </w:r>
            <w:r>
              <w:rPr>
                <w:rFonts w:ascii="Consolas" w:hAnsi="Consolas" w:eastAsia="Consolas"/>
                <w:color w:val="8A2C1F"/>
                <w:sz w:val="15"/>
              </w:rPr>
              <w:t>TenureBand_0-6</w:t>
            </w:r>
            <w:r>
              <w:rPr>
                <w:sz w:val="16"/>
              </w:rPr>
              <w:t xml:space="preserve"> ranks </w:t>
            </w:r>
            <w:r>
              <w:rPr>
                <w:b/>
                <w:sz w:val="16"/>
              </w:rPr>
              <w:t>5th</w:t>
            </w:r>
            <w:r>
              <w:rPr>
                <w:sz w:val="16"/>
              </w:rPr>
              <w:t xml:space="preserve"> by gain.</w:t>
            </w:r>
          </w:p>
        </w:tc>
      </w:tr>
    </w:tbl>
    <w:p>
      <w:pPr>
        <w:spacing w:before="60" w:after="200"/>
        <w:jc w:val="center"/>
      </w:pPr>
      <w:r>
        <w:rPr>
          <w:i/>
          <w:color w:val="555F6B"/>
          <w:sz w:val="17"/>
        </w:rPr>
        <w:t>Table 1: The three specified defects, the correction applied to each and its verified effect.</w:t>
      </w:r>
    </w:p>
    <w:p>
      <w:pPr>
        <w:keepNext/>
        <w:spacing w:before="240" w:after="80"/>
      </w:pPr>
      <w:r>
        <w:rPr>
          <w:b/>
          <w:color w:val="1B355E"/>
          <w:sz w:val="25"/>
        </w:rPr>
        <w:t>1.2  Effect on measured performance</w:t>
      </w:r>
    </w:p>
    <w:p>
      <w:pPr>
        <w:spacing w:after="120" w:before="0"/>
        <w:jc w:val="both"/>
      </w:pPr>
      <w:r>
        <w:rPr>
          <w:b w:val="0"/>
          <w:i w:val="0"/>
          <w:sz w:val="21"/>
        </w:rPr>
        <w:t>The corrections were not cosmetic. Removing the leaked label while adding six genuine engineered features changed the model materially, and on a test set four times larger the result improved on every ranking metric.</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311"/>
        <w:gridCol w:w="2044"/>
        <w:gridCol w:w="2044"/>
        <w:gridCol w:w="1915"/>
      </w:tblGrid>
      <w:tr>
        <w:tc>
          <w:tcPr>
            <w:tcW w:type="dxa" w:w="3312"/>
            <w:shd w:val="clear" w:color="auto" w:fill="1B355E"/>
          </w:tcPr>
          <w:p>
            <w:pPr>
              <w:spacing w:after="20" w:before="20"/>
              <w:jc w:val="center"/>
            </w:pPr>
            <w:r>
              <w:rPr>
                <w:b/>
                <w:color w:val="FFFFFF"/>
                <w:sz w:val="17"/>
              </w:rPr>
              <w:t>Metric (Tuned XGBoost, hold-out)</w:t>
            </w:r>
          </w:p>
        </w:tc>
        <w:tc>
          <w:tcPr>
            <w:tcW w:type="dxa" w:w="2045"/>
            <w:shd w:val="clear" w:color="auto" w:fill="1B355E"/>
          </w:tcPr>
          <w:p>
            <w:pPr>
              <w:spacing w:after="20" w:before="20"/>
              <w:jc w:val="center"/>
            </w:pPr>
            <w:r>
              <w:rPr>
                <w:b/>
                <w:color w:val="FFFFFF"/>
                <w:sz w:val="17"/>
              </w:rPr>
              <w:t>Before</w:t>
            </w:r>
          </w:p>
        </w:tc>
        <w:tc>
          <w:tcPr>
            <w:tcW w:type="dxa" w:w="2045"/>
            <w:shd w:val="clear" w:color="auto" w:fill="1B355E"/>
          </w:tcPr>
          <w:p>
            <w:pPr>
              <w:spacing w:after="20" w:before="20"/>
              <w:jc w:val="center"/>
            </w:pPr>
            <w:r>
              <w:rPr>
                <w:b/>
                <w:color w:val="FFFFFF"/>
                <w:sz w:val="17"/>
              </w:rPr>
              <w:t>After</w:t>
            </w:r>
          </w:p>
        </w:tc>
        <w:tc>
          <w:tcPr>
            <w:tcW w:type="dxa" w:w="1915"/>
            <w:shd w:val="clear" w:color="auto" w:fill="1B355E"/>
          </w:tcPr>
          <w:p>
            <w:pPr>
              <w:spacing w:after="20" w:before="20"/>
              <w:jc w:val="center"/>
            </w:pPr>
            <w:r>
              <w:rPr>
                <w:b/>
                <w:color w:val="FFFFFF"/>
                <w:sz w:val="17"/>
              </w:rPr>
              <w:t>Change</w:t>
            </w:r>
          </w:p>
        </w:tc>
      </w:tr>
      <w:tr>
        <w:tc>
          <w:tcPr>
            <w:tcW w:type="dxa" w:w="3312"/>
          </w:tcPr>
          <w:p>
            <w:pPr>
              <w:spacing w:after="20" w:before="20" w:line="254" w:lineRule="auto"/>
              <w:jc w:val="left"/>
            </w:pPr>
            <w:r>
              <w:rPr>
                <w:sz w:val="17"/>
              </w:rPr>
              <w:t>Test records / churners</w:t>
            </w:r>
          </w:p>
        </w:tc>
        <w:tc>
          <w:tcPr>
            <w:tcW w:type="dxa" w:w="2045"/>
          </w:tcPr>
          <w:p>
            <w:pPr>
              <w:spacing w:after="20" w:before="20" w:line="254" w:lineRule="auto"/>
              <w:jc w:val="center"/>
            </w:pPr>
            <w:r>
              <w:rPr>
                <w:sz w:val="17"/>
              </w:rPr>
              <w:t>353 / 94</w:t>
            </w:r>
          </w:p>
        </w:tc>
        <w:tc>
          <w:tcPr>
            <w:tcW w:type="dxa" w:w="2045"/>
          </w:tcPr>
          <w:p>
            <w:pPr>
              <w:spacing w:after="20" w:before="20" w:line="254" w:lineRule="auto"/>
              <w:jc w:val="center"/>
            </w:pPr>
            <w:r>
              <w:rPr>
                <w:b/>
                <w:sz w:val="17"/>
              </w:rPr>
              <w:t>1 409 / 374</w:t>
            </w:r>
          </w:p>
        </w:tc>
        <w:tc>
          <w:tcPr>
            <w:tcW w:type="dxa" w:w="1915"/>
          </w:tcPr>
          <w:p>
            <w:pPr>
              <w:spacing w:after="20" w:before="20" w:line="254" w:lineRule="auto"/>
              <w:jc w:val="center"/>
            </w:pPr>
            <w:r>
              <w:rPr>
                <w:sz w:val="17"/>
              </w:rPr>
              <w:t>4.0× larger</w:t>
            </w:r>
          </w:p>
        </w:tc>
      </w:tr>
      <w:tr>
        <w:tc>
          <w:tcPr>
            <w:tcW w:type="dxa" w:w="3312"/>
            <w:shd w:val="clear" w:color="auto" w:fill="F2F5F9"/>
          </w:tcPr>
          <w:p>
            <w:pPr>
              <w:spacing w:after="20" w:before="20" w:line="254" w:lineRule="auto"/>
              <w:jc w:val="left"/>
            </w:pPr>
            <w:r>
              <w:rPr>
                <w:sz w:val="17"/>
              </w:rPr>
              <w:t>ROC-AUC</w:t>
            </w:r>
          </w:p>
        </w:tc>
        <w:tc>
          <w:tcPr>
            <w:tcW w:type="dxa" w:w="2045"/>
            <w:shd w:val="clear" w:color="auto" w:fill="F2F5F9"/>
          </w:tcPr>
          <w:p>
            <w:pPr>
              <w:spacing w:after="20" w:before="20" w:line="254" w:lineRule="auto"/>
              <w:jc w:val="center"/>
            </w:pPr>
            <w:r>
              <w:rPr>
                <w:sz w:val="17"/>
              </w:rPr>
              <w:t>0.8349</w:t>
            </w:r>
          </w:p>
        </w:tc>
        <w:tc>
          <w:tcPr>
            <w:tcW w:type="dxa" w:w="2045"/>
            <w:shd w:val="clear" w:color="auto" w:fill="F2F5F9"/>
          </w:tcPr>
          <w:p>
            <w:pPr>
              <w:spacing w:after="20" w:before="20" w:line="254" w:lineRule="auto"/>
              <w:jc w:val="center"/>
            </w:pPr>
            <w:r>
              <w:rPr>
                <w:b/>
                <w:sz w:val="17"/>
              </w:rPr>
              <w:t>0.8472</w:t>
            </w:r>
          </w:p>
        </w:tc>
        <w:tc>
          <w:tcPr>
            <w:tcW w:type="dxa" w:w="1915"/>
            <w:shd w:val="clear" w:color="auto" w:fill="F2F5F9"/>
          </w:tcPr>
          <w:p>
            <w:pPr>
              <w:spacing w:after="20" w:before="20" w:line="254" w:lineRule="auto"/>
              <w:jc w:val="center"/>
            </w:pPr>
            <w:r>
              <w:rPr>
                <w:sz w:val="17"/>
              </w:rPr>
              <w:t>+0.0123</w:t>
            </w:r>
          </w:p>
        </w:tc>
      </w:tr>
      <w:tr>
        <w:tc>
          <w:tcPr>
            <w:tcW w:type="dxa" w:w="3312"/>
          </w:tcPr>
          <w:p>
            <w:pPr>
              <w:spacing w:after="20" w:before="20" w:line="254" w:lineRule="auto"/>
              <w:jc w:val="left"/>
            </w:pPr>
            <w:r>
              <w:rPr>
                <w:sz w:val="17"/>
              </w:rPr>
              <w:t>Recall</w:t>
            </w:r>
          </w:p>
        </w:tc>
        <w:tc>
          <w:tcPr>
            <w:tcW w:type="dxa" w:w="2045"/>
          </w:tcPr>
          <w:p>
            <w:pPr>
              <w:spacing w:after="20" w:before="20" w:line="254" w:lineRule="auto"/>
              <w:jc w:val="center"/>
            </w:pPr>
            <w:r>
              <w:rPr>
                <w:sz w:val="17"/>
              </w:rPr>
              <w:t>0.7766</w:t>
            </w:r>
          </w:p>
        </w:tc>
        <w:tc>
          <w:tcPr>
            <w:tcW w:type="dxa" w:w="2045"/>
          </w:tcPr>
          <w:p>
            <w:pPr>
              <w:spacing w:after="20" w:before="20" w:line="254" w:lineRule="auto"/>
              <w:jc w:val="center"/>
            </w:pPr>
            <w:r>
              <w:rPr>
                <w:b/>
                <w:sz w:val="17"/>
              </w:rPr>
              <w:t>0.8262</w:t>
            </w:r>
          </w:p>
        </w:tc>
        <w:tc>
          <w:tcPr>
            <w:tcW w:type="dxa" w:w="1915"/>
          </w:tcPr>
          <w:p>
            <w:pPr>
              <w:spacing w:after="20" w:before="20" w:line="254" w:lineRule="auto"/>
              <w:jc w:val="center"/>
            </w:pPr>
            <w:r>
              <w:rPr>
                <w:sz w:val="17"/>
              </w:rPr>
              <w:t>+0.0496</w:t>
            </w:r>
          </w:p>
        </w:tc>
      </w:tr>
      <w:tr>
        <w:tc>
          <w:tcPr>
            <w:tcW w:type="dxa" w:w="3312"/>
            <w:shd w:val="clear" w:color="auto" w:fill="F2F5F9"/>
          </w:tcPr>
          <w:p>
            <w:pPr>
              <w:spacing w:after="20" w:before="20" w:line="254" w:lineRule="auto"/>
              <w:jc w:val="left"/>
            </w:pPr>
            <w:r>
              <w:rPr>
                <w:sz w:val="17"/>
              </w:rPr>
              <w:t>Precision</w:t>
            </w:r>
          </w:p>
        </w:tc>
        <w:tc>
          <w:tcPr>
            <w:tcW w:type="dxa" w:w="2045"/>
            <w:shd w:val="clear" w:color="auto" w:fill="F2F5F9"/>
          </w:tcPr>
          <w:p>
            <w:pPr>
              <w:spacing w:after="20" w:before="20" w:line="254" w:lineRule="auto"/>
              <w:jc w:val="center"/>
            </w:pPr>
            <w:r>
              <w:rPr>
                <w:sz w:val="17"/>
              </w:rPr>
              <w:t>0.4932</w:t>
            </w:r>
          </w:p>
        </w:tc>
        <w:tc>
          <w:tcPr>
            <w:tcW w:type="dxa" w:w="2045"/>
            <w:shd w:val="clear" w:color="auto" w:fill="F2F5F9"/>
          </w:tcPr>
          <w:p>
            <w:pPr>
              <w:spacing w:after="20" w:before="20" w:line="254" w:lineRule="auto"/>
              <w:jc w:val="center"/>
            </w:pPr>
            <w:r>
              <w:rPr>
                <w:sz w:val="17"/>
              </w:rPr>
              <w:t>0.4992</w:t>
            </w:r>
          </w:p>
        </w:tc>
        <w:tc>
          <w:tcPr>
            <w:tcW w:type="dxa" w:w="1915"/>
            <w:shd w:val="clear" w:color="auto" w:fill="F2F5F9"/>
          </w:tcPr>
          <w:p>
            <w:pPr>
              <w:spacing w:after="20" w:before="20" w:line="254" w:lineRule="auto"/>
              <w:jc w:val="center"/>
            </w:pPr>
            <w:r>
              <w:rPr>
                <w:sz w:val="17"/>
              </w:rPr>
              <w:t>+0.0060</w:t>
            </w:r>
          </w:p>
        </w:tc>
      </w:tr>
      <w:tr>
        <w:tc>
          <w:tcPr>
            <w:tcW w:type="dxa" w:w="3312"/>
          </w:tcPr>
          <w:p>
            <w:pPr>
              <w:spacing w:after="20" w:before="20" w:line="254" w:lineRule="auto"/>
              <w:jc w:val="left"/>
            </w:pPr>
            <w:r>
              <w:rPr>
                <w:sz w:val="17"/>
              </w:rPr>
              <w:t>F1 score</w:t>
            </w:r>
          </w:p>
        </w:tc>
        <w:tc>
          <w:tcPr>
            <w:tcW w:type="dxa" w:w="2045"/>
          </w:tcPr>
          <w:p>
            <w:pPr>
              <w:spacing w:after="20" w:before="20" w:line="254" w:lineRule="auto"/>
              <w:jc w:val="center"/>
            </w:pPr>
            <w:r>
              <w:rPr>
                <w:sz w:val="17"/>
              </w:rPr>
              <w:t>0.6033</w:t>
            </w:r>
          </w:p>
        </w:tc>
        <w:tc>
          <w:tcPr>
            <w:tcW w:type="dxa" w:w="2045"/>
          </w:tcPr>
          <w:p>
            <w:pPr>
              <w:spacing w:after="20" w:before="20" w:line="254" w:lineRule="auto"/>
              <w:jc w:val="center"/>
            </w:pPr>
            <w:r>
              <w:rPr>
                <w:b/>
                <w:sz w:val="17"/>
              </w:rPr>
              <w:t>0.6224</w:t>
            </w:r>
          </w:p>
        </w:tc>
        <w:tc>
          <w:tcPr>
            <w:tcW w:type="dxa" w:w="1915"/>
          </w:tcPr>
          <w:p>
            <w:pPr>
              <w:spacing w:after="20" w:before="20" w:line="254" w:lineRule="auto"/>
              <w:jc w:val="center"/>
            </w:pPr>
            <w:r>
              <w:rPr>
                <w:sz w:val="17"/>
              </w:rPr>
              <w:t>+0.0191</w:t>
            </w:r>
          </w:p>
        </w:tc>
      </w:tr>
      <w:tr>
        <w:tc>
          <w:tcPr>
            <w:tcW w:type="dxa" w:w="3312"/>
            <w:shd w:val="clear" w:color="auto" w:fill="F2F5F9"/>
          </w:tcPr>
          <w:p>
            <w:pPr>
              <w:spacing w:after="20" w:before="20" w:line="254" w:lineRule="auto"/>
              <w:jc w:val="left"/>
            </w:pPr>
            <w:r>
              <w:rPr>
                <w:sz w:val="17"/>
              </w:rPr>
              <w:t>PR-AUC</w:t>
            </w:r>
          </w:p>
        </w:tc>
        <w:tc>
          <w:tcPr>
            <w:tcW w:type="dxa" w:w="2045"/>
            <w:shd w:val="clear" w:color="auto" w:fill="F2F5F9"/>
          </w:tcPr>
          <w:p>
            <w:pPr>
              <w:spacing w:after="20" w:before="20" w:line="254" w:lineRule="auto"/>
              <w:jc w:val="center"/>
            </w:pPr>
            <w:r>
              <w:rPr>
                <w:sz w:val="17"/>
              </w:rPr>
              <w:t>0.6128</w:t>
            </w:r>
          </w:p>
        </w:tc>
        <w:tc>
          <w:tcPr>
            <w:tcW w:type="dxa" w:w="2045"/>
            <w:shd w:val="clear" w:color="auto" w:fill="F2F5F9"/>
          </w:tcPr>
          <w:p>
            <w:pPr>
              <w:spacing w:after="20" w:before="20" w:line="254" w:lineRule="auto"/>
              <w:jc w:val="center"/>
            </w:pPr>
            <w:r>
              <w:rPr>
                <w:b/>
                <w:sz w:val="17"/>
              </w:rPr>
              <w:t>0.6632</w:t>
            </w:r>
          </w:p>
        </w:tc>
        <w:tc>
          <w:tcPr>
            <w:tcW w:type="dxa" w:w="1915"/>
            <w:shd w:val="clear" w:color="auto" w:fill="F2F5F9"/>
          </w:tcPr>
          <w:p>
            <w:pPr>
              <w:spacing w:after="20" w:before="20" w:line="254" w:lineRule="auto"/>
              <w:jc w:val="center"/>
            </w:pPr>
            <w:r>
              <w:rPr>
                <w:sz w:val="17"/>
              </w:rPr>
              <w:t>+0.0504</w:t>
            </w:r>
          </w:p>
        </w:tc>
      </w:tr>
      <w:tr>
        <w:tc>
          <w:tcPr>
            <w:tcW w:type="dxa" w:w="3312"/>
          </w:tcPr>
          <w:p>
            <w:pPr>
              <w:spacing w:after="20" w:before="20" w:line="254" w:lineRule="auto"/>
              <w:jc w:val="left"/>
            </w:pPr>
            <w:r>
              <w:rPr>
                <w:sz w:val="17"/>
              </w:rPr>
              <w:t>Churners missed (false negatives)</w:t>
            </w:r>
          </w:p>
        </w:tc>
        <w:tc>
          <w:tcPr>
            <w:tcW w:type="dxa" w:w="2045"/>
          </w:tcPr>
          <w:p>
            <w:pPr>
              <w:spacing w:after="20" w:before="20" w:line="254" w:lineRule="auto"/>
              <w:jc w:val="center"/>
            </w:pPr>
            <w:r>
              <w:rPr>
                <w:sz w:val="17"/>
              </w:rPr>
              <w:t>21 of 94 (22.3%)</w:t>
            </w:r>
          </w:p>
        </w:tc>
        <w:tc>
          <w:tcPr>
            <w:tcW w:type="dxa" w:w="2045"/>
          </w:tcPr>
          <w:p>
            <w:pPr>
              <w:spacing w:after="20" w:before="20" w:line="254" w:lineRule="auto"/>
              <w:jc w:val="center"/>
            </w:pPr>
            <w:r>
              <w:rPr>
                <w:b/>
                <w:sz w:val="17"/>
              </w:rPr>
              <w:t>65 of 374 (17.4%)</w:t>
            </w:r>
          </w:p>
        </w:tc>
        <w:tc>
          <w:tcPr>
            <w:tcW w:type="dxa" w:w="1915"/>
          </w:tcPr>
          <w:p>
            <w:pPr>
              <w:spacing w:after="20" w:before="20" w:line="254" w:lineRule="auto"/>
              <w:jc w:val="center"/>
            </w:pPr>
            <w:r>
              <w:rPr>
                <w:sz w:val="17"/>
              </w:rPr>
              <w:t>−4.9 pp</w:t>
            </w:r>
          </w:p>
        </w:tc>
      </w:tr>
      <w:tr>
        <w:tc>
          <w:tcPr>
            <w:tcW w:type="dxa" w:w="3312"/>
            <w:shd w:val="clear" w:color="auto" w:fill="F2F5F9"/>
          </w:tcPr>
          <w:p>
            <w:pPr>
              <w:spacing w:after="20" w:before="20" w:line="254" w:lineRule="auto"/>
              <w:jc w:val="left"/>
            </w:pPr>
            <w:r>
              <w:rPr>
                <w:sz w:val="17"/>
              </w:rPr>
              <w:t>95% CI half-width on ROC-AUC</w:t>
            </w:r>
          </w:p>
        </w:tc>
        <w:tc>
          <w:tcPr>
            <w:tcW w:type="dxa" w:w="2045"/>
            <w:shd w:val="clear" w:color="auto" w:fill="F2F5F9"/>
          </w:tcPr>
          <w:p>
            <w:pPr>
              <w:spacing w:after="20" w:before="20" w:line="254" w:lineRule="auto"/>
              <w:jc w:val="center"/>
            </w:pPr>
            <w:r>
              <w:rPr>
                <w:sz w:val="17"/>
              </w:rPr>
              <w:t>±0.053</w:t>
            </w:r>
          </w:p>
        </w:tc>
        <w:tc>
          <w:tcPr>
            <w:tcW w:type="dxa" w:w="2045"/>
            <w:shd w:val="clear" w:color="auto" w:fill="F2F5F9"/>
          </w:tcPr>
          <w:p>
            <w:pPr>
              <w:spacing w:after="20" w:before="20" w:line="254" w:lineRule="auto"/>
              <w:jc w:val="center"/>
            </w:pPr>
            <w:r>
              <w:rPr>
                <w:b/>
                <w:sz w:val="17"/>
              </w:rPr>
              <w:t>±0.026</w:t>
            </w:r>
          </w:p>
        </w:tc>
        <w:tc>
          <w:tcPr>
            <w:tcW w:type="dxa" w:w="1915"/>
            <w:shd w:val="clear" w:color="auto" w:fill="F2F5F9"/>
          </w:tcPr>
          <w:p>
            <w:pPr>
              <w:spacing w:after="20" w:before="20" w:line="254" w:lineRule="auto"/>
              <w:jc w:val="center"/>
            </w:pPr>
            <w:r>
              <w:rPr>
                <w:sz w:val="17"/>
              </w:rPr>
              <w:t>halved</w:t>
            </w:r>
          </w:p>
        </w:tc>
      </w:tr>
    </w:tbl>
    <w:p>
      <w:pPr>
        <w:spacing w:before="60" w:after="200"/>
        <w:jc w:val="center"/>
      </w:pPr>
      <w:r>
        <w:rPr>
          <w:i/>
          <w:color w:val="555F6B"/>
          <w:sz w:val="17"/>
        </w:rPr>
        <w:t>Table 2: Hold-out performance of the selected model before and after remediation. The 'before' column is the result recorded by the codebase as delivered.</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The improvement is genuine, not an artefact of the larger test set.</w:t>
            </w:r>
          </w:p>
          <w:p>
            <w:pPr>
              <w:spacing w:after="0"/>
              <w:jc w:val="both"/>
            </w:pPr>
            <w:r>
              <w:rPr>
                <w:sz w:val="19"/>
              </w:rPr>
              <w:t xml:space="preserve">Removing a leaked feature normally lowers measured performance, because the model loses information it should never have had. Here ROC-AUC rose instead. The explanation is that defect 2 and defect 3 were fixed together: the leaked segment label was a coarse four-category summary, while the six features recovered by fixing defect 3 carry finer, legitimate signal. The feature importance in Section 18.4 confirms this directly — </w:t>
            </w:r>
            <w:r>
              <w:rPr>
                <w:rFonts w:ascii="Consolas" w:hAnsi="Consolas"/>
                <w:color w:val="8A2C1F"/>
                <w:sz w:val="18"/>
              </w:rPr>
              <w:t>TenureBand</w:t>
            </w:r>
            <w:r>
              <w:rPr>
                <w:sz w:val="19"/>
              </w:rPr>
              <w:t xml:space="preserve"> and </w:t>
            </w:r>
            <w:r>
              <w:rPr>
                <w:rFonts w:ascii="Consolas" w:hAnsi="Consolas"/>
                <w:color w:val="8A2C1F"/>
                <w:sz w:val="18"/>
              </w:rPr>
              <w:t>ValueTier</w:t>
            </w:r>
            <w:r>
              <w:rPr>
                <w:sz w:val="19"/>
              </w:rPr>
              <w:t xml:space="preserve">, both previously discarded, now contribute to the model, while the leaked label is absent entirely. Removing the duplicate </w:t>
            </w:r>
            <w:r>
              <w:rPr>
                <w:rFonts w:ascii="Consolas" w:hAnsi="Consolas"/>
                <w:color w:val="8A2C1F"/>
                <w:sz w:val="18"/>
              </w:rPr>
              <w:t>ContractRiskFlag</w:t>
            </w:r>
            <w:r>
              <w:rPr>
                <w:sz w:val="19"/>
              </w:rPr>
              <w:t xml:space="preserve"> in round 2 cost nothing: ROC-AUC moved from 0.8470 to 0.8472.</w:t>
            </w:r>
          </w:p>
        </w:tc>
      </w:tr>
    </w:tbl>
    <w:p>
      <w:pPr>
        <w:spacing w:after="120"/>
      </w:pPr>
    </w:p>
    <w:p>
      <w:pPr>
        <w:keepNext/>
        <w:spacing w:before="240" w:after="80"/>
      </w:pPr>
      <w:r>
        <w:rPr>
          <w:b/>
          <w:color w:val="1B355E"/>
          <w:sz w:val="25"/>
        </w:rPr>
        <w:t>1.3  Pipeline status</w:t>
      </w:r>
    </w:p>
    <w:p>
      <w:pPr>
        <w:spacing w:after="120" w:before="0"/>
        <w:jc w:val="both"/>
      </w:pPr>
      <w:r>
        <w:rPr>
          <w:b w:val="0"/>
          <w:i w:val="0"/>
          <w:sz w:val="21"/>
        </w:rPr>
        <w:t>All nine phases and the dashboard were executed in a dedicated virtual environment after the corrections. Every phase completed with exit code 0.</w:t>
      </w:r>
    </w:p>
    <w:p>
      <w:pPr>
        <w:pStyle w:val="ListBullet"/>
        <w:spacing w:after="60" w:line="264" w:lineRule="auto"/>
        <w:ind w:left="547"/>
        <w:jc w:val="both"/>
      </w:pPr>
      <w:r>
        <w:rPr>
          <w:b/>
          <w:sz w:val="21"/>
        </w:rPr>
        <w:t xml:space="preserve">Phases 1 to 9 </w:t>
      </w:r>
      <w:r>
        <w:rPr>
          <w:b w:val="0"/>
          <w:sz w:val="21"/>
        </w:rPr>
        <w:t>re-executed in sequence; all artefacts regenerated from the corrected code.</w:t>
      </w:r>
    </w:p>
    <w:p>
      <w:pPr>
        <w:pStyle w:val="ListBullet"/>
        <w:spacing w:after="60" w:line="264" w:lineRule="auto"/>
        <w:ind w:left="547"/>
        <w:jc w:val="both"/>
      </w:pPr>
      <w:r>
        <w:rPr>
          <w:b/>
          <w:sz w:val="21"/>
        </w:rPr>
        <w:t xml:space="preserve">The Streamlit dashboard </w:t>
      </w:r>
      <w:r>
        <w:rPr>
          <w:b w:val="0"/>
          <w:sz w:val="21"/>
        </w:rPr>
        <w:t>starts cleanly and scores uploaded files through the same shared feature module the training phases use, which removes the train/serve mismatch described in Section 10.2.</w:t>
      </w:r>
    </w:p>
    <w:p>
      <w:pPr>
        <w:pStyle w:val="ListBullet"/>
        <w:spacing w:after="60" w:line="264" w:lineRule="auto"/>
        <w:ind w:left="547"/>
        <w:jc w:val="both"/>
      </w:pPr>
      <w:r>
        <w:rPr>
          <w:b/>
          <w:sz w:val="21"/>
        </w:rPr>
        <w:t xml:space="preserve">Risk tiering validates cleanly: </w:t>
      </w:r>
      <w:r>
        <w:rPr>
          <w:b w:val="0"/>
          <w:sz w:val="21"/>
        </w:rPr>
        <w:t>customers placed in the High Risk tier show a 78.04% observed churn rate against 9.85% in the Low Risk tier.</w:t>
      </w:r>
    </w:p>
    <w:p>
      <w:pPr>
        <w:pStyle w:val="ListBullet"/>
        <w:spacing w:after="60" w:line="264" w:lineRule="auto"/>
        <w:ind w:left="547"/>
        <w:jc w:val="both"/>
      </w:pPr>
      <w:r>
        <w:rPr>
          <w:b/>
          <w:sz w:val="21"/>
        </w:rPr>
        <w:t xml:space="preserve">Mean predicted probability is 0.2652 </w:t>
      </w:r>
      <w:r>
        <w:rPr>
          <w:b w:val="0"/>
          <w:sz w:val="21"/>
        </w:rPr>
        <w:t>against an observed base rate of 0.2654, which is strong evidence that the calibration step is working.</w:t>
      </w:r>
    </w:p>
    <w:p>
      <w:pPr>
        <w:keepNext/>
        <w:spacing w:before="240" w:after="80"/>
      </w:pPr>
      <w:r>
        <w:rPr>
          <w:b/>
          <w:color w:val="1B355E"/>
          <w:sz w:val="25"/>
        </w:rPr>
        <w:t>1.4  Second-round corrections</w:t>
      </w:r>
    </w:p>
    <w:p>
      <w:pPr>
        <w:spacing w:after="120" w:before="0"/>
        <w:jc w:val="both"/>
      </w:pPr>
      <w:r>
        <w:rPr>
          <w:b w:val="0"/>
          <w:i w:val="0"/>
          <w:sz w:val="21"/>
        </w:rPr>
        <w:t>Three further issues identified in the first revision have now been corrected. Section 22 gives the evidence for each.</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432"/>
        <w:gridCol w:w="2951"/>
        <w:gridCol w:w="2951"/>
        <w:gridCol w:w="2980"/>
      </w:tblGrid>
      <w:tr>
        <w:tc>
          <w:tcPr>
            <w:tcW w:type="dxa" w:w="432"/>
            <w:shd w:val="clear" w:color="auto" w:fill="1B355E"/>
          </w:tcPr>
          <w:p>
            <w:pPr>
              <w:spacing w:after="20" w:before="20"/>
              <w:jc w:val="center"/>
            </w:pPr>
            <w:r>
              <w:rPr>
                <w:b/>
                <w:color w:val="FFFFFF"/>
                <w:sz w:val="16"/>
              </w:rPr>
              <w:t>#</w:t>
            </w:r>
          </w:p>
        </w:tc>
        <w:tc>
          <w:tcPr>
            <w:tcW w:type="dxa" w:w="2952"/>
            <w:shd w:val="clear" w:color="auto" w:fill="1B355E"/>
          </w:tcPr>
          <w:p>
            <w:pPr>
              <w:spacing w:after="20" w:before="20"/>
              <w:jc w:val="center"/>
            </w:pPr>
            <w:r>
              <w:rPr>
                <w:b/>
                <w:color w:val="FFFFFF"/>
                <w:sz w:val="16"/>
              </w:rPr>
              <w:t>Issue</w:t>
            </w:r>
          </w:p>
        </w:tc>
        <w:tc>
          <w:tcPr>
            <w:tcW w:type="dxa" w:w="2952"/>
            <w:shd w:val="clear" w:color="auto" w:fill="1B355E"/>
          </w:tcPr>
          <w:p>
            <w:pPr>
              <w:spacing w:after="20" w:before="20"/>
              <w:jc w:val="center"/>
            </w:pPr>
            <w:r>
              <w:rPr>
                <w:b/>
                <w:color w:val="FFFFFF"/>
                <w:sz w:val="16"/>
              </w:rPr>
              <w:t>Correction</w:t>
            </w:r>
          </w:p>
        </w:tc>
        <w:tc>
          <w:tcPr>
            <w:tcW w:type="dxa" w:w="2981"/>
            <w:shd w:val="clear" w:color="auto" w:fill="1B355E"/>
          </w:tcPr>
          <w:p>
            <w:pPr>
              <w:spacing w:after="20" w:before="20"/>
              <w:jc w:val="center"/>
            </w:pPr>
            <w:r>
              <w:rPr>
                <w:b/>
                <w:color w:val="FFFFFF"/>
                <w:sz w:val="16"/>
              </w:rPr>
              <w:t>Verified effect</w:t>
            </w:r>
          </w:p>
        </w:tc>
      </w:tr>
      <w:tr>
        <w:tc>
          <w:tcPr>
            <w:tcW w:type="dxa" w:w="432"/>
          </w:tcPr>
          <w:p>
            <w:pPr>
              <w:spacing w:after="20" w:before="20" w:line="254" w:lineRule="auto"/>
              <w:jc w:val="left"/>
            </w:pPr>
            <w:r>
              <w:rPr>
                <w:sz w:val="16"/>
              </w:rPr>
              <w:t>4</w:t>
            </w:r>
          </w:p>
        </w:tc>
        <w:tc>
          <w:tcPr>
            <w:tcW w:type="dxa" w:w="2952"/>
          </w:tcPr>
          <w:p>
            <w:pPr>
              <w:spacing w:after="20" w:before="20" w:line="254" w:lineRule="auto"/>
              <w:jc w:val="left"/>
            </w:pPr>
            <w:r>
              <w:rPr>
                <w:b/>
                <w:sz w:val="16"/>
              </w:rPr>
              <w:t>SVM metric discrepancy.</w:t>
            </w:r>
            <w:r>
              <w:rPr>
                <w:sz w:val="16"/>
              </w:rPr>
              <w:t xml:space="preserve"> Phase 6 labelled with </w:t>
            </w:r>
            <w:r>
              <w:rPr>
                <w:rFonts w:ascii="Consolas" w:hAnsi="Consolas" w:eastAsia="Consolas"/>
                <w:color w:val="8A2C1F"/>
                <w:sz w:val="15"/>
              </w:rPr>
              <w:t>predict()</w:t>
            </w:r>
            <w:r>
              <w:rPr>
                <w:sz w:val="16"/>
              </w:rPr>
              <w:t xml:space="preserve">, phase 7 with </w:t>
            </w:r>
            <w:r>
              <w:rPr>
                <w:rFonts w:ascii="Consolas" w:hAnsi="Consolas" w:eastAsia="Consolas"/>
                <w:color w:val="8A2C1F"/>
                <w:sz w:val="15"/>
              </w:rPr>
              <w:t>predict_proba &gt;= 0.50</w:t>
            </w:r>
            <w:r>
              <w:rPr>
                <w:sz w:val="16"/>
              </w:rPr>
              <w:t xml:space="preserve">; for </w:t>
            </w:r>
            <w:r>
              <w:rPr>
                <w:rFonts w:ascii="Consolas" w:hAnsi="Consolas" w:eastAsia="Consolas"/>
                <w:color w:val="8A2C1F"/>
                <w:sz w:val="15"/>
              </w:rPr>
              <w:t>SVC</w:t>
            </w:r>
            <w:r>
              <w:rPr>
                <w:sz w:val="16"/>
              </w:rPr>
              <w:t xml:space="preserve"> these disagree.</w:t>
            </w:r>
          </w:p>
        </w:tc>
        <w:tc>
          <w:tcPr>
            <w:tcW w:type="dxa" w:w="2952"/>
          </w:tcPr>
          <w:p>
            <w:pPr>
              <w:spacing w:after="20" w:before="20" w:line="254" w:lineRule="auto"/>
              <w:jc w:val="left"/>
            </w:pPr>
            <w:r>
              <w:rPr>
                <w:sz w:val="16"/>
              </w:rPr>
              <w:t xml:space="preserve">Phase 6 now thresholds </w:t>
            </w:r>
            <w:r>
              <w:rPr>
                <w:rFonts w:ascii="Consolas" w:hAnsi="Consolas" w:eastAsia="Consolas"/>
                <w:color w:val="8A2C1F"/>
                <w:sz w:val="15"/>
              </w:rPr>
              <w:t>predict_proba</w:t>
            </w:r>
            <w:r>
              <w:rPr>
                <w:sz w:val="16"/>
              </w:rPr>
              <w:t xml:space="preserve"> at an explicit </w:t>
            </w:r>
            <w:r>
              <w:rPr>
                <w:rFonts w:ascii="Consolas" w:hAnsi="Consolas" w:eastAsia="Consolas"/>
                <w:color w:val="8A2C1F"/>
                <w:sz w:val="15"/>
              </w:rPr>
              <w:t>DECISION_THRESHOLD = 0.50</w:t>
            </w:r>
            <w:r>
              <w:rPr>
                <w:sz w:val="16"/>
              </w:rPr>
              <w:t>.</w:t>
            </w:r>
          </w:p>
        </w:tc>
        <w:tc>
          <w:tcPr>
            <w:tcW w:type="dxa" w:w="2981"/>
          </w:tcPr>
          <w:p>
            <w:pPr>
              <w:spacing w:after="20" w:before="20" w:line="254" w:lineRule="auto"/>
              <w:jc w:val="left"/>
            </w:pPr>
            <w:r>
              <w:rPr>
                <w:sz w:val="16"/>
              </w:rPr>
              <w:t xml:space="preserve">Phases 6 and 7 report </w:t>
            </w:r>
            <w:r>
              <w:rPr>
                <w:b/>
                <w:sz w:val="16"/>
              </w:rPr>
              <w:t>identical</w:t>
            </w:r>
            <w:r>
              <w:rPr>
                <w:sz w:val="16"/>
              </w:rPr>
              <w:t xml:space="preserve"> metrics for all four shared models (SVM 0.7850 accuracy in both, previously 0.7601 vs 0.7835).</w:t>
            </w:r>
          </w:p>
        </w:tc>
      </w:tr>
      <w:tr>
        <w:tc>
          <w:tcPr>
            <w:tcW w:type="dxa" w:w="432"/>
            <w:shd w:val="clear" w:color="auto" w:fill="F2F5F9"/>
          </w:tcPr>
          <w:p>
            <w:pPr>
              <w:spacing w:after="20" w:before="20" w:line="254" w:lineRule="auto"/>
              <w:jc w:val="left"/>
            </w:pPr>
            <w:r>
              <w:rPr>
                <w:sz w:val="16"/>
              </w:rPr>
              <w:t>5</w:t>
            </w:r>
          </w:p>
        </w:tc>
        <w:tc>
          <w:tcPr>
            <w:tcW w:type="dxa" w:w="2952"/>
            <w:shd w:val="clear" w:color="auto" w:fill="F2F5F9"/>
          </w:tcPr>
          <w:p>
            <w:pPr>
              <w:spacing w:after="20" w:before="20" w:line="254" w:lineRule="auto"/>
              <w:jc w:val="left"/>
            </w:pPr>
            <w:r>
              <w:rPr>
                <w:b/>
                <w:sz w:val="16"/>
              </w:rPr>
              <w:t>Redundant ContractRiskFlag.</w:t>
            </w:r>
            <w:r>
              <w:rPr>
                <w:sz w:val="16"/>
              </w:rPr>
              <w:t xml:space="preserve"> Identical to Contract == Month-to-month for 100 % of rows.</w:t>
            </w:r>
          </w:p>
        </w:tc>
        <w:tc>
          <w:tcPr>
            <w:tcW w:type="dxa" w:w="2952"/>
            <w:shd w:val="clear" w:color="auto" w:fill="F2F5F9"/>
          </w:tcPr>
          <w:p>
            <w:pPr>
              <w:spacing w:after="20" w:before="20" w:line="254" w:lineRule="auto"/>
              <w:jc w:val="left"/>
            </w:pPr>
            <w:r>
              <w:rPr>
                <w:sz w:val="16"/>
              </w:rPr>
              <w:t>Excluded from the model matrix; kept in the data as a readable attribute.</w:t>
            </w:r>
          </w:p>
        </w:tc>
        <w:tc>
          <w:tcPr>
            <w:tcW w:type="dxa" w:w="2981"/>
            <w:shd w:val="clear" w:color="auto" w:fill="F2F5F9"/>
          </w:tcPr>
          <w:p>
            <w:pPr>
              <w:spacing w:after="20" w:before="20" w:line="254" w:lineRule="auto"/>
              <w:jc w:val="left"/>
            </w:pPr>
            <w:r>
              <w:rPr>
                <w:sz w:val="16"/>
              </w:rPr>
              <w:t xml:space="preserve">Matrix 27 → 26 columns. ROC-AUC </w:t>
            </w:r>
            <w:r>
              <w:rPr>
                <w:b/>
                <w:sz w:val="16"/>
              </w:rPr>
              <w:t>0.8470 → 0.8472</w:t>
            </w:r>
            <w:r>
              <w:rPr>
                <w:sz w:val="16"/>
              </w:rPr>
              <w:t>. Contract importance no longer split between two copies.</w:t>
            </w:r>
          </w:p>
        </w:tc>
      </w:tr>
      <w:tr>
        <w:tc>
          <w:tcPr>
            <w:tcW w:type="dxa" w:w="432"/>
          </w:tcPr>
          <w:p>
            <w:pPr>
              <w:spacing w:after="20" w:before="20" w:line="254" w:lineRule="auto"/>
              <w:jc w:val="left"/>
            </w:pPr>
            <w:r>
              <w:rPr>
                <w:sz w:val="16"/>
              </w:rPr>
              <w:t>6</w:t>
            </w:r>
          </w:p>
        </w:tc>
        <w:tc>
          <w:tcPr>
            <w:tcW w:type="dxa" w:w="2952"/>
          </w:tcPr>
          <w:p>
            <w:pPr>
              <w:spacing w:after="20" w:before="20" w:line="254" w:lineRule="auto"/>
              <w:jc w:val="left"/>
            </w:pPr>
            <w:r>
              <w:rPr>
                <w:b/>
                <w:sz w:val="16"/>
              </w:rPr>
              <w:t>Driver cascade collapse.</w:t>
            </w:r>
            <w:r>
              <w:rPr>
                <w:sz w:val="16"/>
              </w:rPr>
              <w:t xml:space="preserve"> All 732 targets received the same driver and action.</w:t>
            </w:r>
          </w:p>
        </w:tc>
        <w:tc>
          <w:tcPr>
            <w:tcW w:type="dxa" w:w="2952"/>
          </w:tcPr>
          <w:p>
            <w:pPr>
              <w:spacing w:after="20" w:before="20" w:line="254" w:lineRule="auto"/>
              <w:jc w:val="left"/>
            </w:pPr>
            <w:r>
              <w:rPr>
                <w:sz w:val="16"/>
              </w:rPr>
              <w:t>Contract becomes the shared base offer; each customer's driver is their top SHAP lever, computed in phase 8.</w:t>
            </w:r>
          </w:p>
        </w:tc>
        <w:tc>
          <w:tcPr>
            <w:tcW w:type="dxa" w:w="2981"/>
          </w:tcPr>
          <w:p>
            <w:pPr>
              <w:spacing w:after="20" w:before="20" w:line="254" w:lineRule="auto"/>
              <w:jc w:val="left"/>
            </w:pPr>
            <w:r>
              <w:rPr>
                <w:sz w:val="16"/>
              </w:rPr>
              <w:t xml:space="preserve">724 targets now span </w:t>
            </w:r>
            <w:r>
              <w:rPr>
                <w:b/>
                <w:sz w:val="16"/>
              </w:rPr>
              <w:t>5</w:t>
            </w:r>
            <w:r>
              <w:rPr>
                <w:sz w:val="16"/>
              </w:rPr>
              <w:t xml:space="preserve"> driver categories (333 / 273 / 112 / 4 / 2) instead of 1.</w:t>
            </w:r>
          </w:p>
        </w:tc>
      </w:tr>
    </w:tbl>
    <w:p>
      <w:pPr>
        <w:spacing w:before="60" w:after="200"/>
        <w:jc w:val="center"/>
      </w:pPr>
      <w:r>
        <w:rPr>
          <w:i/>
          <w:color w:val="555F6B"/>
          <w:sz w:val="17"/>
        </w:rPr>
        <w:t>Table 3: The three second-round issues and their verified corrections.</w:t>
      </w:r>
    </w:p>
    <w:p>
      <w:r>
        <w:br w:type="page"/>
      </w:r>
    </w:p>
    <w:p>
      <w:pPr>
        <w:spacing w:after="0"/>
      </w:pPr>
    </w:p>
    <w:p>
      <w:pPr>
        <w:keepNext/>
        <w:spacing w:before="80" w:after="40"/>
        <w:pBdr>
          <w:bottom w:val="single" w:sz="10" w:space="3" w:color="1B355E"/>
        </w:pBdr>
      </w:pPr>
      <w:r>
        <w:rPr>
          <w:b/>
          <w:color w:val="1B355E"/>
          <w:sz w:val="30"/>
        </w:rPr>
        <w:t>2.  Scope, Method and What Changed</w:t>
      </w:r>
    </w:p>
    <w:p>
      <w:pPr>
        <w:spacing w:after="40"/>
      </w:pPr>
    </w:p>
    <w:p>
      <w:pPr>
        <w:keepNext/>
        <w:spacing w:before="240" w:after="80"/>
      </w:pPr>
      <w:r>
        <w:rPr>
          <w:b/>
          <w:color w:val="1B355E"/>
          <w:sz w:val="25"/>
        </w:rPr>
        <w:t>2.1  What this report covers</w:t>
      </w:r>
    </w:p>
    <w:p>
      <w:pPr>
        <w:spacing w:after="120" w:before="0"/>
        <w:jc w:val="both"/>
      </w:pPr>
      <w:r>
        <w:rPr>
          <w:b w:val="0"/>
          <w:i w:val="0"/>
          <w:sz w:val="21"/>
        </w:rPr>
        <w:t>The subject is the code in customer_churn_100\customer_churn: nine sequential phase scripts, a Streamlit application, and the shared feature module added during remediation. The report serves three purposes at once, and the sections are ordered so each can be read on its own:</w:t>
      </w:r>
    </w:p>
    <w:p>
      <w:pPr>
        <w:spacing w:after="80" w:line="264" w:lineRule="auto"/>
        <w:ind w:left="806" w:hanging="490"/>
        <w:jc w:val="both"/>
        <w:tabs>
          <w:tab w:val="left" w:pos="806"/>
        </w:tabs>
      </w:pPr>
      <w:r>
        <w:rPr>
          <w:b/>
          <w:color w:val="0B5C7A"/>
          <w:sz w:val="21"/>
        </w:rPr>
        <w:t>1.</w:t>
      </w:r>
      <w:r>
        <w:rPr>
          <w:sz w:val="21"/>
        </w:rPr>
        <w:tab/>
      </w:r>
      <w:r>
        <w:rPr>
          <w:b/>
          <w:sz w:val="21"/>
        </w:rPr>
        <w:t xml:space="preserve">Remediation record (Sections 7 to 10). </w:t>
      </w:r>
      <w:r>
        <w:rPr>
          <w:b w:val="0"/>
          <w:sz w:val="21"/>
        </w:rPr>
        <w:t>What each defect was, why it mattered, the exact code change, and the evidence that it is fixed.</w:t>
      </w:r>
    </w:p>
    <w:p>
      <w:pPr>
        <w:spacing w:after="80" w:line="264" w:lineRule="auto"/>
        <w:ind w:left="806" w:hanging="490"/>
        <w:jc w:val="both"/>
        <w:tabs>
          <w:tab w:val="left" w:pos="806"/>
        </w:tabs>
      </w:pPr>
      <w:r>
        <w:rPr>
          <w:b/>
          <w:color w:val="0B5C7A"/>
          <w:sz w:val="21"/>
        </w:rPr>
        <w:t>2.</w:t>
      </w:r>
      <w:r>
        <w:rPr>
          <w:sz w:val="21"/>
        </w:rPr>
        <w:tab/>
      </w:r>
      <w:r>
        <w:rPr>
          <w:b/>
          <w:sz w:val="21"/>
        </w:rPr>
        <w:t xml:space="preserve">Code documentation (Sections 11 to 20). </w:t>
      </w:r>
      <w:r>
        <w:rPr>
          <w:b w:val="0"/>
          <w:sz w:val="21"/>
        </w:rPr>
        <w:t>Each phase explained block by block, with its inputs, outputs, measured results and generated charts.</w:t>
      </w:r>
    </w:p>
    <w:p>
      <w:pPr>
        <w:spacing w:after="80" w:line="264" w:lineRule="auto"/>
        <w:ind w:left="806" w:hanging="490"/>
        <w:jc w:val="both"/>
        <w:tabs>
          <w:tab w:val="left" w:pos="806"/>
        </w:tabs>
      </w:pPr>
      <w:r>
        <w:rPr>
          <w:b/>
          <w:color w:val="0B5C7A"/>
          <w:sz w:val="21"/>
        </w:rPr>
        <w:t>3.</w:t>
      </w:r>
      <w:r>
        <w:rPr>
          <w:sz w:val="21"/>
        </w:rPr>
        <w:tab/>
      </w:r>
      <w:r>
        <w:rPr>
          <w:b/>
          <w:sz w:val="21"/>
        </w:rPr>
        <w:t xml:space="preserve">Operations (Sections 23 and Appendix A). </w:t>
      </w:r>
      <w:r>
        <w:rPr>
          <w:b w:val="0"/>
          <w:sz w:val="21"/>
        </w:rPr>
        <w:t>Virtual environment setup, the execution sequence, artefact verification and troubleshooting.</w:t>
      </w:r>
    </w:p>
    <w:p>
      <w:pPr>
        <w:keepNext/>
        <w:spacing w:before="240" w:after="80"/>
      </w:pPr>
      <w:r>
        <w:rPr>
          <w:b/>
          <w:color w:val="1B355E"/>
          <w:sz w:val="25"/>
        </w:rPr>
        <w:t>2.2  Method</w:t>
      </w:r>
    </w:p>
    <w:p>
      <w:pPr>
        <w:spacing w:after="120" w:before="0"/>
        <w:jc w:val="both"/>
      </w:pPr>
      <w:r>
        <w:rPr>
          <w:b w:val="0"/>
          <w:i w:val="0"/>
          <w:sz w:val="21"/>
        </w:rPr>
        <w:t>The work proceeded in a fixed order so that every reported number is traceable to an execution of the corrected code:</w:t>
      </w:r>
    </w:p>
    <w:p>
      <w:pPr>
        <w:spacing w:after="80" w:line="264" w:lineRule="auto"/>
        <w:ind w:left="806" w:hanging="490"/>
        <w:jc w:val="both"/>
        <w:tabs>
          <w:tab w:val="left" w:pos="806"/>
        </w:tabs>
      </w:pPr>
      <w:r>
        <w:rPr>
          <w:b/>
          <w:color w:val="0B5C7A"/>
          <w:sz w:val="21"/>
        </w:rPr>
        <w:t>1.</w:t>
      </w:r>
      <w:r>
        <w:rPr>
          <w:sz w:val="21"/>
        </w:rPr>
        <w:tab/>
      </w:r>
      <w:r>
        <w:rPr>
          <w:b w:val="0"/>
          <w:sz w:val="21"/>
        </w:rPr>
        <w:t>The delivered code and all existing artefacts were read first, and the pre-remediation results recorded as the baseline.</w:t>
      </w:r>
    </w:p>
    <w:p>
      <w:pPr>
        <w:spacing w:after="80" w:line="264" w:lineRule="auto"/>
        <w:ind w:left="806" w:hanging="490"/>
        <w:jc w:val="both"/>
        <w:tabs>
          <w:tab w:val="left" w:pos="806"/>
        </w:tabs>
      </w:pPr>
      <w:r>
        <w:rPr>
          <w:b/>
          <w:color w:val="0B5C7A"/>
          <w:sz w:val="21"/>
        </w:rPr>
        <w:t>2.</w:t>
      </w:r>
      <w:r>
        <w:rPr>
          <w:sz w:val="21"/>
        </w:rPr>
        <w:tab/>
      </w:r>
      <w:r>
        <w:rPr>
          <w:b w:val="0"/>
          <w:sz w:val="21"/>
        </w:rPr>
        <w:t>A virtual environment was created and the declared dependencies installed, so the corrections were developed and tested against a known set of versions.</w:t>
      </w:r>
    </w:p>
    <w:p>
      <w:pPr>
        <w:spacing w:after="80" w:line="264" w:lineRule="auto"/>
        <w:ind w:left="806" w:hanging="490"/>
        <w:jc w:val="both"/>
        <w:tabs>
          <w:tab w:val="left" w:pos="806"/>
        </w:tabs>
      </w:pPr>
      <w:r>
        <w:rPr>
          <w:b/>
          <w:color w:val="0B5C7A"/>
          <w:sz w:val="21"/>
        </w:rPr>
        <w:t>3.</w:t>
      </w:r>
      <w:r>
        <w:rPr>
          <w:sz w:val="21"/>
        </w:rPr>
        <w:tab/>
      </w:r>
      <w:r>
        <w:rPr>
          <w:b w:val="0"/>
          <w:sz w:val="21"/>
        </w:rPr>
        <w:t>The three specified defects were corrected, together with two consequential fixes that the corrections made necessary.</w:t>
      </w:r>
    </w:p>
    <w:p>
      <w:pPr>
        <w:spacing w:after="80" w:line="264" w:lineRule="auto"/>
        <w:ind w:left="806" w:hanging="490"/>
        <w:jc w:val="both"/>
        <w:tabs>
          <w:tab w:val="left" w:pos="806"/>
        </w:tabs>
      </w:pPr>
      <w:r>
        <w:rPr>
          <w:b/>
          <w:color w:val="0B5C7A"/>
          <w:sz w:val="21"/>
        </w:rPr>
        <w:t>4.</w:t>
      </w:r>
      <w:r>
        <w:rPr>
          <w:sz w:val="21"/>
        </w:rPr>
        <w:tab/>
      </w:r>
      <w:r>
        <w:rPr>
          <w:b w:val="0"/>
          <w:sz w:val="21"/>
        </w:rPr>
        <w:t>Every phase was re-executed in sequence, in the virtual environment, from the raw CSV through to the business recommendations.</w:t>
      </w:r>
    </w:p>
    <w:p>
      <w:pPr>
        <w:spacing w:after="80" w:line="264" w:lineRule="auto"/>
        <w:ind w:left="806" w:hanging="490"/>
        <w:jc w:val="both"/>
        <w:tabs>
          <w:tab w:val="left" w:pos="806"/>
        </w:tabs>
      </w:pPr>
      <w:r>
        <w:rPr>
          <w:b/>
          <w:color w:val="0B5C7A"/>
          <w:sz w:val="21"/>
        </w:rPr>
        <w:t>5.</w:t>
      </w:r>
      <w:r>
        <w:rPr>
          <w:sz w:val="21"/>
        </w:rPr>
        <w:tab/>
      </w:r>
      <w:r>
        <w:rPr>
          <w:b w:val="0"/>
          <w:sz w:val="21"/>
        </w:rPr>
        <w:t>The dashboard was started and its scoring path exercised against the retrained model to confirm the serving path matches the training path.</w:t>
      </w:r>
    </w:p>
    <w:p>
      <w:pPr>
        <w:spacing w:after="80" w:line="264" w:lineRule="auto"/>
        <w:ind w:left="806" w:hanging="490"/>
        <w:jc w:val="both"/>
        <w:tabs>
          <w:tab w:val="left" w:pos="806"/>
        </w:tabs>
      </w:pPr>
      <w:r>
        <w:rPr>
          <w:b/>
          <w:color w:val="0B5C7A"/>
          <w:sz w:val="21"/>
        </w:rPr>
        <w:t>6.</w:t>
      </w:r>
      <w:r>
        <w:rPr>
          <w:sz w:val="21"/>
        </w:rPr>
        <w:tab/>
      </w:r>
      <w:r>
        <w:rPr>
          <w:b w:val="0"/>
          <w:sz w:val="21"/>
        </w:rPr>
        <w:t>All figures and tables in this report were then read from the regenerated artefacts.</w:t>
      </w:r>
    </w:p>
    <w:p>
      <w:pPr>
        <w:keepNext/>
        <w:spacing w:before="240" w:after="80"/>
      </w:pPr>
      <w:r>
        <w:rPr>
          <w:b/>
          <w:color w:val="1B355E"/>
          <w:sz w:val="25"/>
        </w:rPr>
        <w:t>2.3  Files changed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476"/>
        <w:gridCol w:w="1324"/>
        <w:gridCol w:w="5515"/>
      </w:tblGrid>
      <w:tr>
        <w:tc>
          <w:tcPr>
            <w:tcW w:type="dxa" w:w="2477"/>
            <w:shd w:val="clear" w:color="auto" w:fill="1B355E"/>
          </w:tcPr>
          <w:p>
            <w:pPr>
              <w:spacing w:after="20" w:before="20"/>
              <w:jc w:val="center"/>
            </w:pPr>
            <w:r>
              <w:rPr>
                <w:b/>
                <w:color w:val="FFFFFF"/>
                <w:sz w:val="16"/>
              </w:rPr>
              <w:t>File</w:t>
            </w:r>
          </w:p>
        </w:tc>
        <w:tc>
          <w:tcPr>
            <w:tcW w:type="dxa" w:w="1325"/>
            <w:shd w:val="clear" w:color="auto" w:fill="1B355E"/>
          </w:tcPr>
          <w:p>
            <w:pPr>
              <w:spacing w:after="20" w:before="20"/>
              <w:jc w:val="center"/>
            </w:pPr>
            <w:r>
              <w:rPr>
                <w:b/>
                <w:color w:val="FFFFFF"/>
                <w:sz w:val="16"/>
              </w:rPr>
              <w:t>Change</w:t>
            </w:r>
          </w:p>
        </w:tc>
        <w:tc>
          <w:tcPr>
            <w:tcW w:type="dxa" w:w="5515"/>
            <w:shd w:val="clear" w:color="auto" w:fill="1B355E"/>
          </w:tcPr>
          <w:p>
            <w:pPr>
              <w:spacing w:after="20" w:before="20"/>
              <w:jc w:val="center"/>
            </w:pPr>
            <w:r>
              <w:rPr>
                <w:b/>
                <w:color w:val="FFFFFF"/>
                <w:sz w:val="16"/>
              </w:rPr>
              <w:t>Reason</w:t>
            </w:r>
          </w:p>
        </w:tc>
      </w:tr>
      <w:tr>
        <w:tc>
          <w:tcPr>
            <w:tcW w:type="dxa" w:w="2477"/>
          </w:tcPr>
          <w:p>
            <w:pPr>
              <w:spacing w:after="20" w:before="20" w:line="254" w:lineRule="auto"/>
              <w:jc w:val="left"/>
            </w:pPr>
            <w:r>
              <w:rPr>
                <w:rFonts w:ascii="Consolas" w:hAnsi="Consolas" w:eastAsia="Consolas"/>
                <w:color w:val="8A2C1F"/>
                <w:sz w:val="15"/>
              </w:rPr>
              <w:t>churn_features.py</w:t>
            </w:r>
          </w:p>
        </w:tc>
        <w:tc>
          <w:tcPr>
            <w:tcW w:type="dxa" w:w="1325"/>
          </w:tcPr>
          <w:p>
            <w:pPr>
              <w:spacing w:after="20" w:before="20" w:line="254" w:lineRule="auto"/>
              <w:jc w:val="center"/>
            </w:pPr>
            <w:r>
              <w:rPr>
                <w:b/>
                <w:sz w:val="16"/>
              </w:rPr>
              <w:t>New module</w:t>
            </w:r>
          </w:p>
        </w:tc>
        <w:tc>
          <w:tcPr>
            <w:tcW w:type="dxa" w:w="5515"/>
          </w:tcPr>
          <w:p>
            <w:pPr>
              <w:spacing w:after="20" w:before="20" w:line="254" w:lineRule="auto"/>
              <w:jc w:val="left"/>
            </w:pPr>
            <w:r>
              <w:rPr>
                <w:sz w:val="16"/>
              </w:rPr>
              <w:t xml:space="preserve">Single definition of every engineered feature and of the segment naming rule, imported by phase 4, phase 5 and the dashboard so training and serving cannot drift apart. In round 2 it also excludes </w:t>
            </w:r>
            <w:r>
              <w:rPr>
                <w:rFonts w:ascii="Consolas" w:hAnsi="Consolas" w:eastAsia="Consolas"/>
                <w:color w:val="8A2C1F"/>
                <w:sz w:val="15"/>
              </w:rPr>
              <w:t>ContractRiskFlag</w:t>
            </w:r>
            <w:r>
              <w:rPr>
                <w:sz w:val="16"/>
              </w:rPr>
              <w:t xml:space="preserve"> from the model (issue 5) and defines the SHAP lever groups (issue 6)</w:t>
            </w:r>
          </w:p>
        </w:tc>
      </w:tr>
      <w:tr>
        <w:tc>
          <w:tcPr>
            <w:tcW w:type="dxa" w:w="2477"/>
            <w:shd w:val="clear" w:color="auto" w:fill="F2F5F9"/>
          </w:tcPr>
          <w:p>
            <w:pPr>
              <w:spacing w:after="20" w:before="20" w:line="254" w:lineRule="auto"/>
              <w:jc w:val="left"/>
            </w:pPr>
            <w:r>
              <w:rPr>
                <w:rFonts w:ascii="Consolas" w:hAnsi="Consolas" w:eastAsia="Consolas"/>
                <w:color w:val="8A2C1F"/>
                <w:sz w:val="15"/>
              </w:rPr>
              <w:t>phase4_feature_engineering.py</w:t>
            </w:r>
          </w:p>
        </w:tc>
        <w:tc>
          <w:tcPr>
            <w:tcW w:type="dxa" w:w="1325"/>
            <w:shd w:val="clear" w:color="auto" w:fill="F2F5F9"/>
          </w:tcPr>
          <w:p>
            <w:pPr>
              <w:spacing w:after="20" w:before="20" w:line="254" w:lineRule="auto"/>
              <w:jc w:val="center"/>
            </w:pPr>
            <w:r>
              <w:rPr>
                <w:sz w:val="16"/>
              </w:rPr>
              <w:t>Modified</w:t>
            </w:r>
          </w:p>
        </w:tc>
        <w:tc>
          <w:tcPr>
            <w:tcW w:type="dxa" w:w="5515"/>
            <w:shd w:val="clear" w:color="auto" w:fill="F2F5F9"/>
          </w:tcPr>
          <w:p>
            <w:pPr>
              <w:spacing w:after="20" w:before="20" w:line="254" w:lineRule="auto"/>
              <w:jc w:val="left"/>
            </w:pPr>
            <w:r>
              <w:rPr>
                <w:sz w:val="16"/>
              </w:rPr>
              <w:t>Builds features through the shared module; exports unscaled features and persists the ARPU quartile edges (defect 3)</w:t>
            </w:r>
          </w:p>
        </w:tc>
      </w:tr>
      <w:tr>
        <w:tc>
          <w:tcPr>
            <w:tcW w:type="dxa" w:w="2477"/>
          </w:tcPr>
          <w:p>
            <w:pPr>
              <w:spacing w:after="20" w:before="20" w:line="254" w:lineRule="auto"/>
              <w:jc w:val="left"/>
            </w:pPr>
            <w:r>
              <w:rPr>
                <w:rFonts w:ascii="Consolas" w:hAnsi="Consolas" w:eastAsia="Consolas"/>
                <w:color w:val="8A2C1F"/>
                <w:sz w:val="15"/>
              </w:rPr>
              <w:t>phase5_customer_segmentation.py</w:t>
            </w:r>
          </w:p>
        </w:tc>
        <w:tc>
          <w:tcPr>
            <w:tcW w:type="dxa" w:w="1325"/>
          </w:tcPr>
          <w:p>
            <w:pPr>
              <w:spacing w:after="20" w:before="20" w:line="254" w:lineRule="auto"/>
              <w:jc w:val="center"/>
            </w:pPr>
            <w:r>
              <w:rPr>
                <w:sz w:val="16"/>
              </w:rPr>
              <w:t>Modified</w:t>
            </w:r>
          </w:p>
        </w:tc>
        <w:tc>
          <w:tcPr>
            <w:tcW w:type="dxa" w:w="5515"/>
          </w:tcPr>
          <w:p>
            <w:pPr>
              <w:spacing w:after="20" w:before="20" w:line="254" w:lineRule="auto"/>
              <w:jc w:val="left"/>
            </w:pPr>
            <w:r>
              <w:rPr>
                <w:sz w:val="16"/>
              </w:rPr>
              <w:t>Centroid-based segment naming (defect 2); merges the phase 4 features (defect 3); persists the fitted segmentation model</w:t>
            </w:r>
          </w:p>
        </w:tc>
      </w:tr>
      <w:tr>
        <w:tc>
          <w:tcPr>
            <w:tcW w:type="dxa" w:w="2477"/>
            <w:shd w:val="clear" w:color="auto" w:fill="F2F5F9"/>
          </w:tcPr>
          <w:p>
            <w:pPr>
              <w:spacing w:after="20" w:before="20" w:line="254" w:lineRule="auto"/>
              <w:jc w:val="left"/>
            </w:pPr>
            <w:r>
              <w:rPr>
                <w:rFonts w:ascii="Consolas" w:hAnsi="Consolas" w:eastAsia="Consolas"/>
                <w:color w:val="8A2C1F"/>
                <w:sz w:val="15"/>
              </w:rPr>
              <w:t>phase6_model_development.py</w:t>
            </w:r>
          </w:p>
        </w:tc>
        <w:tc>
          <w:tcPr>
            <w:tcW w:type="dxa" w:w="1325"/>
            <w:shd w:val="clear" w:color="auto" w:fill="F2F5F9"/>
          </w:tcPr>
          <w:p>
            <w:pPr>
              <w:spacing w:after="20" w:before="20" w:line="254" w:lineRule="auto"/>
              <w:jc w:val="center"/>
            </w:pPr>
            <w:r>
              <w:rPr>
                <w:sz w:val="16"/>
              </w:rPr>
              <w:t>Modified</w:t>
            </w:r>
          </w:p>
        </w:tc>
        <w:tc>
          <w:tcPr>
            <w:tcW w:type="dxa" w:w="5515"/>
            <w:shd w:val="clear" w:color="auto" w:fill="F2F5F9"/>
          </w:tcPr>
          <w:p>
            <w:pPr>
              <w:spacing w:after="20" w:before="20" w:line="254" w:lineRule="auto"/>
              <w:jc w:val="left"/>
            </w:pPr>
            <w:r>
              <w:rPr>
                <w:rFonts w:ascii="Consolas" w:hAnsi="Consolas" w:eastAsia="Consolas"/>
                <w:color w:val="8A2C1F"/>
                <w:sz w:val="15"/>
              </w:rPr>
              <w:t>TEST_SIZE = 0.20</w:t>
            </w:r>
            <w:r>
              <w:rPr>
                <w:sz w:val="16"/>
              </w:rPr>
              <w:t xml:space="preserve"> (defect 1); model matrix built by the shared helper (defect 2); labels from </w:t>
            </w:r>
            <w:r>
              <w:rPr>
                <w:rFonts w:ascii="Consolas" w:hAnsi="Consolas" w:eastAsia="Consolas"/>
                <w:color w:val="8A2C1F"/>
                <w:sz w:val="15"/>
              </w:rPr>
              <w:t>predict_proba</w:t>
            </w:r>
            <w:r>
              <w:rPr>
                <w:sz w:val="16"/>
              </w:rPr>
              <w:t xml:space="preserve"> at </w:t>
            </w:r>
            <w:r>
              <w:rPr>
                <w:rFonts w:ascii="Consolas" w:hAnsi="Consolas" w:eastAsia="Consolas"/>
                <w:color w:val="8A2C1F"/>
                <w:sz w:val="15"/>
              </w:rPr>
              <w:t>DECISION_THRESHOLD</w:t>
            </w:r>
            <w:r>
              <w:rPr>
                <w:sz w:val="16"/>
              </w:rPr>
              <w:t xml:space="preserve"> (issue 4)</w:t>
            </w:r>
          </w:p>
        </w:tc>
      </w:tr>
      <w:tr>
        <w:tc>
          <w:tcPr>
            <w:tcW w:type="dxa" w:w="2477"/>
          </w:tcPr>
          <w:p>
            <w:pPr>
              <w:spacing w:after="20" w:before="20" w:line="254" w:lineRule="auto"/>
              <w:jc w:val="left"/>
            </w:pPr>
            <w:r>
              <w:rPr>
                <w:rFonts w:ascii="Consolas" w:hAnsi="Consolas" w:eastAsia="Consolas"/>
                <w:color w:val="8A2C1F"/>
                <w:sz w:val="15"/>
              </w:rPr>
              <w:t>phase7_model_evaluation.py</w:t>
            </w:r>
          </w:p>
        </w:tc>
        <w:tc>
          <w:tcPr>
            <w:tcW w:type="dxa" w:w="1325"/>
          </w:tcPr>
          <w:p>
            <w:pPr>
              <w:spacing w:after="20" w:before="20" w:line="254" w:lineRule="auto"/>
              <w:jc w:val="center"/>
            </w:pPr>
            <w:r>
              <w:rPr>
                <w:sz w:val="16"/>
              </w:rPr>
              <w:t>Modified</w:t>
            </w:r>
          </w:p>
        </w:tc>
        <w:tc>
          <w:tcPr>
            <w:tcW w:type="dxa" w:w="5515"/>
          </w:tcPr>
          <w:p>
            <w:pPr>
              <w:spacing w:after="20" w:before="20" w:line="254" w:lineRule="auto"/>
              <w:jc w:val="left"/>
            </w:pPr>
            <w:r>
              <w:rPr>
                <w:rFonts w:ascii="Consolas" w:hAnsi="Consolas" w:eastAsia="Consolas"/>
                <w:color w:val="8A2C1F"/>
                <w:sz w:val="15"/>
              </w:rPr>
              <w:t>TEST_SIZE = 0.20</w:t>
            </w:r>
            <w:r>
              <w:rPr>
                <w:sz w:val="16"/>
              </w:rPr>
              <w:t xml:space="preserve"> (defect 1); model matrix built by the shared helper (defect 2)</w:t>
            </w:r>
          </w:p>
        </w:tc>
      </w:tr>
      <w:tr>
        <w:tc>
          <w:tcPr>
            <w:tcW w:type="dxa" w:w="2477"/>
            <w:shd w:val="clear" w:color="auto" w:fill="F2F5F9"/>
          </w:tcPr>
          <w:p>
            <w:pPr>
              <w:spacing w:after="20" w:before="20" w:line="254" w:lineRule="auto"/>
              <w:jc w:val="left"/>
            </w:pPr>
            <w:r>
              <w:rPr>
                <w:rFonts w:ascii="Consolas" w:hAnsi="Consolas" w:eastAsia="Consolas"/>
                <w:color w:val="8A2C1F"/>
                <w:sz w:val="15"/>
              </w:rPr>
              <w:t>phase8_churn_probability_xai.py</w:t>
            </w:r>
          </w:p>
        </w:tc>
        <w:tc>
          <w:tcPr>
            <w:tcW w:type="dxa" w:w="1325"/>
            <w:shd w:val="clear" w:color="auto" w:fill="F2F5F9"/>
          </w:tcPr>
          <w:p>
            <w:pPr>
              <w:spacing w:after="20" w:before="20" w:line="254" w:lineRule="auto"/>
              <w:jc w:val="center"/>
            </w:pPr>
            <w:r>
              <w:rPr>
                <w:sz w:val="16"/>
              </w:rPr>
              <w:t>Modified</w:t>
            </w:r>
          </w:p>
        </w:tc>
        <w:tc>
          <w:tcPr>
            <w:tcW w:type="dxa" w:w="5515"/>
            <w:shd w:val="clear" w:color="auto" w:fill="F2F5F9"/>
          </w:tcPr>
          <w:p>
            <w:pPr>
              <w:spacing w:after="20" w:before="20" w:line="254" w:lineRule="auto"/>
              <w:jc w:val="left"/>
            </w:pPr>
            <w:r>
              <w:rPr>
                <w:rFonts w:ascii="Consolas" w:hAnsi="Consolas" w:eastAsia="Consolas"/>
                <w:color w:val="8A2C1F"/>
                <w:sz w:val="15"/>
              </w:rPr>
              <w:t>TEST_SIZE = 0.20</w:t>
            </w:r>
            <w:r>
              <w:rPr>
                <w:sz w:val="16"/>
              </w:rPr>
              <w:t xml:space="preserve"> (defect 1); model matrix built by the shared helper, including the SHAP reason-code matrix (defect 2); exports per-customer SHAP levers (issue 6)</w:t>
            </w:r>
          </w:p>
        </w:tc>
      </w:tr>
      <w:tr>
        <w:tc>
          <w:tcPr>
            <w:tcW w:type="dxa" w:w="2477"/>
          </w:tcPr>
          <w:p>
            <w:pPr>
              <w:spacing w:after="20" w:before="20" w:line="254" w:lineRule="auto"/>
              <w:jc w:val="left"/>
            </w:pPr>
            <w:r>
              <w:rPr>
                <w:rFonts w:ascii="Consolas" w:hAnsi="Consolas" w:eastAsia="Consolas"/>
                <w:color w:val="8A2C1F"/>
                <w:sz w:val="15"/>
              </w:rPr>
              <w:t>phase9_business_recommendations.py</w:t>
            </w:r>
          </w:p>
        </w:tc>
        <w:tc>
          <w:tcPr>
            <w:tcW w:type="dxa" w:w="1325"/>
          </w:tcPr>
          <w:p>
            <w:pPr>
              <w:spacing w:after="20" w:before="20" w:line="254" w:lineRule="auto"/>
              <w:jc w:val="center"/>
            </w:pPr>
            <w:r>
              <w:rPr>
                <w:sz w:val="16"/>
              </w:rPr>
              <w:t>Modified</w:t>
            </w:r>
          </w:p>
        </w:tc>
        <w:tc>
          <w:tcPr>
            <w:tcW w:type="dxa" w:w="5515"/>
          </w:tcPr>
          <w:p>
            <w:pPr>
              <w:spacing w:after="20" w:before="20" w:line="254" w:lineRule="auto"/>
              <w:jc w:val="left"/>
            </w:pPr>
            <w:r>
              <w:rPr>
                <w:sz w:val="16"/>
              </w:rPr>
              <w:t>Reads recall and the baseline churn rate from upstream artefacts; driver and action taken from the phase 8 SHAP levers instead of a rule cascade (issue 6)</w:t>
            </w:r>
          </w:p>
        </w:tc>
      </w:tr>
      <w:tr>
        <w:tc>
          <w:tcPr>
            <w:tcW w:type="dxa" w:w="2477"/>
            <w:shd w:val="clear" w:color="auto" w:fill="F2F5F9"/>
          </w:tcPr>
          <w:p>
            <w:pPr>
              <w:spacing w:after="20" w:before="20" w:line="254" w:lineRule="auto"/>
              <w:jc w:val="left"/>
            </w:pPr>
            <w:r>
              <w:rPr>
                <w:rFonts w:ascii="Consolas" w:hAnsi="Consolas" w:eastAsia="Consolas"/>
                <w:color w:val="8A2C1F"/>
                <w:sz w:val="15"/>
              </w:rPr>
              <w:t>app/app.py</w:t>
            </w:r>
          </w:p>
        </w:tc>
        <w:tc>
          <w:tcPr>
            <w:tcW w:type="dxa" w:w="1325"/>
            <w:shd w:val="clear" w:color="auto" w:fill="F2F5F9"/>
          </w:tcPr>
          <w:p>
            <w:pPr>
              <w:spacing w:after="20" w:before="20" w:line="254" w:lineRule="auto"/>
              <w:jc w:val="center"/>
            </w:pPr>
            <w:r>
              <w:rPr>
                <w:sz w:val="16"/>
              </w:rPr>
              <w:t>Modified</w:t>
            </w:r>
          </w:p>
        </w:tc>
        <w:tc>
          <w:tcPr>
            <w:tcW w:type="dxa" w:w="5515"/>
            <w:shd w:val="clear" w:color="auto" w:fill="F2F5F9"/>
          </w:tcPr>
          <w:p>
            <w:pPr>
              <w:spacing w:after="20" w:before="20" w:line="254" w:lineRule="auto"/>
              <w:jc w:val="left"/>
            </w:pPr>
            <w:r>
              <w:rPr>
                <w:sz w:val="16"/>
              </w:rPr>
              <w:t>Scores through the shared module and the persisted segmentation model instead of a hand-written segment heuristic</w:t>
            </w:r>
          </w:p>
        </w:tc>
      </w:tr>
      <w:tr>
        <w:tc>
          <w:tcPr>
            <w:tcW w:type="dxa" w:w="2477"/>
          </w:tcPr>
          <w:p>
            <w:pPr>
              <w:spacing w:after="20" w:before="20" w:line="254" w:lineRule="auto"/>
              <w:jc w:val="left"/>
            </w:pPr>
            <w:r>
              <w:rPr>
                <w:sz w:val="16"/>
              </w:rPr>
              <w:t>Phases 1, 2, 3</w:t>
            </w:r>
          </w:p>
        </w:tc>
        <w:tc>
          <w:tcPr>
            <w:tcW w:type="dxa" w:w="1325"/>
          </w:tcPr>
          <w:p>
            <w:pPr>
              <w:spacing w:after="20" w:before="20" w:line="254" w:lineRule="auto"/>
              <w:jc w:val="center"/>
            </w:pPr>
            <w:r>
              <w:rPr>
                <w:b/>
                <w:sz w:val="16"/>
              </w:rPr>
              <w:t>Unchanged</w:t>
            </w:r>
          </w:p>
        </w:tc>
        <w:tc>
          <w:tcPr>
            <w:tcW w:type="dxa" w:w="5515"/>
          </w:tcPr>
          <w:p>
            <w:pPr>
              <w:spacing w:after="20" w:before="20" w:line="254" w:lineRule="auto"/>
              <w:jc w:val="left"/>
            </w:pPr>
            <w:r>
              <w:rPr>
                <w:sz w:val="16"/>
              </w:rPr>
              <w:t>No defect was identified in data profiling, cleaning or exploratory analysis</w:t>
            </w:r>
          </w:p>
        </w:tc>
      </w:tr>
    </w:tbl>
    <w:p>
      <w:pPr>
        <w:spacing w:before="60" w:after="200"/>
        <w:jc w:val="center"/>
      </w:pPr>
      <w:r>
        <w:rPr>
          <w:i/>
          <w:color w:val="555F6B"/>
          <w:sz w:val="17"/>
        </w:rPr>
        <w:t>Table 4: Every file changed during remediation, with the reason for each change.</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DF3FA"/>
          </w:tcPr>
          <w:p>
            <w:pPr>
              <w:spacing w:after="40"/>
            </w:pPr>
            <w:r>
              <w:rPr>
                <w:b/>
                <w:color w:val="1B355E"/>
                <w:sz w:val="19"/>
              </w:rPr>
              <w:t>Why a shared module was introduced rather than editing each script in place.</w:t>
            </w:r>
          </w:p>
          <w:p>
            <w:pPr>
              <w:spacing w:after="0"/>
              <w:jc w:val="both"/>
            </w:pPr>
            <w:r>
              <w:rPr>
                <w:sz w:val="19"/>
              </w:rPr>
              <w:t>Defect 3 requires the engineered features to reach the models, and the dashboard must then build those same features for an uploaded customer. Duplicating the construction in three places is how train/serve mismatches begin — and the delivered app already showed one, reconstructing segments from a hand-written rule that did not reproduce the trained clusters. A single imported definition makes the mismatch structurally impossible. The module contains no new modelling logic; it is the existing feature code, moved to one place and given fit/transform semantics so training boundaries are reused at prediction time.</w:t>
            </w:r>
          </w:p>
        </w:tc>
      </w:tr>
    </w:tbl>
    <w:p>
      <w:pPr>
        <w:spacing w:after="120"/>
      </w:pPr>
    </w:p>
    <w:p>
      <w:r>
        <w:br w:type="page"/>
      </w:r>
    </w:p>
    <w:p>
      <w:pPr>
        <w:spacing w:after="0"/>
      </w:pPr>
    </w:p>
    <w:p>
      <w:pPr>
        <w:keepNext/>
        <w:spacing w:before="80" w:after="40"/>
        <w:pBdr>
          <w:bottom w:val="single" w:sz="10" w:space="3" w:color="1B355E"/>
        </w:pBdr>
      </w:pPr>
      <w:r>
        <w:rPr>
          <w:b/>
          <w:color w:val="1B355E"/>
          <w:sz w:val="30"/>
        </w:rPr>
        <w:t>3.  Project Structure and File Inventory</w:t>
      </w:r>
    </w:p>
    <w:p>
      <w:pPr>
        <w:spacing w:after="40"/>
      </w:pPr>
    </w:p>
    <w:p>
      <w:pPr>
        <w:spacing w:after="120" w:before="0"/>
        <w:jc w:val="both"/>
      </w:pPr>
      <w:r>
        <w:rPr>
          <w:b w:val="0"/>
          <w:i w:val="0"/>
          <w:sz w:val="21"/>
        </w:rPr>
        <w:t>All scripts use paths relative to the working directory, so every module must be executed with customer_churn_100\customer_churn as the current directory.</w:t>
      </w:r>
    </w:p>
    <w:p>
      <w:pPr>
        <w:keepNext/>
        <w:spacing w:before="240" w:after="80"/>
      </w:pPr>
      <w:r>
        <w:rPr>
          <w:b/>
          <w:color w:val="1B355E"/>
          <w:sz w:val="25"/>
        </w:rPr>
        <w:t>3.1  Directory tree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customer_churn_100/</w:t>
            </w:r>
          </w:p>
          <w:p>
            <w:pPr>
              <w:spacing w:after="0" w:before="0" w:line="240" w:lineRule="auto"/>
            </w:pPr>
            <w:r>
              <w:rPr>
                <w:rFonts w:ascii="Consolas" w:hAnsi="Consolas" w:eastAsia="Consolas"/>
                <w:color w:val="1A232E"/>
                <w:sz w:val="16"/>
              </w:rPr>
              <w:t>└── customer_churn/                        &lt;- working directory for all scripts</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churn_features.py            NEW    shared feature + segmentation logic</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phase1_data_understanding.py         97 lines   data profiling</w:t>
            </w:r>
          </w:p>
          <w:p>
            <w:pPr>
              <w:spacing w:after="0" w:before="0" w:line="240" w:lineRule="auto"/>
            </w:pPr>
            <w:r>
              <w:rPr>
                <w:rFonts w:ascii="Consolas" w:hAnsi="Consolas" w:eastAsia="Consolas"/>
                <w:color w:val="1A232E"/>
                <w:sz w:val="16"/>
              </w:rPr>
              <w:t xml:space="preserve">    ├── phase2_data_cleaning.py             160 lines   cleaning and validation</w:t>
            </w:r>
          </w:p>
          <w:p>
            <w:pPr>
              <w:spacing w:after="0" w:before="0" w:line="240" w:lineRule="auto"/>
            </w:pPr>
            <w:r>
              <w:rPr>
                <w:rFonts w:ascii="Consolas" w:hAnsi="Consolas" w:eastAsia="Consolas"/>
                <w:color w:val="1A232E"/>
                <w:sz w:val="16"/>
              </w:rPr>
              <w:t xml:space="preserve">    ├── phase3_eda.py                       317 lines   exploratory analysis</w:t>
            </w:r>
          </w:p>
          <w:p>
            <w:pPr>
              <w:spacing w:after="0" w:before="0" w:line="240" w:lineRule="auto"/>
            </w:pPr>
            <w:r>
              <w:rPr>
                <w:rFonts w:ascii="Consolas" w:hAnsi="Consolas" w:eastAsia="Consolas"/>
                <w:color w:val="1A232E"/>
                <w:sz w:val="16"/>
              </w:rPr>
              <w:t xml:space="preserve">    ├── phase4_feature_engineering.py       235 lines   feature construction</w:t>
            </w:r>
          </w:p>
          <w:p>
            <w:pPr>
              <w:spacing w:after="0" w:before="0" w:line="240" w:lineRule="auto"/>
            </w:pPr>
            <w:r>
              <w:rPr>
                <w:rFonts w:ascii="Consolas" w:hAnsi="Consolas" w:eastAsia="Consolas"/>
                <w:color w:val="1A232E"/>
                <w:sz w:val="16"/>
              </w:rPr>
              <w:t xml:space="preserve">    ├── phase5_customer_segmentation.py     361 lines   K-Means segmentation</w:t>
            </w:r>
          </w:p>
          <w:p>
            <w:pPr>
              <w:spacing w:after="0" w:before="0" w:line="240" w:lineRule="auto"/>
            </w:pPr>
            <w:r>
              <w:rPr>
                <w:rFonts w:ascii="Consolas" w:hAnsi="Consolas" w:eastAsia="Consolas"/>
                <w:color w:val="1A232E"/>
                <w:sz w:val="16"/>
              </w:rPr>
              <w:t xml:space="preserve">    ├── phase6_model_development.py         539 lines   training and tuning</w:t>
            </w:r>
          </w:p>
          <w:p>
            <w:pPr>
              <w:spacing w:after="0" w:before="0" w:line="240" w:lineRule="auto"/>
            </w:pPr>
            <w:r>
              <w:rPr>
                <w:rFonts w:ascii="Consolas" w:hAnsi="Consolas" w:eastAsia="Consolas"/>
                <w:color w:val="1A232E"/>
                <w:sz w:val="16"/>
              </w:rPr>
              <w:t xml:space="preserve">    ├── phase7_model_evaluation.py          580 lines   comparison, thresholds</w:t>
            </w:r>
          </w:p>
          <w:p>
            <w:pPr>
              <w:spacing w:after="0" w:before="0" w:line="240" w:lineRule="auto"/>
            </w:pPr>
            <w:r>
              <w:rPr>
                <w:rFonts w:ascii="Consolas" w:hAnsi="Consolas" w:eastAsia="Consolas"/>
                <w:color w:val="1A232E"/>
                <w:sz w:val="16"/>
              </w:rPr>
              <w:t xml:space="preserve">    ├── phase8_churn_probability_xai.py     541 lines   calibration, SHAP</w:t>
            </w:r>
          </w:p>
          <w:p>
            <w:pPr>
              <w:spacing w:after="0" w:before="0" w:line="240" w:lineRule="auto"/>
            </w:pPr>
            <w:r>
              <w:rPr>
                <w:rFonts w:ascii="Consolas" w:hAnsi="Consolas" w:eastAsia="Consolas"/>
                <w:color w:val="1A232E"/>
                <w:sz w:val="16"/>
              </w:rPr>
              <w:t xml:space="preserve">    ├── phase9_business_recommendations.py  487 lines   revenue impact</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app/</w:t>
            </w:r>
          </w:p>
          <w:p>
            <w:pPr>
              <w:spacing w:after="0" w:before="0" w:line="240" w:lineRule="auto"/>
            </w:pPr>
            <w:r>
              <w:rPr>
                <w:rFonts w:ascii="Consolas" w:hAnsi="Consolas" w:eastAsia="Consolas"/>
                <w:color w:val="1A232E"/>
                <w:sz w:val="16"/>
              </w:rPr>
              <w:t xml:space="preserve">    │   ├── app.py                        1 145 lines   Streamlit dashboard</w:t>
            </w:r>
          </w:p>
          <w:p>
            <w:pPr>
              <w:spacing w:after="0" w:before="0" w:line="240" w:lineRule="auto"/>
            </w:pPr>
            <w:r>
              <w:rPr>
                <w:rFonts w:ascii="Consolas" w:hAnsi="Consolas" w:eastAsia="Consolas"/>
                <w:color w:val="1A232E"/>
                <w:sz w:val="16"/>
              </w:rPr>
              <w:t xml:space="preserve">    │   └── README.md</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data/          raw, cleaned, features, segmented + 8 result files</w:t>
            </w:r>
          </w:p>
          <w:p>
            <w:pPr>
              <w:spacing w:after="0" w:before="0" w:line="240" w:lineRule="auto"/>
            </w:pPr>
            <w:r>
              <w:rPr>
                <w:rFonts w:ascii="Consolas" w:hAnsi="Consolas" w:eastAsia="Consolas"/>
                <w:color w:val="1A232E"/>
                <w:sz w:val="16"/>
              </w:rPr>
              <w:t xml:space="preserve">    ├── charts/        24 generated PNG figures</w:t>
            </w:r>
          </w:p>
          <w:p>
            <w:pPr>
              <w:spacing w:after="0" w:before="0" w:line="240" w:lineRule="auto"/>
            </w:pPr>
            <w:r>
              <w:rPr>
                <w:rFonts w:ascii="Consolas" w:hAnsi="Consolas" w:eastAsia="Consolas"/>
                <w:color w:val="1A232E"/>
                <w:sz w:val="16"/>
              </w:rPr>
              <w:t xml:space="preserve">    ├── models/        5 serialised artefacts</w:t>
            </w:r>
          </w:p>
          <w:p>
            <w:pPr>
              <w:spacing w:after="0" w:before="0" w:line="240" w:lineRule="auto"/>
            </w:pPr>
            <w:r>
              <w:rPr>
                <w:rFonts w:ascii="Consolas" w:hAnsi="Consolas" w:eastAsia="Consolas"/>
                <w:color w:val="1A232E"/>
                <w:sz w:val="16"/>
              </w:rPr>
              <w:t xml:space="preserve">    ├── requirements.txt</w:t>
            </w:r>
          </w:p>
          <w:p>
            <w:pPr>
              <w:spacing w:after="0" w:before="0" w:line="240" w:lineRule="auto"/>
            </w:pPr>
            <w:r>
              <w:rPr>
                <w:rFonts w:ascii="Consolas" w:hAnsi="Consolas" w:eastAsia="Consolas"/>
                <w:color w:val="1A232E"/>
                <w:sz w:val="16"/>
              </w:rPr>
              <w:t xml:space="preserve">    └── .venv/                        NEW    virtual environment</w:t>
            </w:r>
          </w:p>
        </w:tc>
      </w:tr>
    </w:tbl>
    <w:p>
      <w:pPr>
        <w:spacing w:before="60" w:after="180"/>
        <w:jc w:val="center"/>
      </w:pPr>
      <w:r>
        <w:rPr>
          <w:i/>
          <w:color w:val="555F6B"/>
          <w:sz w:val="17"/>
        </w:rPr>
        <w:t>Listing 1: Directory layout after remediation. Items marked NEW were added during this work.</w:t>
      </w:r>
    </w:p>
    <w:p>
      <w:pPr>
        <w:keepNext/>
        <w:spacing w:before="240" w:after="80"/>
      </w:pPr>
      <w:r>
        <w:rPr>
          <w:b/>
          <w:color w:val="1B355E"/>
          <w:sz w:val="25"/>
        </w:rPr>
        <w:t>3.2  Module inventory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563"/>
        <w:gridCol w:w="648"/>
        <w:gridCol w:w="2520"/>
        <w:gridCol w:w="3585"/>
      </w:tblGrid>
      <w:tr>
        <w:tc>
          <w:tcPr>
            <w:tcW w:type="dxa" w:w="2563"/>
            <w:shd w:val="clear" w:color="auto" w:fill="1B355E"/>
          </w:tcPr>
          <w:p>
            <w:pPr>
              <w:spacing w:after="20" w:before="20"/>
              <w:jc w:val="center"/>
            </w:pPr>
            <w:r>
              <w:rPr>
                <w:b/>
                <w:color w:val="FFFFFF"/>
                <w:sz w:val="16"/>
              </w:rPr>
              <w:t>Module</w:t>
            </w:r>
          </w:p>
        </w:tc>
        <w:tc>
          <w:tcPr>
            <w:tcW w:type="dxa" w:w="648"/>
            <w:shd w:val="clear" w:color="auto" w:fill="1B355E"/>
          </w:tcPr>
          <w:p>
            <w:pPr>
              <w:spacing w:after="20" w:before="20"/>
              <w:jc w:val="center"/>
            </w:pPr>
            <w:r>
              <w:rPr>
                <w:b/>
                <w:color w:val="FFFFFF"/>
                <w:sz w:val="16"/>
              </w:rPr>
              <w:t>LOC</w:t>
            </w:r>
          </w:p>
        </w:tc>
        <w:tc>
          <w:tcPr>
            <w:tcW w:type="dxa" w:w="2520"/>
            <w:shd w:val="clear" w:color="auto" w:fill="1B355E"/>
          </w:tcPr>
          <w:p>
            <w:pPr>
              <w:spacing w:after="20" w:before="20"/>
              <w:jc w:val="center"/>
            </w:pPr>
            <w:r>
              <w:rPr>
                <w:b/>
                <w:color w:val="FFFFFF"/>
                <w:sz w:val="16"/>
              </w:rPr>
              <w:t>Reads</w:t>
            </w:r>
          </w:p>
        </w:tc>
        <w:tc>
          <w:tcPr>
            <w:tcW w:type="dxa" w:w="3586"/>
            <w:shd w:val="clear" w:color="auto" w:fill="1B355E"/>
          </w:tcPr>
          <w:p>
            <w:pPr>
              <w:spacing w:after="20" w:before="20"/>
              <w:jc w:val="center"/>
            </w:pPr>
            <w:r>
              <w:rPr>
                <w:b/>
                <w:color w:val="FFFFFF"/>
                <w:sz w:val="16"/>
              </w:rPr>
              <w:t>Writes</w:t>
            </w:r>
          </w:p>
        </w:tc>
      </w:tr>
      <w:tr>
        <w:tc>
          <w:tcPr>
            <w:tcW w:type="dxa" w:w="2563"/>
          </w:tcPr>
          <w:p>
            <w:pPr>
              <w:spacing w:after="20" w:before="20" w:line="254" w:lineRule="auto"/>
              <w:jc w:val="left"/>
            </w:pPr>
            <w:r>
              <w:rPr>
                <w:rFonts w:ascii="Consolas" w:hAnsi="Consolas" w:eastAsia="Consolas"/>
                <w:color w:val="8A2C1F"/>
                <w:sz w:val="15"/>
              </w:rPr>
              <w:t>churn_features.py</w:t>
            </w:r>
          </w:p>
        </w:tc>
        <w:tc>
          <w:tcPr>
            <w:tcW w:type="dxa" w:w="648"/>
          </w:tcPr>
          <w:p>
            <w:pPr>
              <w:spacing w:after="20" w:before="20" w:line="254" w:lineRule="auto"/>
              <w:jc w:val="center"/>
            </w:pPr>
            <w:r>
              <w:rPr>
                <w:sz w:val="16"/>
              </w:rPr>
              <w:t>~270</w:t>
            </w:r>
          </w:p>
        </w:tc>
        <w:tc>
          <w:tcPr>
            <w:tcW w:type="dxa" w:w="2520"/>
          </w:tcPr>
          <w:p>
            <w:pPr>
              <w:spacing w:after="20" w:before="20" w:line="254" w:lineRule="auto"/>
              <w:jc w:val="center"/>
            </w:pPr>
            <w:r>
              <w:rPr>
                <w:sz w:val="16"/>
              </w:rPr>
              <w:t>nothing (library)</w:t>
            </w:r>
          </w:p>
        </w:tc>
        <w:tc>
          <w:tcPr>
            <w:tcW w:type="dxa" w:w="3586"/>
          </w:tcPr>
          <w:p>
            <w:pPr>
              <w:spacing w:after="20" w:before="20" w:line="254" w:lineRule="auto"/>
              <w:jc w:val="center"/>
            </w:pPr>
            <w:r>
              <w:rPr>
                <w:sz w:val="16"/>
              </w:rPr>
              <w:t>nothing (library)</w:t>
            </w:r>
          </w:p>
        </w:tc>
      </w:tr>
      <w:tr>
        <w:tc>
          <w:tcPr>
            <w:tcW w:type="dxa" w:w="2563"/>
            <w:shd w:val="clear" w:color="auto" w:fill="F2F5F9"/>
          </w:tcPr>
          <w:p>
            <w:pPr>
              <w:spacing w:after="20" w:before="20" w:line="254" w:lineRule="auto"/>
              <w:jc w:val="left"/>
            </w:pPr>
            <w:r>
              <w:rPr>
                <w:rFonts w:ascii="Consolas" w:hAnsi="Consolas" w:eastAsia="Consolas"/>
                <w:color w:val="8A2C1F"/>
                <w:sz w:val="15"/>
              </w:rPr>
              <w:t>phase1_data_understanding.py</w:t>
            </w:r>
          </w:p>
        </w:tc>
        <w:tc>
          <w:tcPr>
            <w:tcW w:type="dxa" w:w="648"/>
            <w:shd w:val="clear" w:color="auto" w:fill="F2F5F9"/>
          </w:tcPr>
          <w:p>
            <w:pPr>
              <w:spacing w:after="20" w:before="20" w:line="254" w:lineRule="auto"/>
              <w:jc w:val="center"/>
            </w:pPr>
            <w:r>
              <w:rPr>
                <w:sz w:val="16"/>
              </w:rPr>
              <w:t>97</w:t>
            </w:r>
          </w:p>
        </w:tc>
        <w:tc>
          <w:tcPr>
            <w:tcW w:type="dxa" w:w="2520"/>
            <w:shd w:val="clear" w:color="auto" w:fill="F2F5F9"/>
          </w:tcPr>
          <w:p>
            <w:pPr>
              <w:spacing w:after="20" w:before="20" w:line="254" w:lineRule="auto"/>
              <w:jc w:val="center"/>
            </w:pPr>
            <w:r>
              <w:rPr>
                <w:rFonts w:ascii="Consolas" w:hAnsi="Consolas" w:eastAsia="Consolas"/>
                <w:color w:val="8A2C1F"/>
                <w:sz w:val="15"/>
              </w:rPr>
              <w:t>Customer-Churn.csv</w:t>
            </w:r>
          </w:p>
        </w:tc>
        <w:tc>
          <w:tcPr>
            <w:tcW w:type="dxa" w:w="3586"/>
            <w:shd w:val="clear" w:color="auto" w:fill="F2F5F9"/>
          </w:tcPr>
          <w:p>
            <w:pPr>
              <w:spacing w:after="20" w:before="20" w:line="254" w:lineRule="auto"/>
              <w:jc w:val="center"/>
            </w:pPr>
            <w:r>
              <w:rPr>
                <w:sz w:val="16"/>
              </w:rPr>
              <w:t>console report only</w:t>
            </w:r>
          </w:p>
        </w:tc>
      </w:tr>
      <w:tr>
        <w:tc>
          <w:tcPr>
            <w:tcW w:type="dxa" w:w="2563"/>
          </w:tcPr>
          <w:p>
            <w:pPr>
              <w:spacing w:after="20" w:before="20" w:line="254" w:lineRule="auto"/>
              <w:jc w:val="left"/>
            </w:pPr>
            <w:r>
              <w:rPr>
                <w:rFonts w:ascii="Consolas" w:hAnsi="Consolas" w:eastAsia="Consolas"/>
                <w:color w:val="8A2C1F"/>
                <w:sz w:val="15"/>
              </w:rPr>
              <w:t>phase2_data_cleaning.py</w:t>
            </w:r>
          </w:p>
        </w:tc>
        <w:tc>
          <w:tcPr>
            <w:tcW w:type="dxa" w:w="648"/>
          </w:tcPr>
          <w:p>
            <w:pPr>
              <w:spacing w:after="20" w:before="20" w:line="254" w:lineRule="auto"/>
              <w:jc w:val="center"/>
            </w:pPr>
            <w:r>
              <w:rPr>
                <w:sz w:val="16"/>
              </w:rPr>
              <w:t>160</w:t>
            </w:r>
          </w:p>
        </w:tc>
        <w:tc>
          <w:tcPr>
            <w:tcW w:type="dxa" w:w="2520"/>
          </w:tcPr>
          <w:p>
            <w:pPr>
              <w:spacing w:after="20" w:before="20" w:line="254" w:lineRule="auto"/>
              <w:jc w:val="center"/>
            </w:pPr>
            <w:r>
              <w:rPr>
                <w:rFonts w:ascii="Consolas" w:hAnsi="Consolas" w:eastAsia="Consolas"/>
                <w:color w:val="8A2C1F"/>
                <w:sz w:val="15"/>
              </w:rPr>
              <w:t>Customer-Churn.csv</w:t>
            </w:r>
          </w:p>
        </w:tc>
        <w:tc>
          <w:tcPr>
            <w:tcW w:type="dxa" w:w="3586"/>
          </w:tcPr>
          <w:p>
            <w:pPr>
              <w:spacing w:after="20" w:before="20" w:line="254" w:lineRule="auto"/>
              <w:jc w:val="center"/>
            </w:pPr>
            <w:r>
              <w:rPr>
                <w:rFonts w:ascii="Consolas" w:hAnsi="Consolas" w:eastAsia="Consolas"/>
                <w:color w:val="8A2C1F"/>
                <w:sz w:val="15"/>
              </w:rPr>
              <w:t>Customer-Churn-Cleaned.csv</w:t>
            </w:r>
          </w:p>
        </w:tc>
      </w:tr>
      <w:tr>
        <w:tc>
          <w:tcPr>
            <w:tcW w:type="dxa" w:w="2563"/>
            <w:shd w:val="clear" w:color="auto" w:fill="F2F5F9"/>
          </w:tcPr>
          <w:p>
            <w:pPr>
              <w:spacing w:after="20" w:before="20" w:line="254" w:lineRule="auto"/>
              <w:jc w:val="left"/>
            </w:pPr>
            <w:r>
              <w:rPr>
                <w:rFonts w:ascii="Consolas" w:hAnsi="Consolas" w:eastAsia="Consolas"/>
                <w:color w:val="8A2C1F"/>
                <w:sz w:val="15"/>
              </w:rPr>
              <w:t>phase3_eda.py</w:t>
            </w:r>
          </w:p>
        </w:tc>
        <w:tc>
          <w:tcPr>
            <w:tcW w:type="dxa" w:w="648"/>
            <w:shd w:val="clear" w:color="auto" w:fill="F2F5F9"/>
          </w:tcPr>
          <w:p>
            <w:pPr>
              <w:spacing w:after="20" w:before="20" w:line="254" w:lineRule="auto"/>
              <w:jc w:val="center"/>
            </w:pPr>
            <w:r>
              <w:rPr>
                <w:sz w:val="16"/>
              </w:rPr>
              <w:t>317</w:t>
            </w:r>
          </w:p>
        </w:tc>
        <w:tc>
          <w:tcPr>
            <w:tcW w:type="dxa" w:w="2520"/>
            <w:shd w:val="clear" w:color="auto" w:fill="F2F5F9"/>
          </w:tcPr>
          <w:p>
            <w:pPr>
              <w:spacing w:after="20" w:before="20" w:line="254" w:lineRule="auto"/>
              <w:jc w:val="center"/>
            </w:pPr>
            <w:r>
              <w:rPr>
                <w:rFonts w:ascii="Consolas" w:hAnsi="Consolas" w:eastAsia="Consolas"/>
                <w:color w:val="8A2C1F"/>
                <w:sz w:val="15"/>
              </w:rPr>
              <w:t>Customer-Churn-Cleaned.csv</w:t>
            </w:r>
          </w:p>
        </w:tc>
        <w:tc>
          <w:tcPr>
            <w:tcW w:type="dxa" w:w="3586"/>
            <w:shd w:val="clear" w:color="auto" w:fill="F2F5F9"/>
          </w:tcPr>
          <w:p>
            <w:pPr>
              <w:spacing w:after="20" w:before="20" w:line="254" w:lineRule="auto"/>
              <w:jc w:val="center"/>
            </w:pPr>
            <w:r>
              <w:rPr>
                <w:sz w:val="16"/>
              </w:rPr>
              <w:t>9 charts</w:t>
            </w:r>
          </w:p>
        </w:tc>
      </w:tr>
      <w:tr>
        <w:tc>
          <w:tcPr>
            <w:tcW w:type="dxa" w:w="2563"/>
          </w:tcPr>
          <w:p>
            <w:pPr>
              <w:spacing w:after="20" w:before="20" w:line="254" w:lineRule="auto"/>
              <w:jc w:val="left"/>
            </w:pPr>
            <w:r>
              <w:rPr>
                <w:rFonts w:ascii="Consolas" w:hAnsi="Consolas" w:eastAsia="Consolas"/>
                <w:color w:val="8A2C1F"/>
                <w:sz w:val="15"/>
              </w:rPr>
              <w:t>phase4_feature_engineering.py</w:t>
            </w:r>
          </w:p>
        </w:tc>
        <w:tc>
          <w:tcPr>
            <w:tcW w:type="dxa" w:w="648"/>
          </w:tcPr>
          <w:p>
            <w:pPr>
              <w:spacing w:after="20" w:before="20" w:line="254" w:lineRule="auto"/>
              <w:jc w:val="center"/>
            </w:pPr>
            <w:r>
              <w:rPr>
                <w:sz w:val="16"/>
              </w:rPr>
              <w:t>235</w:t>
            </w:r>
          </w:p>
        </w:tc>
        <w:tc>
          <w:tcPr>
            <w:tcW w:type="dxa" w:w="2520"/>
          </w:tcPr>
          <w:p>
            <w:pPr>
              <w:spacing w:after="20" w:before="20" w:line="254" w:lineRule="auto"/>
              <w:jc w:val="center"/>
            </w:pPr>
            <w:r>
              <w:rPr>
                <w:rFonts w:ascii="Consolas" w:hAnsi="Consolas" w:eastAsia="Consolas"/>
                <w:color w:val="8A2C1F"/>
                <w:sz w:val="15"/>
              </w:rPr>
              <w:t>Customer-Churn-Cleaned.csv</w:t>
            </w:r>
          </w:p>
        </w:tc>
        <w:tc>
          <w:tcPr>
            <w:tcW w:type="dxa" w:w="3586"/>
          </w:tcPr>
          <w:p>
            <w:pPr>
              <w:spacing w:after="20" w:before="20" w:line="254" w:lineRule="auto"/>
              <w:jc w:val="center"/>
            </w:pPr>
            <w:r>
              <w:rPr>
                <w:rFonts w:ascii="Consolas" w:hAnsi="Consolas" w:eastAsia="Consolas"/>
                <w:color w:val="8A2C1F"/>
                <w:sz w:val="15"/>
              </w:rPr>
              <w:t>Features-Unscaled.csv</w:t>
            </w:r>
            <w:r>
              <w:rPr>
                <w:sz w:val="16"/>
              </w:rPr>
              <w:t xml:space="preserve">, </w:t>
            </w:r>
            <w:r>
              <w:rPr>
                <w:rFonts w:ascii="Consolas" w:hAnsi="Consolas" w:eastAsia="Consolas"/>
                <w:color w:val="8A2C1F"/>
                <w:sz w:val="15"/>
              </w:rPr>
              <w:t>Model-Ready.csv</w:t>
            </w:r>
            <w:r>
              <w:rPr>
                <w:sz w:val="16"/>
              </w:rPr>
              <w:t>, feature artefacts</w:t>
            </w:r>
          </w:p>
        </w:tc>
      </w:tr>
      <w:tr>
        <w:tc>
          <w:tcPr>
            <w:tcW w:type="dxa" w:w="2563"/>
            <w:shd w:val="clear" w:color="auto" w:fill="F2F5F9"/>
          </w:tcPr>
          <w:p>
            <w:pPr>
              <w:spacing w:after="20" w:before="20" w:line="254" w:lineRule="auto"/>
              <w:jc w:val="left"/>
            </w:pPr>
            <w:r>
              <w:rPr>
                <w:rFonts w:ascii="Consolas" w:hAnsi="Consolas" w:eastAsia="Consolas"/>
                <w:color w:val="8A2C1F"/>
                <w:sz w:val="15"/>
              </w:rPr>
              <w:t>phase5_customer_segmentation.py</w:t>
            </w:r>
          </w:p>
        </w:tc>
        <w:tc>
          <w:tcPr>
            <w:tcW w:type="dxa" w:w="648"/>
            <w:shd w:val="clear" w:color="auto" w:fill="F2F5F9"/>
          </w:tcPr>
          <w:p>
            <w:pPr>
              <w:spacing w:after="20" w:before="20" w:line="254" w:lineRule="auto"/>
              <w:jc w:val="center"/>
            </w:pPr>
            <w:r>
              <w:rPr>
                <w:sz w:val="16"/>
              </w:rPr>
              <w:t>361</w:t>
            </w:r>
          </w:p>
        </w:tc>
        <w:tc>
          <w:tcPr>
            <w:tcW w:type="dxa" w:w="2520"/>
            <w:shd w:val="clear" w:color="auto" w:fill="F2F5F9"/>
          </w:tcPr>
          <w:p>
            <w:pPr>
              <w:spacing w:after="20" w:before="20" w:line="254" w:lineRule="auto"/>
              <w:jc w:val="center"/>
            </w:pPr>
            <w:r>
              <w:rPr>
                <w:rFonts w:ascii="Consolas" w:hAnsi="Consolas" w:eastAsia="Consolas"/>
                <w:color w:val="8A2C1F"/>
                <w:sz w:val="15"/>
              </w:rPr>
              <w:t>Cleaned.csv</w:t>
            </w:r>
            <w:r>
              <w:rPr>
                <w:sz w:val="16"/>
              </w:rPr>
              <w:t xml:space="preserve"> + </w:t>
            </w:r>
            <w:r>
              <w:rPr>
                <w:rFonts w:ascii="Consolas" w:hAnsi="Consolas" w:eastAsia="Consolas"/>
                <w:color w:val="8A2C1F"/>
                <w:sz w:val="15"/>
              </w:rPr>
              <w:t>Features-Unscaled.csv</w:t>
            </w:r>
          </w:p>
        </w:tc>
        <w:tc>
          <w:tcPr>
            <w:tcW w:type="dxa" w:w="3586"/>
            <w:shd w:val="clear" w:color="auto" w:fill="F2F5F9"/>
          </w:tcPr>
          <w:p>
            <w:pPr>
              <w:spacing w:after="20" w:before="20" w:line="254" w:lineRule="auto"/>
              <w:jc w:val="left"/>
            </w:pPr>
            <w:r>
              <w:rPr>
                <w:rFonts w:ascii="Consolas" w:hAnsi="Consolas" w:eastAsia="Consolas"/>
                <w:color w:val="8A2C1F"/>
                <w:sz w:val="15"/>
              </w:rPr>
              <w:t>Segmented.csv</w:t>
            </w:r>
            <w:r>
              <w:rPr>
                <w:sz w:val="16"/>
              </w:rPr>
              <w:t>, segmentation model, 4 charts</w:t>
            </w:r>
          </w:p>
        </w:tc>
      </w:tr>
      <w:tr>
        <w:tc>
          <w:tcPr>
            <w:tcW w:type="dxa" w:w="2563"/>
          </w:tcPr>
          <w:p>
            <w:pPr>
              <w:spacing w:after="20" w:before="20" w:line="254" w:lineRule="auto"/>
              <w:jc w:val="left"/>
            </w:pPr>
            <w:r>
              <w:rPr>
                <w:rFonts w:ascii="Consolas" w:hAnsi="Consolas" w:eastAsia="Consolas"/>
                <w:color w:val="8A2C1F"/>
                <w:sz w:val="15"/>
              </w:rPr>
              <w:t>phase6_model_development.py</w:t>
            </w:r>
          </w:p>
        </w:tc>
        <w:tc>
          <w:tcPr>
            <w:tcW w:type="dxa" w:w="648"/>
          </w:tcPr>
          <w:p>
            <w:pPr>
              <w:spacing w:after="20" w:before="20" w:line="254" w:lineRule="auto"/>
              <w:jc w:val="center"/>
            </w:pPr>
            <w:r>
              <w:rPr>
                <w:sz w:val="16"/>
              </w:rPr>
              <w:t>539</w:t>
            </w:r>
          </w:p>
        </w:tc>
        <w:tc>
          <w:tcPr>
            <w:tcW w:type="dxa" w:w="2520"/>
          </w:tcPr>
          <w:p>
            <w:pPr>
              <w:spacing w:after="20" w:before="20" w:line="254" w:lineRule="auto"/>
              <w:jc w:val="center"/>
            </w:pPr>
            <w:r>
              <w:rPr>
                <w:rFonts w:ascii="Consolas" w:hAnsi="Consolas" w:eastAsia="Consolas"/>
                <w:color w:val="8A2C1F"/>
                <w:sz w:val="15"/>
              </w:rPr>
              <w:t>Customer-Churn-Segmented.csv</w:t>
            </w:r>
          </w:p>
        </w:tc>
        <w:tc>
          <w:tcPr>
            <w:tcW w:type="dxa" w:w="3586"/>
          </w:tcPr>
          <w:p>
            <w:pPr>
              <w:spacing w:after="20" w:before="20" w:line="254" w:lineRule="auto"/>
              <w:jc w:val="left"/>
            </w:pPr>
            <w:r>
              <w:rPr>
                <w:rFonts w:ascii="Consolas" w:hAnsi="Consolas" w:eastAsia="Consolas"/>
                <w:color w:val="8A2C1F"/>
                <w:sz w:val="15"/>
              </w:rPr>
              <w:t>best_churn_model.joblib</w:t>
            </w:r>
            <w:r>
              <w:rPr>
                <w:sz w:val="16"/>
              </w:rPr>
              <w:t>, performance CSV, 3 charts</w:t>
            </w:r>
          </w:p>
        </w:tc>
      </w:tr>
      <w:tr>
        <w:tc>
          <w:tcPr>
            <w:tcW w:type="dxa" w:w="2563"/>
            <w:shd w:val="clear" w:color="auto" w:fill="F2F5F9"/>
          </w:tcPr>
          <w:p>
            <w:pPr>
              <w:spacing w:after="20" w:before="20" w:line="254" w:lineRule="auto"/>
              <w:jc w:val="left"/>
            </w:pPr>
            <w:r>
              <w:rPr>
                <w:rFonts w:ascii="Consolas" w:hAnsi="Consolas" w:eastAsia="Consolas"/>
                <w:color w:val="8A2C1F"/>
                <w:sz w:val="15"/>
              </w:rPr>
              <w:t>phase7_model_evaluation.py</w:t>
            </w:r>
          </w:p>
        </w:tc>
        <w:tc>
          <w:tcPr>
            <w:tcW w:type="dxa" w:w="648"/>
            <w:shd w:val="clear" w:color="auto" w:fill="F2F5F9"/>
          </w:tcPr>
          <w:p>
            <w:pPr>
              <w:spacing w:after="20" w:before="20" w:line="254" w:lineRule="auto"/>
              <w:jc w:val="center"/>
            </w:pPr>
            <w:r>
              <w:rPr>
                <w:sz w:val="16"/>
              </w:rPr>
              <w:t>580</w:t>
            </w:r>
          </w:p>
        </w:tc>
        <w:tc>
          <w:tcPr>
            <w:tcW w:type="dxa" w:w="2520"/>
            <w:shd w:val="clear" w:color="auto" w:fill="F2F5F9"/>
          </w:tcPr>
          <w:p>
            <w:pPr>
              <w:spacing w:after="20" w:before="20" w:line="254" w:lineRule="auto"/>
              <w:jc w:val="center"/>
            </w:pPr>
            <w:r>
              <w:rPr>
                <w:rFonts w:ascii="Consolas" w:hAnsi="Consolas" w:eastAsia="Consolas"/>
                <w:color w:val="8A2C1F"/>
                <w:sz w:val="15"/>
              </w:rPr>
              <w:t>Customer-Churn-Segmented.csv</w:t>
            </w:r>
          </w:p>
        </w:tc>
        <w:tc>
          <w:tcPr>
            <w:tcW w:type="dxa" w:w="3586"/>
            <w:shd w:val="clear" w:color="auto" w:fill="F2F5F9"/>
          </w:tcPr>
          <w:p>
            <w:pPr>
              <w:spacing w:after="20" w:before="20" w:line="254" w:lineRule="auto"/>
              <w:jc w:val="left"/>
            </w:pPr>
            <w:r>
              <w:rPr>
                <w:sz w:val="16"/>
              </w:rPr>
              <w:t>evaluation CSV, threshold CSV, 5 charts</w:t>
            </w:r>
          </w:p>
        </w:tc>
      </w:tr>
      <w:tr>
        <w:tc>
          <w:tcPr>
            <w:tcW w:type="dxa" w:w="2563"/>
          </w:tcPr>
          <w:p>
            <w:pPr>
              <w:spacing w:after="20" w:before="20" w:line="254" w:lineRule="auto"/>
              <w:jc w:val="left"/>
            </w:pPr>
            <w:r>
              <w:rPr>
                <w:rFonts w:ascii="Consolas" w:hAnsi="Consolas" w:eastAsia="Consolas"/>
                <w:color w:val="8A2C1F"/>
                <w:sz w:val="15"/>
              </w:rPr>
              <w:t>phase8_churn_probability_xai.py</w:t>
            </w:r>
          </w:p>
        </w:tc>
        <w:tc>
          <w:tcPr>
            <w:tcW w:type="dxa" w:w="648"/>
          </w:tcPr>
          <w:p>
            <w:pPr>
              <w:spacing w:after="20" w:before="20" w:line="254" w:lineRule="auto"/>
              <w:jc w:val="center"/>
            </w:pPr>
            <w:r>
              <w:rPr>
                <w:sz w:val="16"/>
              </w:rPr>
              <w:t>541</w:t>
            </w:r>
          </w:p>
        </w:tc>
        <w:tc>
          <w:tcPr>
            <w:tcW w:type="dxa" w:w="2520"/>
          </w:tcPr>
          <w:p>
            <w:pPr>
              <w:spacing w:after="20" w:before="20" w:line="254" w:lineRule="auto"/>
              <w:jc w:val="center"/>
            </w:pPr>
            <w:r>
              <w:rPr>
                <w:rFonts w:ascii="Consolas" w:hAnsi="Consolas" w:eastAsia="Consolas"/>
                <w:color w:val="8A2C1F"/>
                <w:sz w:val="15"/>
              </w:rPr>
              <w:t>Customer-Churn-Segmented.csv</w:t>
            </w:r>
          </w:p>
        </w:tc>
        <w:tc>
          <w:tcPr>
            <w:tcW w:type="dxa" w:w="3586"/>
          </w:tcPr>
          <w:p>
            <w:pPr>
              <w:spacing w:after="20" w:before="20" w:line="254" w:lineRule="auto"/>
              <w:jc w:val="left"/>
            </w:pPr>
            <w:r>
              <w:rPr>
                <w:sz w:val="16"/>
              </w:rPr>
              <w:t>risk predictions, importances, reason codes, calibrated model, 4 charts</w:t>
            </w:r>
          </w:p>
        </w:tc>
      </w:tr>
      <w:tr>
        <w:tc>
          <w:tcPr>
            <w:tcW w:type="dxa" w:w="2563"/>
            <w:shd w:val="clear" w:color="auto" w:fill="F2F5F9"/>
          </w:tcPr>
          <w:p>
            <w:pPr>
              <w:spacing w:after="20" w:before="20" w:line="254" w:lineRule="auto"/>
              <w:jc w:val="left"/>
            </w:pPr>
            <w:r>
              <w:rPr>
                <w:rFonts w:ascii="Consolas" w:hAnsi="Consolas" w:eastAsia="Consolas"/>
                <w:color w:val="8A2C1F"/>
                <w:sz w:val="15"/>
              </w:rPr>
              <w:t>phase9_business_recommendations.py</w:t>
            </w:r>
          </w:p>
        </w:tc>
        <w:tc>
          <w:tcPr>
            <w:tcW w:type="dxa" w:w="648"/>
            <w:shd w:val="clear" w:color="auto" w:fill="F2F5F9"/>
          </w:tcPr>
          <w:p>
            <w:pPr>
              <w:spacing w:after="20" w:before="20" w:line="254" w:lineRule="auto"/>
              <w:jc w:val="center"/>
            </w:pPr>
            <w:r>
              <w:rPr>
                <w:sz w:val="16"/>
              </w:rPr>
              <w:t>487</w:t>
            </w:r>
          </w:p>
        </w:tc>
        <w:tc>
          <w:tcPr>
            <w:tcW w:type="dxa" w:w="2520"/>
            <w:shd w:val="clear" w:color="auto" w:fill="F2F5F9"/>
          </w:tcPr>
          <w:p>
            <w:pPr>
              <w:spacing w:after="20" w:before="20" w:line="254" w:lineRule="auto"/>
              <w:jc w:val="left"/>
            </w:pPr>
            <w:r>
              <w:rPr>
                <w:sz w:val="16"/>
              </w:rPr>
              <w:t>phase 8 predictions + phase 7 results</w:t>
            </w:r>
          </w:p>
        </w:tc>
        <w:tc>
          <w:tcPr>
            <w:tcW w:type="dxa" w:w="3586"/>
            <w:shd w:val="clear" w:color="auto" w:fill="F2F5F9"/>
          </w:tcPr>
          <w:p>
            <w:pPr>
              <w:spacing w:after="20" w:before="20" w:line="254" w:lineRule="auto"/>
              <w:jc w:val="left"/>
            </w:pPr>
            <w:r>
              <w:rPr>
                <w:sz w:val="16"/>
              </w:rPr>
              <w:t>retention targets, financial summary, mapping, 3 charts</w:t>
            </w:r>
          </w:p>
        </w:tc>
      </w:tr>
      <w:tr>
        <w:tc>
          <w:tcPr>
            <w:tcW w:type="dxa" w:w="2563"/>
          </w:tcPr>
          <w:p>
            <w:pPr>
              <w:spacing w:after="20" w:before="20" w:line="254" w:lineRule="auto"/>
              <w:jc w:val="left"/>
            </w:pPr>
            <w:r>
              <w:rPr>
                <w:rFonts w:ascii="Consolas" w:hAnsi="Consolas" w:eastAsia="Consolas"/>
                <w:color w:val="8A2C1F"/>
                <w:sz w:val="15"/>
              </w:rPr>
              <w:t>app/app.py</w:t>
            </w:r>
          </w:p>
        </w:tc>
        <w:tc>
          <w:tcPr>
            <w:tcW w:type="dxa" w:w="648"/>
          </w:tcPr>
          <w:p>
            <w:pPr>
              <w:spacing w:after="20" w:before="20" w:line="254" w:lineRule="auto"/>
              <w:jc w:val="center"/>
            </w:pPr>
            <w:r>
              <w:rPr>
                <w:sz w:val="16"/>
              </w:rPr>
              <w:t>1 145</w:t>
            </w:r>
          </w:p>
        </w:tc>
        <w:tc>
          <w:tcPr>
            <w:tcW w:type="dxa" w:w="2520"/>
          </w:tcPr>
          <w:p>
            <w:pPr>
              <w:spacing w:after="20" w:before="20" w:line="254" w:lineRule="auto"/>
              <w:jc w:val="center"/>
            </w:pPr>
            <w:r>
              <w:rPr>
                <w:sz w:val="16"/>
              </w:rPr>
              <w:t>every artefact above</w:t>
            </w:r>
          </w:p>
        </w:tc>
        <w:tc>
          <w:tcPr>
            <w:tcW w:type="dxa" w:w="3586"/>
          </w:tcPr>
          <w:p>
            <w:pPr>
              <w:spacing w:after="20" w:before="20" w:line="254" w:lineRule="auto"/>
              <w:jc w:val="center"/>
            </w:pPr>
            <w:r>
              <w:rPr>
                <w:sz w:val="16"/>
              </w:rPr>
              <w:t>scored CSV downloads</w:t>
            </w:r>
          </w:p>
        </w:tc>
      </w:tr>
    </w:tbl>
    <w:p>
      <w:pPr>
        <w:spacing w:before="60" w:after="200"/>
        <w:jc w:val="center"/>
      </w:pPr>
      <w:r>
        <w:rPr>
          <w:i/>
          <w:color w:val="555F6B"/>
          <w:sz w:val="17"/>
        </w:rPr>
        <w:t>Table 5: Module inventory showing size and file dependencies.</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FFF6E5"/>
          </w:tcPr>
          <w:p>
            <w:pPr>
              <w:spacing w:after="40"/>
            </w:pPr>
            <w:r>
              <w:rPr>
                <w:b/>
                <w:color w:val="8A5A10"/>
                <w:sz w:val="19"/>
              </w:rPr>
              <w:t>Execution order is mandatory, and phase 5 now depends on phase 4.</w:t>
            </w:r>
          </w:p>
          <w:p>
            <w:pPr>
              <w:spacing w:after="0"/>
              <w:jc w:val="both"/>
            </w:pPr>
            <w:r>
              <w:rPr>
                <w:sz w:val="19"/>
              </w:rPr>
              <w:t>Each script reads a file the previous one wrote. The remediation added one new dependency: phase 5 merges the unscaled features that phase 4 exports, so phase 4 must run first. Phase 5 checks for that file and exits with a clear message rather than silently producing a dataset with the engineered features missing — which is precisely how defect 3 went unnoticed.</w:t>
            </w:r>
          </w:p>
        </w:tc>
      </w:tr>
    </w:tbl>
    <w:p>
      <w:pPr>
        <w:spacing w:after="120"/>
      </w:pPr>
    </w:p>
    <w:p>
      <w:r>
        <w:br w:type="page"/>
      </w:r>
    </w:p>
    <w:p>
      <w:pPr>
        <w:spacing w:after="0"/>
      </w:pPr>
    </w:p>
    <w:p>
      <w:pPr>
        <w:keepNext/>
        <w:spacing w:before="80" w:after="40"/>
        <w:pBdr>
          <w:bottom w:val="single" w:sz="10" w:space="3" w:color="1B355E"/>
        </w:pBdr>
      </w:pPr>
      <w:r>
        <w:rPr>
          <w:b/>
          <w:color w:val="1B355E"/>
          <w:sz w:val="30"/>
        </w:rPr>
        <w:t>4.  Virtual Environment and Configuration</w:t>
      </w:r>
    </w:p>
    <w:p>
      <w:pPr>
        <w:spacing w:after="40"/>
      </w:pPr>
    </w:p>
    <w:p>
      <w:pPr>
        <w:spacing w:after="120" w:before="0"/>
        <w:jc w:val="both"/>
      </w:pPr>
      <w:r>
        <w:rPr>
          <w:b w:val="0"/>
          <w:i w:val="0"/>
          <w:sz w:val="21"/>
        </w:rPr>
        <w:t>The project declares its dependencies in requirements.txt but shipped without an environment. A dedicated virtual environment was created for this work, and every result in this report was produced inside it. This matters for more than tidiness: the serialised models in models/ are pickled objects whose compatibility depends on the scikit-learn version that wrote them, so pinning the environment is what makes the artefacts reloadable.</w:t>
      </w:r>
    </w:p>
    <w:p>
      <w:pPr>
        <w:keepNext/>
        <w:spacing w:before="240" w:after="80"/>
      </w:pPr>
      <w:r>
        <w:rPr>
          <w:b/>
          <w:color w:val="1B355E"/>
          <w:sz w:val="25"/>
        </w:rPr>
        <w:t>4.1  Environment creation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Every script uses relative paths, so this must be the working directory.</w:t>
            </w:r>
          </w:p>
          <w:p>
            <w:pPr>
              <w:spacing w:after="0" w:before="0" w:line="240" w:lineRule="auto"/>
            </w:pPr>
            <w:r>
              <w:rPr>
                <w:rFonts w:ascii="Consolas" w:hAnsi="Consolas" w:eastAsia="Consolas"/>
                <w:color w:val="1A232E"/>
                <w:sz w:val="16"/>
              </w:rPr>
              <w:t>cd "C:\Users\user\Desktop\Customer churn prediction\customer_churn_100\customer_churn"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Create and activate the environment</w:t>
            </w:r>
          </w:p>
          <w:p>
            <w:pPr>
              <w:spacing w:after="0" w:before="0" w:line="240" w:lineRule="auto"/>
            </w:pPr>
            <w:r>
              <w:rPr>
                <w:rFonts w:ascii="Consolas" w:hAnsi="Consolas" w:eastAsia="Consolas"/>
                <w:color w:val="1A232E"/>
                <w:sz w:val="16"/>
              </w:rPr>
              <w:t>python -m venv .venv</w:t>
            </w:r>
          </w:p>
          <w:p>
            <w:pPr>
              <w:spacing w:after="0" w:before="0" w:line="240" w:lineRule="auto"/>
            </w:pPr>
            <w:r>
              <w:rPr>
                <w:rFonts w:ascii="Consolas" w:hAnsi="Consolas" w:eastAsia="Consolas"/>
                <w:color w:val="1A232E"/>
                <w:sz w:val="16"/>
              </w:rPr>
              <w:t>.venv\Scripts\activate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Install the declared dependencies</w:t>
            </w:r>
          </w:p>
          <w:p>
            <w:pPr>
              <w:spacing w:after="0" w:before="0" w:line="240" w:lineRule="auto"/>
            </w:pPr>
            <w:r>
              <w:rPr>
                <w:rFonts w:ascii="Consolas" w:hAnsi="Consolas" w:eastAsia="Consolas"/>
                <w:color w:val="1A232E"/>
                <w:sz w:val="16"/>
              </w:rPr>
              <w:t>python -m pip install --upgrade pip</w:t>
            </w:r>
          </w:p>
          <w:p>
            <w:pPr>
              <w:spacing w:after="0" w:before="0" w:line="240" w:lineRule="auto"/>
            </w:pPr>
            <w:r>
              <w:rPr>
                <w:rFonts w:ascii="Consolas" w:hAnsi="Consolas" w:eastAsia="Consolas"/>
                <w:color w:val="1A232E"/>
                <w:sz w:val="16"/>
              </w:rPr>
              <w:t>python -m pip install -r requirements.txt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Confirm every import resolves before running any phase</w:t>
            </w:r>
          </w:p>
          <w:p>
            <w:pPr>
              <w:spacing w:after="0" w:before="0" w:line="240" w:lineRule="auto"/>
            </w:pPr>
            <w:r>
              <w:rPr>
                <w:rFonts w:ascii="Consolas" w:hAnsi="Consolas" w:eastAsia="Consolas"/>
                <w:color w:val="1A232E"/>
                <w:sz w:val="16"/>
              </w:rPr>
              <w:t>python -c "import pandas, numpy, sklearn, matplotlib, seaborn, xgboost, shap, joblib, streamlit; print('environment ok')"</w:t>
            </w:r>
          </w:p>
        </w:tc>
      </w:tr>
    </w:tbl>
    <w:p>
      <w:pPr>
        <w:spacing w:before="60" w:after="180"/>
        <w:jc w:val="center"/>
      </w:pPr>
      <w:r>
        <w:rPr>
          <w:i/>
          <w:color w:val="555F6B"/>
          <w:sz w:val="17"/>
        </w:rPr>
        <w:t>Listing 2: Creating the virtual environment and installing dependencies.</w:t>
      </w:r>
    </w:p>
    <w:p>
      <w:pPr>
        <w:keepNext/>
        <w:spacing w:before="240" w:after="80"/>
      </w:pPr>
      <w:r>
        <w:rPr>
          <w:b/>
          <w:color w:val="1B355E"/>
          <w:sz w:val="25"/>
        </w:rPr>
        <w:t>4.2  Verified versions</w:t>
      </w:r>
    </w:p>
    <w:p>
      <w:pPr>
        <w:spacing w:after="120" w:before="0"/>
        <w:jc w:val="both"/>
      </w:pPr>
      <w:r>
        <w:rPr>
          <w:b w:val="0"/>
          <w:i w:val="0"/>
          <w:sz w:val="21"/>
        </w:rPr>
        <w:t>These are the versions actually installed and used to produce every result in this report.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756"/>
        <w:gridCol w:w="1411"/>
        <w:gridCol w:w="1944"/>
        <w:gridCol w:w="4204"/>
      </w:tblGrid>
      <w:tr>
        <w:tc>
          <w:tcPr>
            <w:tcW w:type="dxa" w:w="1757"/>
            <w:shd w:val="clear" w:color="auto" w:fill="1B355E"/>
          </w:tcPr>
          <w:p>
            <w:pPr>
              <w:spacing w:after="20" w:before="20"/>
              <w:jc w:val="center"/>
            </w:pPr>
            <w:r>
              <w:rPr>
                <w:b/>
                <w:color w:val="FFFFFF"/>
                <w:sz w:val="16"/>
              </w:rPr>
              <w:t>Component</w:t>
            </w:r>
          </w:p>
        </w:tc>
        <w:tc>
          <w:tcPr>
            <w:tcW w:type="dxa" w:w="1411"/>
            <w:shd w:val="clear" w:color="auto" w:fill="1B355E"/>
          </w:tcPr>
          <w:p>
            <w:pPr>
              <w:spacing w:after="20" w:before="20"/>
              <w:jc w:val="center"/>
            </w:pPr>
            <w:r>
              <w:rPr>
                <w:b/>
                <w:color w:val="FFFFFF"/>
                <w:sz w:val="16"/>
              </w:rPr>
              <w:t>Version</w:t>
            </w:r>
          </w:p>
        </w:tc>
        <w:tc>
          <w:tcPr>
            <w:tcW w:type="dxa" w:w="1944"/>
            <w:shd w:val="clear" w:color="auto" w:fill="1B355E"/>
          </w:tcPr>
          <w:p>
            <w:pPr>
              <w:spacing w:after="20" w:before="20"/>
              <w:jc w:val="center"/>
            </w:pPr>
            <w:r>
              <w:rPr>
                <w:b/>
                <w:color w:val="FFFFFF"/>
                <w:sz w:val="16"/>
              </w:rPr>
              <w:t>Used by</w:t>
            </w:r>
          </w:p>
        </w:tc>
        <w:tc>
          <w:tcPr>
            <w:tcW w:type="dxa" w:w="4205"/>
            <w:shd w:val="clear" w:color="auto" w:fill="1B355E"/>
          </w:tcPr>
          <w:p>
            <w:pPr>
              <w:spacing w:after="20" w:before="20"/>
              <w:jc w:val="center"/>
            </w:pPr>
            <w:r>
              <w:rPr>
                <w:b/>
                <w:color w:val="FFFFFF"/>
                <w:sz w:val="16"/>
              </w:rPr>
              <w:t>Role</w:t>
            </w:r>
          </w:p>
        </w:tc>
      </w:tr>
      <w:tr>
        <w:tc>
          <w:tcPr>
            <w:tcW w:type="dxa" w:w="1757"/>
          </w:tcPr>
          <w:p>
            <w:pPr>
              <w:spacing w:after="20" w:before="20" w:line="254" w:lineRule="auto"/>
              <w:jc w:val="left"/>
            </w:pPr>
            <w:r>
              <w:rPr>
                <w:sz w:val="16"/>
              </w:rPr>
              <w:t>Python</w:t>
            </w:r>
          </w:p>
        </w:tc>
        <w:tc>
          <w:tcPr>
            <w:tcW w:type="dxa" w:w="1411"/>
          </w:tcPr>
          <w:p>
            <w:pPr>
              <w:spacing w:after="20" w:before="20" w:line="254" w:lineRule="auto"/>
              <w:jc w:val="center"/>
            </w:pPr>
            <w:r>
              <w:rPr>
                <w:sz w:val="16"/>
              </w:rPr>
              <w:t>3.13.13</w:t>
            </w:r>
          </w:p>
        </w:tc>
        <w:tc>
          <w:tcPr>
            <w:tcW w:type="dxa" w:w="1944"/>
          </w:tcPr>
          <w:p>
            <w:pPr>
              <w:spacing w:after="20" w:before="20" w:line="254" w:lineRule="auto"/>
              <w:jc w:val="center"/>
            </w:pPr>
            <w:r>
              <w:rPr>
                <w:sz w:val="16"/>
              </w:rPr>
              <w:t>all phases</w:t>
            </w:r>
          </w:p>
        </w:tc>
        <w:tc>
          <w:tcPr>
            <w:tcW w:type="dxa" w:w="4205"/>
          </w:tcPr>
          <w:p>
            <w:pPr>
              <w:spacing w:after="20" w:before="20" w:line="254" w:lineRule="auto"/>
              <w:jc w:val="center"/>
            </w:pPr>
            <w:r>
              <w:rPr>
                <w:sz w:val="16"/>
              </w:rPr>
              <w:t>64-bit CPython</w:t>
            </w:r>
          </w:p>
        </w:tc>
      </w:tr>
      <w:tr>
        <w:tc>
          <w:tcPr>
            <w:tcW w:type="dxa" w:w="1757"/>
            <w:shd w:val="clear" w:color="auto" w:fill="F2F5F9"/>
          </w:tcPr>
          <w:p>
            <w:pPr>
              <w:spacing w:after="20" w:before="20" w:line="254" w:lineRule="auto"/>
              <w:jc w:val="left"/>
            </w:pPr>
            <w:r>
              <w:rPr>
                <w:sz w:val="16"/>
              </w:rPr>
              <w:t>pandas</w:t>
            </w:r>
          </w:p>
        </w:tc>
        <w:tc>
          <w:tcPr>
            <w:tcW w:type="dxa" w:w="1411"/>
            <w:shd w:val="clear" w:color="auto" w:fill="F2F5F9"/>
          </w:tcPr>
          <w:p>
            <w:pPr>
              <w:spacing w:after="20" w:before="20" w:line="254" w:lineRule="auto"/>
              <w:jc w:val="center"/>
            </w:pPr>
            <w:r>
              <w:rPr>
                <w:sz w:val="16"/>
              </w:rPr>
              <w:t>3.0.5</w:t>
            </w:r>
          </w:p>
        </w:tc>
        <w:tc>
          <w:tcPr>
            <w:tcW w:type="dxa" w:w="1944"/>
            <w:shd w:val="clear" w:color="auto" w:fill="F2F5F9"/>
          </w:tcPr>
          <w:p>
            <w:pPr>
              <w:spacing w:after="20" w:before="20" w:line="254" w:lineRule="auto"/>
              <w:jc w:val="center"/>
            </w:pPr>
            <w:r>
              <w:rPr>
                <w:sz w:val="16"/>
              </w:rPr>
              <w:t>all phases</w:t>
            </w:r>
          </w:p>
        </w:tc>
        <w:tc>
          <w:tcPr>
            <w:tcW w:type="dxa" w:w="4205"/>
            <w:shd w:val="clear" w:color="auto" w:fill="F2F5F9"/>
          </w:tcPr>
          <w:p>
            <w:pPr>
              <w:spacing w:after="20" w:before="20" w:line="254" w:lineRule="auto"/>
              <w:jc w:val="left"/>
            </w:pPr>
            <w:r>
              <w:rPr>
                <w:sz w:val="16"/>
              </w:rPr>
              <w:t>data frames, grouping, merging</w:t>
            </w:r>
          </w:p>
        </w:tc>
      </w:tr>
      <w:tr>
        <w:tc>
          <w:tcPr>
            <w:tcW w:type="dxa" w:w="1757"/>
          </w:tcPr>
          <w:p>
            <w:pPr>
              <w:spacing w:after="20" w:before="20" w:line="254" w:lineRule="auto"/>
              <w:jc w:val="left"/>
            </w:pPr>
            <w:r>
              <w:rPr>
                <w:sz w:val="16"/>
              </w:rPr>
              <w:t>NumPy</w:t>
            </w:r>
          </w:p>
        </w:tc>
        <w:tc>
          <w:tcPr>
            <w:tcW w:type="dxa" w:w="1411"/>
          </w:tcPr>
          <w:p>
            <w:pPr>
              <w:spacing w:after="20" w:before="20" w:line="254" w:lineRule="auto"/>
              <w:jc w:val="center"/>
            </w:pPr>
            <w:r>
              <w:rPr>
                <w:sz w:val="16"/>
              </w:rPr>
              <w:t>2.5.3</w:t>
            </w:r>
          </w:p>
        </w:tc>
        <w:tc>
          <w:tcPr>
            <w:tcW w:type="dxa" w:w="1944"/>
          </w:tcPr>
          <w:p>
            <w:pPr>
              <w:spacing w:after="20" w:before="20" w:line="254" w:lineRule="auto"/>
              <w:jc w:val="center"/>
            </w:pPr>
            <w:r>
              <w:rPr>
                <w:sz w:val="16"/>
              </w:rPr>
              <w:t>phases 5-9</w:t>
            </w:r>
          </w:p>
        </w:tc>
        <w:tc>
          <w:tcPr>
            <w:tcW w:type="dxa" w:w="4205"/>
          </w:tcPr>
          <w:p>
            <w:pPr>
              <w:spacing w:after="20" w:before="20" w:line="254" w:lineRule="auto"/>
              <w:jc w:val="center"/>
            </w:pPr>
            <w:r>
              <w:rPr>
                <w:sz w:val="16"/>
              </w:rPr>
              <w:t>array backend</w:t>
            </w:r>
          </w:p>
        </w:tc>
      </w:tr>
      <w:tr>
        <w:tc>
          <w:tcPr>
            <w:tcW w:type="dxa" w:w="1757"/>
            <w:shd w:val="clear" w:color="auto" w:fill="F2F5F9"/>
          </w:tcPr>
          <w:p>
            <w:pPr>
              <w:spacing w:after="20" w:before="20" w:line="254" w:lineRule="auto"/>
              <w:jc w:val="left"/>
            </w:pPr>
            <w:r>
              <w:rPr>
                <w:sz w:val="16"/>
              </w:rPr>
              <w:t>scikit-learn</w:t>
            </w:r>
          </w:p>
        </w:tc>
        <w:tc>
          <w:tcPr>
            <w:tcW w:type="dxa" w:w="1411"/>
            <w:shd w:val="clear" w:color="auto" w:fill="F2F5F9"/>
          </w:tcPr>
          <w:p>
            <w:pPr>
              <w:spacing w:after="20" w:before="20" w:line="254" w:lineRule="auto"/>
              <w:jc w:val="center"/>
            </w:pPr>
            <w:r>
              <w:rPr>
                <w:sz w:val="16"/>
              </w:rPr>
              <w:t>1.9.1</w:t>
            </w:r>
          </w:p>
        </w:tc>
        <w:tc>
          <w:tcPr>
            <w:tcW w:type="dxa" w:w="1944"/>
            <w:shd w:val="clear" w:color="auto" w:fill="F2F5F9"/>
          </w:tcPr>
          <w:p>
            <w:pPr>
              <w:spacing w:after="20" w:before="20" w:line="254" w:lineRule="auto"/>
              <w:jc w:val="center"/>
            </w:pPr>
            <w:r>
              <w:rPr>
                <w:sz w:val="16"/>
              </w:rPr>
              <w:t>phases 4-9</w:t>
            </w:r>
          </w:p>
        </w:tc>
        <w:tc>
          <w:tcPr>
            <w:tcW w:type="dxa" w:w="4205"/>
            <w:shd w:val="clear" w:color="auto" w:fill="F2F5F9"/>
          </w:tcPr>
          <w:p>
            <w:pPr>
              <w:spacing w:after="20" w:before="20" w:line="254" w:lineRule="auto"/>
              <w:jc w:val="left"/>
            </w:pPr>
            <w:r>
              <w:rPr>
                <w:sz w:val="16"/>
              </w:rPr>
              <w:t>pipelines, K-Means, calibration, metrics</w:t>
            </w:r>
          </w:p>
        </w:tc>
      </w:tr>
      <w:tr>
        <w:tc>
          <w:tcPr>
            <w:tcW w:type="dxa" w:w="1757"/>
          </w:tcPr>
          <w:p>
            <w:pPr>
              <w:spacing w:after="20" w:before="20" w:line="254" w:lineRule="auto"/>
              <w:jc w:val="left"/>
            </w:pPr>
            <w:r>
              <w:rPr>
                <w:sz w:val="16"/>
              </w:rPr>
              <w:t>XGBoost</w:t>
            </w:r>
          </w:p>
        </w:tc>
        <w:tc>
          <w:tcPr>
            <w:tcW w:type="dxa" w:w="1411"/>
          </w:tcPr>
          <w:p>
            <w:pPr>
              <w:spacing w:after="20" w:before="20" w:line="254" w:lineRule="auto"/>
              <w:jc w:val="center"/>
            </w:pPr>
            <w:r>
              <w:rPr>
                <w:sz w:val="16"/>
              </w:rPr>
              <w:t>3.4.1</w:t>
            </w:r>
          </w:p>
        </w:tc>
        <w:tc>
          <w:tcPr>
            <w:tcW w:type="dxa" w:w="1944"/>
          </w:tcPr>
          <w:p>
            <w:pPr>
              <w:spacing w:after="20" w:before="20" w:line="254" w:lineRule="auto"/>
              <w:jc w:val="center"/>
            </w:pPr>
            <w:r>
              <w:rPr>
                <w:sz w:val="16"/>
              </w:rPr>
              <w:t>phases 6, 7, 8</w:t>
            </w:r>
          </w:p>
        </w:tc>
        <w:tc>
          <w:tcPr>
            <w:tcW w:type="dxa" w:w="4205"/>
          </w:tcPr>
          <w:p>
            <w:pPr>
              <w:spacing w:after="20" w:before="20" w:line="254" w:lineRule="auto"/>
              <w:jc w:val="left"/>
            </w:pPr>
            <w:r>
              <w:rPr>
                <w:sz w:val="16"/>
              </w:rPr>
              <w:t>gradient-boosted classifier</w:t>
            </w:r>
          </w:p>
        </w:tc>
      </w:tr>
      <w:tr>
        <w:tc>
          <w:tcPr>
            <w:tcW w:type="dxa" w:w="1757"/>
            <w:shd w:val="clear" w:color="auto" w:fill="F2F5F9"/>
          </w:tcPr>
          <w:p>
            <w:pPr>
              <w:spacing w:after="20" w:before="20" w:line="254" w:lineRule="auto"/>
              <w:jc w:val="left"/>
            </w:pPr>
            <w:r>
              <w:rPr>
                <w:sz w:val="16"/>
              </w:rPr>
              <w:t>SHAP</w:t>
            </w:r>
          </w:p>
        </w:tc>
        <w:tc>
          <w:tcPr>
            <w:tcW w:type="dxa" w:w="1411"/>
            <w:shd w:val="clear" w:color="auto" w:fill="F2F5F9"/>
          </w:tcPr>
          <w:p>
            <w:pPr>
              <w:spacing w:after="20" w:before="20" w:line="254" w:lineRule="auto"/>
              <w:jc w:val="center"/>
            </w:pPr>
            <w:r>
              <w:rPr>
                <w:sz w:val="16"/>
              </w:rPr>
              <w:t>0.52.0</w:t>
            </w:r>
          </w:p>
        </w:tc>
        <w:tc>
          <w:tcPr>
            <w:tcW w:type="dxa" w:w="1944"/>
            <w:shd w:val="clear" w:color="auto" w:fill="F2F5F9"/>
          </w:tcPr>
          <w:p>
            <w:pPr>
              <w:spacing w:after="20" w:before="20" w:line="254" w:lineRule="auto"/>
              <w:jc w:val="center"/>
            </w:pPr>
            <w:r>
              <w:rPr>
                <w:sz w:val="16"/>
              </w:rPr>
              <w:t>phase 8</w:t>
            </w:r>
          </w:p>
        </w:tc>
        <w:tc>
          <w:tcPr>
            <w:tcW w:type="dxa" w:w="4205"/>
            <w:shd w:val="clear" w:color="auto" w:fill="F2F5F9"/>
          </w:tcPr>
          <w:p>
            <w:pPr>
              <w:spacing w:after="20" w:before="20" w:line="254" w:lineRule="auto"/>
              <w:jc w:val="left"/>
            </w:pPr>
            <w:r>
              <w:rPr>
                <w:sz w:val="16"/>
              </w:rPr>
              <w:t>global and local explanations</w:t>
            </w:r>
          </w:p>
        </w:tc>
      </w:tr>
      <w:tr>
        <w:tc>
          <w:tcPr>
            <w:tcW w:type="dxa" w:w="1757"/>
          </w:tcPr>
          <w:p>
            <w:pPr>
              <w:spacing w:after="20" w:before="20" w:line="254" w:lineRule="auto"/>
              <w:jc w:val="left"/>
            </w:pPr>
            <w:r>
              <w:rPr>
                <w:sz w:val="16"/>
              </w:rPr>
              <w:t>matplotlib</w:t>
            </w:r>
          </w:p>
        </w:tc>
        <w:tc>
          <w:tcPr>
            <w:tcW w:type="dxa" w:w="1411"/>
          </w:tcPr>
          <w:p>
            <w:pPr>
              <w:spacing w:after="20" w:before="20" w:line="254" w:lineRule="auto"/>
              <w:jc w:val="center"/>
            </w:pPr>
            <w:r>
              <w:rPr>
                <w:sz w:val="16"/>
              </w:rPr>
              <w:t>3.11.1</w:t>
            </w:r>
          </w:p>
        </w:tc>
        <w:tc>
          <w:tcPr>
            <w:tcW w:type="dxa" w:w="1944"/>
          </w:tcPr>
          <w:p>
            <w:pPr>
              <w:spacing w:after="20" w:before="20" w:line="254" w:lineRule="auto"/>
              <w:jc w:val="center"/>
            </w:pPr>
            <w:r>
              <w:rPr>
                <w:sz w:val="16"/>
              </w:rPr>
              <w:t>phases 3, 5-9</w:t>
            </w:r>
          </w:p>
        </w:tc>
        <w:tc>
          <w:tcPr>
            <w:tcW w:type="dxa" w:w="4205"/>
          </w:tcPr>
          <w:p>
            <w:pPr>
              <w:spacing w:after="20" w:before="20" w:line="254" w:lineRule="auto"/>
              <w:jc w:val="center"/>
            </w:pPr>
            <w:r>
              <w:rPr>
                <w:sz w:val="16"/>
              </w:rPr>
              <w:t>figure rendering</w:t>
            </w:r>
          </w:p>
        </w:tc>
      </w:tr>
      <w:tr>
        <w:tc>
          <w:tcPr>
            <w:tcW w:type="dxa" w:w="1757"/>
            <w:shd w:val="clear" w:color="auto" w:fill="F2F5F9"/>
          </w:tcPr>
          <w:p>
            <w:pPr>
              <w:spacing w:after="20" w:before="20" w:line="254" w:lineRule="auto"/>
              <w:jc w:val="left"/>
            </w:pPr>
            <w:r>
              <w:rPr>
                <w:sz w:val="16"/>
              </w:rPr>
              <w:t>seaborn</w:t>
            </w:r>
          </w:p>
        </w:tc>
        <w:tc>
          <w:tcPr>
            <w:tcW w:type="dxa" w:w="1411"/>
            <w:shd w:val="clear" w:color="auto" w:fill="F2F5F9"/>
          </w:tcPr>
          <w:p>
            <w:pPr>
              <w:spacing w:after="20" w:before="20" w:line="254" w:lineRule="auto"/>
              <w:jc w:val="center"/>
            </w:pPr>
            <w:r>
              <w:rPr>
                <w:sz w:val="16"/>
              </w:rPr>
              <w:t>0.13.2</w:t>
            </w:r>
          </w:p>
        </w:tc>
        <w:tc>
          <w:tcPr>
            <w:tcW w:type="dxa" w:w="1944"/>
            <w:shd w:val="clear" w:color="auto" w:fill="F2F5F9"/>
          </w:tcPr>
          <w:p>
            <w:pPr>
              <w:spacing w:after="20" w:before="20" w:line="254" w:lineRule="auto"/>
              <w:jc w:val="center"/>
            </w:pPr>
            <w:r>
              <w:rPr>
                <w:sz w:val="16"/>
              </w:rPr>
              <w:t>phases 3, 5-9</w:t>
            </w:r>
          </w:p>
        </w:tc>
        <w:tc>
          <w:tcPr>
            <w:tcW w:type="dxa" w:w="4205"/>
            <w:shd w:val="clear" w:color="auto" w:fill="F2F5F9"/>
          </w:tcPr>
          <w:p>
            <w:pPr>
              <w:spacing w:after="20" w:before="20" w:line="254" w:lineRule="auto"/>
              <w:jc w:val="left"/>
            </w:pPr>
            <w:r>
              <w:rPr>
                <w:sz w:val="16"/>
              </w:rPr>
              <w:t>statistical plot styling</w:t>
            </w:r>
          </w:p>
        </w:tc>
      </w:tr>
      <w:tr>
        <w:tc>
          <w:tcPr>
            <w:tcW w:type="dxa" w:w="1757"/>
          </w:tcPr>
          <w:p>
            <w:pPr>
              <w:spacing w:after="20" w:before="20" w:line="254" w:lineRule="auto"/>
              <w:jc w:val="left"/>
            </w:pPr>
            <w:r>
              <w:rPr>
                <w:sz w:val="16"/>
              </w:rPr>
              <w:t>joblib</w:t>
            </w:r>
          </w:p>
        </w:tc>
        <w:tc>
          <w:tcPr>
            <w:tcW w:type="dxa" w:w="1411"/>
          </w:tcPr>
          <w:p>
            <w:pPr>
              <w:spacing w:after="20" w:before="20" w:line="254" w:lineRule="auto"/>
              <w:jc w:val="center"/>
            </w:pPr>
            <w:r>
              <w:rPr>
                <w:sz w:val="16"/>
              </w:rPr>
              <w:t>1.6.0</w:t>
            </w:r>
          </w:p>
        </w:tc>
        <w:tc>
          <w:tcPr>
            <w:tcW w:type="dxa" w:w="1944"/>
          </w:tcPr>
          <w:p>
            <w:pPr>
              <w:spacing w:after="20" w:before="20" w:line="254" w:lineRule="auto"/>
              <w:jc w:val="center"/>
            </w:pPr>
            <w:r>
              <w:rPr>
                <w:sz w:val="16"/>
              </w:rPr>
              <w:t>phases 4, 5, 8</w:t>
            </w:r>
          </w:p>
        </w:tc>
        <w:tc>
          <w:tcPr>
            <w:tcW w:type="dxa" w:w="4205"/>
          </w:tcPr>
          <w:p>
            <w:pPr>
              <w:spacing w:after="20" w:before="20" w:line="254" w:lineRule="auto"/>
              <w:jc w:val="center"/>
            </w:pPr>
            <w:r>
              <w:rPr>
                <w:sz w:val="16"/>
              </w:rPr>
              <w:t>artefact serialisation</w:t>
            </w:r>
          </w:p>
        </w:tc>
      </w:tr>
      <w:tr>
        <w:tc>
          <w:tcPr>
            <w:tcW w:type="dxa" w:w="1757"/>
            <w:shd w:val="clear" w:color="auto" w:fill="F2F5F9"/>
          </w:tcPr>
          <w:p>
            <w:pPr>
              <w:spacing w:after="20" w:before="20" w:line="254" w:lineRule="auto"/>
              <w:jc w:val="left"/>
            </w:pPr>
            <w:r>
              <w:rPr>
                <w:sz w:val="16"/>
              </w:rPr>
              <w:t>Streamlit</w:t>
            </w:r>
          </w:p>
        </w:tc>
        <w:tc>
          <w:tcPr>
            <w:tcW w:type="dxa" w:w="1411"/>
            <w:shd w:val="clear" w:color="auto" w:fill="F2F5F9"/>
          </w:tcPr>
          <w:p>
            <w:pPr>
              <w:spacing w:after="20" w:before="20" w:line="254" w:lineRule="auto"/>
              <w:jc w:val="center"/>
            </w:pPr>
            <w:r>
              <w:rPr>
                <w:sz w:val="16"/>
              </w:rPr>
              <w:t>1.63.0</w:t>
            </w:r>
          </w:p>
        </w:tc>
        <w:tc>
          <w:tcPr>
            <w:tcW w:type="dxa" w:w="1944"/>
            <w:shd w:val="clear" w:color="auto" w:fill="F2F5F9"/>
          </w:tcPr>
          <w:p>
            <w:pPr>
              <w:spacing w:after="20" w:before="20" w:line="254" w:lineRule="auto"/>
              <w:jc w:val="center"/>
            </w:pPr>
            <w:r>
              <w:rPr>
                <w:sz w:val="16"/>
              </w:rPr>
              <w:t>dashboard</w:t>
            </w:r>
          </w:p>
        </w:tc>
        <w:tc>
          <w:tcPr>
            <w:tcW w:type="dxa" w:w="4205"/>
            <w:shd w:val="clear" w:color="auto" w:fill="F2F5F9"/>
          </w:tcPr>
          <w:p>
            <w:pPr>
              <w:spacing w:after="20" w:before="20" w:line="254" w:lineRule="auto"/>
              <w:jc w:val="left"/>
            </w:pPr>
            <w:r>
              <w:rPr>
                <w:sz w:val="16"/>
              </w:rPr>
              <w:t>web application runtime</w:t>
            </w:r>
          </w:p>
        </w:tc>
      </w:tr>
    </w:tbl>
    <w:p>
      <w:pPr>
        <w:spacing w:before="60" w:after="200"/>
        <w:jc w:val="center"/>
      </w:pPr>
      <w:r>
        <w:rPr>
          <w:i/>
          <w:color w:val="555F6B"/>
          <w:sz w:val="17"/>
        </w:rPr>
        <w:t>Table 6: Verified runtime environment. All nine phases executed successfully against these versions.</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Both environment problems reported against the previous codebase are now resolved.</w:t>
            </w:r>
          </w:p>
          <w:p>
            <w:pPr>
              <w:spacing w:after="0"/>
              <w:jc w:val="both"/>
            </w:pPr>
            <w:r>
              <w:rPr>
                <w:sz w:val="19"/>
              </w:rPr>
              <w:t>The earlier review recorded that xgboost was absent from the interpreter and that the serialised models raised InconsistentVersionWarning when loaded. Installing the declared requirements into a dedicated environment fixes the first, and re-executing every phase regenerates all five model artefacts under scikit-learn 1.9.1, which fixes the second. The models in models/ now load without warnings.</w:t>
            </w:r>
          </w:p>
        </w:tc>
      </w:tr>
    </w:tbl>
    <w:p>
      <w:pPr>
        <w:spacing w:after="120"/>
      </w:pPr>
    </w:p>
    <w:p>
      <w:pPr>
        <w:keepNext/>
        <w:spacing w:before="240" w:after="80"/>
      </w:pPr>
      <w:r>
        <w:rPr>
          <w:b/>
          <w:color w:val="1B355E"/>
          <w:sz w:val="25"/>
        </w:rPr>
        <w:t>4.3  Configuration constants that changed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987"/>
        <w:gridCol w:w="1512"/>
        <w:gridCol w:w="1684"/>
        <w:gridCol w:w="1828"/>
        <w:gridCol w:w="2304"/>
      </w:tblGrid>
      <w:tr>
        <w:tc>
          <w:tcPr>
            <w:tcW w:type="dxa" w:w="1987"/>
            <w:shd w:val="clear" w:color="auto" w:fill="1B355E"/>
          </w:tcPr>
          <w:p>
            <w:pPr>
              <w:spacing w:after="20" w:before="20"/>
              <w:jc w:val="center"/>
            </w:pPr>
            <w:r>
              <w:rPr>
                <w:b/>
                <w:color w:val="FFFFFF"/>
                <w:sz w:val="16"/>
              </w:rPr>
              <w:t>Constant</w:t>
            </w:r>
          </w:p>
        </w:tc>
        <w:tc>
          <w:tcPr>
            <w:tcW w:type="dxa" w:w="1512"/>
            <w:shd w:val="clear" w:color="auto" w:fill="1B355E"/>
          </w:tcPr>
          <w:p>
            <w:pPr>
              <w:spacing w:after="20" w:before="20"/>
              <w:jc w:val="center"/>
            </w:pPr>
            <w:r>
              <w:rPr>
                <w:b/>
                <w:color w:val="FFFFFF"/>
                <w:sz w:val="16"/>
              </w:rPr>
              <w:t>Declared in</w:t>
            </w:r>
          </w:p>
        </w:tc>
        <w:tc>
          <w:tcPr>
            <w:tcW w:type="dxa" w:w="1685"/>
            <w:shd w:val="clear" w:color="auto" w:fill="1B355E"/>
          </w:tcPr>
          <w:p>
            <w:pPr>
              <w:spacing w:after="20" w:before="20"/>
              <w:jc w:val="center"/>
            </w:pPr>
            <w:r>
              <w:rPr>
                <w:b/>
                <w:color w:val="FFFFFF"/>
                <w:sz w:val="16"/>
              </w:rPr>
              <w:t>Before</w:t>
            </w:r>
          </w:p>
        </w:tc>
        <w:tc>
          <w:tcPr>
            <w:tcW w:type="dxa" w:w="1829"/>
            <w:shd w:val="clear" w:color="auto" w:fill="1B355E"/>
          </w:tcPr>
          <w:p>
            <w:pPr>
              <w:spacing w:after="20" w:before="20"/>
              <w:jc w:val="center"/>
            </w:pPr>
            <w:r>
              <w:rPr>
                <w:b/>
                <w:color w:val="FFFFFF"/>
                <w:sz w:val="16"/>
              </w:rPr>
              <w:t>After</w:t>
            </w:r>
          </w:p>
        </w:tc>
        <w:tc>
          <w:tcPr>
            <w:tcW w:type="dxa" w:w="2304"/>
            <w:shd w:val="clear" w:color="auto" w:fill="1B355E"/>
          </w:tcPr>
          <w:p>
            <w:pPr>
              <w:spacing w:after="20" w:before="20"/>
              <w:jc w:val="center"/>
            </w:pPr>
            <w:r>
              <w:rPr>
                <w:b/>
                <w:color w:val="FFFFFF"/>
                <w:sz w:val="16"/>
              </w:rPr>
              <w:t>Effect</w:t>
            </w:r>
          </w:p>
        </w:tc>
      </w:tr>
      <w:tr>
        <w:tc>
          <w:tcPr>
            <w:tcW w:type="dxa" w:w="1987"/>
          </w:tcPr>
          <w:p>
            <w:pPr>
              <w:spacing w:after="20" w:before="20" w:line="254" w:lineRule="auto"/>
              <w:jc w:val="left"/>
            </w:pPr>
            <w:r>
              <w:rPr>
                <w:rFonts w:ascii="Consolas" w:hAnsi="Consolas" w:eastAsia="Consolas"/>
                <w:color w:val="8A2C1F"/>
                <w:sz w:val="15"/>
              </w:rPr>
              <w:t>TEST_SIZE</w:t>
            </w:r>
          </w:p>
        </w:tc>
        <w:tc>
          <w:tcPr>
            <w:tcW w:type="dxa" w:w="1512"/>
          </w:tcPr>
          <w:p>
            <w:pPr>
              <w:spacing w:after="20" w:before="20" w:line="254" w:lineRule="auto"/>
              <w:jc w:val="center"/>
            </w:pPr>
            <w:r>
              <w:rPr>
                <w:sz w:val="16"/>
              </w:rPr>
              <w:t>phases 6, 7, 8</w:t>
            </w:r>
          </w:p>
        </w:tc>
        <w:tc>
          <w:tcPr>
            <w:tcW w:type="dxa" w:w="1685"/>
          </w:tcPr>
          <w:p>
            <w:pPr>
              <w:spacing w:after="20" w:before="20" w:line="254" w:lineRule="auto"/>
              <w:jc w:val="center"/>
            </w:pPr>
            <w:r>
              <w:rPr>
                <w:rFonts w:ascii="Consolas" w:hAnsi="Consolas" w:eastAsia="Consolas"/>
                <w:color w:val="8A2C1F"/>
                <w:sz w:val="15"/>
              </w:rPr>
              <w:t>0.05</w:t>
            </w:r>
          </w:p>
        </w:tc>
        <w:tc>
          <w:tcPr>
            <w:tcW w:type="dxa" w:w="1829"/>
          </w:tcPr>
          <w:p>
            <w:pPr>
              <w:spacing w:after="20" w:before="20" w:line="254" w:lineRule="auto"/>
              <w:jc w:val="center"/>
            </w:pPr>
            <w:r>
              <w:rPr>
                <w:rFonts w:ascii="Consolas" w:hAnsi="Consolas" w:eastAsia="Consolas"/>
                <w:b/>
                <w:color w:val="8A2C1F"/>
                <w:sz w:val="15"/>
              </w:rPr>
              <w:t>0.20</w:t>
            </w:r>
          </w:p>
        </w:tc>
        <w:tc>
          <w:tcPr>
            <w:tcW w:type="dxa" w:w="2304"/>
          </w:tcPr>
          <w:p>
            <w:pPr>
              <w:spacing w:after="20" w:before="20" w:line="254" w:lineRule="auto"/>
              <w:jc w:val="left"/>
            </w:pPr>
            <w:r>
              <w:rPr>
                <w:sz w:val="16"/>
              </w:rPr>
              <w:t>hold-out grows from 353 to 1 409 records</w:t>
            </w:r>
          </w:p>
        </w:tc>
      </w:tr>
      <w:tr>
        <w:tc>
          <w:tcPr>
            <w:tcW w:type="dxa" w:w="1987"/>
            <w:shd w:val="clear" w:color="auto" w:fill="F2F5F9"/>
          </w:tcPr>
          <w:p>
            <w:pPr>
              <w:spacing w:after="20" w:before="20" w:line="254" w:lineRule="auto"/>
              <w:jc w:val="left"/>
            </w:pPr>
            <w:r>
              <w:rPr>
                <w:rFonts w:ascii="Consolas" w:hAnsi="Consolas" w:eastAsia="Consolas"/>
                <w:color w:val="8A2C1F"/>
                <w:sz w:val="15"/>
              </w:rPr>
              <w:t>MODEL_RECALL</w:t>
            </w:r>
          </w:p>
        </w:tc>
        <w:tc>
          <w:tcPr>
            <w:tcW w:type="dxa" w:w="1512"/>
            <w:shd w:val="clear" w:color="auto" w:fill="F2F5F9"/>
          </w:tcPr>
          <w:p>
            <w:pPr>
              <w:spacing w:after="20" w:before="20" w:line="254" w:lineRule="auto"/>
              <w:jc w:val="center"/>
            </w:pPr>
            <w:r>
              <w:rPr>
                <w:sz w:val="16"/>
              </w:rPr>
              <w:t>phase 9</w:t>
            </w:r>
          </w:p>
        </w:tc>
        <w:tc>
          <w:tcPr>
            <w:tcW w:type="dxa" w:w="1685"/>
            <w:shd w:val="clear" w:color="auto" w:fill="F2F5F9"/>
          </w:tcPr>
          <w:p>
            <w:pPr>
              <w:spacing w:after="20" w:before="20" w:line="254" w:lineRule="auto"/>
              <w:jc w:val="center"/>
            </w:pPr>
            <w:r>
              <w:rPr>
                <w:rFonts w:ascii="Consolas" w:hAnsi="Consolas" w:eastAsia="Consolas"/>
                <w:color w:val="8A2C1F"/>
                <w:sz w:val="15"/>
              </w:rPr>
              <w:t>0.7766</w:t>
            </w:r>
            <w:r>
              <w:rPr>
                <w:sz w:val="16"/>
              </w:rPr>
              <w:t xml:space="preserve"> hard-coded</w:t>
            </w:r>
          </w:p>
        </w:tc>
        <w:tc>
          <w:tcPr>
            <w:tcW w:type="dxa" w:w="1829"/>
            <w:shd w:val="clear" w:color="auto" w:fill="F2F5F9"/>
          </w:tcPr>
          <w:p>
            <w:pPr>
              <w:spacing w:after="20" w:before="20" w:line="254" w:lineRule="auto"/>
              <w:jc w:val="center"/>
            </w:pPr>
            <w:r>
              <w:rPr>
                <w:b/>
                <w:sz w:val="16"/>
              </w:rPr>
              <w:t>read from phase 7</w:t>
            </w:r>
          </w:p>
        </w:tc>
        <w:tc>
          <w:tcPr>
            <w:tcW w:type="dxa" w:w="2304"/>
            <w:shd w:val="clear" w:color="auto" w:fill="F2F5F9"/>
          </w:tcPr>
          <w:p>
            <w:pPr>
              <w:spacing w:after="20" w:before="20" w:line="254" w:lineRule="auto"/>
              <w:jc w:val="left"/>
            </w:pPr>
            <w:r>
              <w:rPr>
                <w:sz w:val="16"/>
              </w:rPr>
              <w:t>financial model always quotes the recall actually measured</w:t>
            </w:r>
          </w:p>
        </w:tc>
      </w:tr>
      <w:tr>
        <w:tc>
          <w:tcPr>
            <w:tcW w:type="dxa" w:w="1987"/>
          </w:tcPr>
          <w:p>
            <w:pPr>
              <w:spacing w:after="20" w:before="20" w:line="254" w:lineRule="auto"/>
              <w:jc w:val="left"/>
            </w:pPr>
            <w:r>
              <w:rPr>
                <w:rFonts w:ascii="Consolas" w:hAnsi="Consolas" w:eastAsia="Consolas"/>
                <w:color w:val="8A2C1F"/>
                <w:sz w:val="15"/>
              </w:rPr>
              <w:t>BASELINE_CHURN_RATE</w:t>
            </w:r>
          </w:p>
        </w:tc>
        <w:tc>
          <w:tcPr>
            <w:tcW w:type="dxa" w:w="1512"/>
          </w:tcPr>
          <w:p>
            <w:pPr>
              <w:spacing w:after="20" w:before="20" w:line="254" w:lineRule="auto"/>
              <w:jc w:val="center"/>
            </w:pPr>
            <w:r>
              <w:rPr>
                <w:sz w:val="16"/>
              </w:rPr>
              <w:t>phase 9</w:t>
            </w:r>
          </w:p>
        </w:tc>
        <w:tc>
          <w:tcPr>
            <w:tcW w:type="dxa" w:w="1685"/>
          </w:tcPr>
          <w:p>
            <w:pPr>
              <w:spacing w:after="20" w:before="20" w:line="254" w:lineRule="auto"/>
              <w:jc w:val="center"/>
            </w:pPr>
            <w:r>
              <w:rPr>
                <w:rFonts w:ascii="Consolas" w:hAnsi="Consolas" w:eastAsia="Consolas"/>
                <w:color w:val="8A2C1F"/>
                <w:sz w:val="15"/>
              </w:rPr>
              <w:t>0.2654</w:t>
            </w:r>
            <w:r>
              <w:rPr>
                <w:sz w:val="16"/>
              </w:rPr>
              <w:t xml:space="preserve"> hard-coded</w:t>
            </w:r>
          </w:p>
        </w:tc>
        <w:tc>
          <w:tcPr>
            <w:tcW w:type="dxa" w:w="1829"/>
          </w:tcPr>
          <w:p>
            <w:pPr>
              <w:spacing w:after="20" w:before="20" w:line="254" w:lineRule="auto"/>
              <w:jc w:val="center"/>
            </w:pPr>
            <w:r>
              <w:rPr>
                <w:b/>
                <w:sz w:val="16"/>
              </w:rPr>
              <w:t>measured from data</w:t>
            </w:r>
          </w:p>
        </w:tc>
        <w:tc>
          <w:tcPr>
            <w:tcW w:type="dxa" w:w="2304"/>
          </w:tcPr>
          <w:p>
            <w:pPr>
              <w:spacing w:after="20" w:before="20" w:line="254" w:lineRule="auto"/>
              <w:jc w:val="left"/>
            </w:pPr>
            <w:r>
              <w:rPr>
                <w:sz w:val="16"/>
              </w:rPr>
              <w:t>cannot drift from the dataset</w:t>
            </w:r>
          </w:p>
        </w:tc>
      </w:tr>
      <w:tr>
        <w:tc>
          <w:tcPr>
            <w:tcW w:type="dxa" w:w="1987"/>
            <w:shd w:val="clear" w:color="auto" w:fill="F2F5F9"/>
          </w:tcPr>
          <w:p>
            <w:pPr>
              <w:spacing w:after="20" w:before="20" w:line="254" w:lineRule="auto"/>
              <w:jc w:val="left"/>
            </w:pPr>
            <w:r>
              <w:rPr>
                <w:rFonts w:ascii="Consolas" w:hAnsi="Consolas" w:eastAsia="Consolas"/>
                <w:color w:val="8A2C1F"/>
                <w:sz w:val="15"/>
              </w:rPr>
              <w:t>MODEL_EXCLUDED_COLUMNS</w:t>
            </w:r>
          </w:p>
        </w:tc>
        <w:tc>
          <w:tcPr>
            <w:tcW w:type="dxa" w:w="1512"/>
            <w:shd w:val="clear" w:color="auto" w:fill="F2F5F9"/>
          </w:tcPr>
          <w:p>
            <w:pPr>
              <w:spacing w:after="20" w:before="20" w:line="254" w:lineRule="auto"/>
              <w:jc w:val="center"/>
            </w:pPr>
            <w:r>
              <w:rPr>
                <w:rFonts w:ascii="Consolas" w:hAnsi="Consolas" w:eastAsia="Consolas"/>
                <w:color w:val="8A2C1F"/>
                <w:sz w:val="15"/>
              </w:rPr>
              <w:t>churn_features.py</w:t>
            </w:r>
          </w:p>
        </w:tc>
        <w:tc>
          <w:tcPr>
            <w:tcW w:type="dxa" w:w="1685"/>
            <w:shd w:val="clear" w:color="auto" w:fill="F2F5F9"/>
          </w:tcPr>
          <w:p>
            <w:pPr>
              <w:spacing w:after="20" w:before="20" w:line="254" w:lineRule="auto"/>
              <w:jc w:val="center"/>
            </w:pPr>
            <w:r>
              <w:rPr>
                <w:rFonts w:ascii="Consolas" w:hAnsi="Consolas" w:eastAsia="Consolas"/>
                <w:color w:val="8A2C1F"/>
                <w:sz w:val="15"/>
              </w:rPr>
              <w:t>Cluster</w:t>
            </w:r>
            <w:r>
              <w:rPr>
                <w:sz w:val="16"/>
              </w:rPr>
              <w:t xml:space="preserve"> dropped, segment kept</w:t>
            </w:r>
          </w:p>
        </w:tc>
        <w:tc>
          <w:tcPr>
            <w:tcW w:type="dxa" w:w="1829"/>
            <w:shd w:val="clear" w:color="auto" w:fill="F2F5F9"/>
          </w:tcPr>
          <w:p>
            <w:pPr>
              <w:spacing w:after="20" w:before="20" w:line="254" w:lineRule="auto"/>
              <w:jc w:val="center"/>
            </w:pPr>
            <w:r>
              <w:rPr>
                <w:b/>
                <w:sz w:val="16"/>
              </w:rPr>
              <w:t xml:space="preserve">segment and </w:t>
            </w:r>
            <w:r>
              <w:rPr>
                <w:rFonts w:ascii="Consolas" w:hAnsi="Consolas" w:eastAsia="Consolas"/>
                <w:b/>
                <w:color w:val="8A2C1F"/>
                <w:sz w:val="15"/>
              </w:rPr>
              <w:t>ContractRiskFlag</w:t>
            </w:r>
            <w:r>
              <w:rPr>
                <w:b/>
                <w:sz w:val="16"/>
              </w:rPr>
              <w:t xml:space="preserve"> dropped, </w:t>
            </w:r>
            <w:r>
              <w:rPr>
                <w:rFonts w:ascii="Consolas" w:hAnsi="Consolas" w:eastAsia="Consolas"/>
                <w:b/>
                <w:color w:val="8A2C1F"/>
                <w:sz w:val="15"/>
              </w:rPr>
              <w:t>Cluster</w:t>
            </w:r>
            <w:r>
              <w:rPr>
                <w:b/>
                <w:sz w:val="16"/>
              </w:rPr>
              <w:t xml:space="preserve"> kept</w:t>
            </w:r>
          </w:p>
        </w:tc>
        <w:tc>
          <w:tcPr>
            <w:tcW w:type="dxa" w:w="2304"/>
            <w:shd w:val="clear" w:color="auto" w:fill="F2F5F9"/>
          </w:tcPr>
          <w:p>
            <w:pPr>
              <w:spacing w:after="20" w:before="20" w:line="254" w:lineRule="auto"/>
              <w:jc w:val="left"/>
            </w:pPr>
            <w:r>
              <w:rPr>
                <w:sz w:val="16"/>
              </w:rPr>
              <w:t>removes the leaked label and the duplicate flag</w:t>
            </w:r>
          </w:p>
        </w:tc>
      </w:tr>
      <w:tr>
        <w:tc>
          <w:tcPr>
            <w:tcW w:type="dxa" w:w="1987"/>
          </w:tcPr>
          <w:p>
            <w:pPr>
              <w:spacing w:after="20" w:before="20" w:line="254" w:lineRule="auto"/>
              <w:jc w:val="left"/>
            </w:pPr>
            <w:r>
              <w:rPr>
                <w:rFonts w:ascii="Consolas" w:hAnsi="Consolas" w:eastAsia="Consolas"/>
                <w:color w:val="8A2C1F"/>
                <w:sz w:val="15"/>
              </w:rPr>
              <w:t>DECISION_THRESHOLD</w:t>
            </w:r>
          </w:p>
        </w:tc>
        <w:tc>
          <w:tcPr>
            <w:tcW w:type="dxa" w:w="1512"/>
          </w:tcPr>
          <w:p>
            <w:pPr>
              <w:spacing w:after="20" w:before="20" w:line="254" w:lineRule="auto"/>
              <w:jc w:val="center"/>
            </w:pPr>
            <w:r>
              <w:rPr>
                <w:sz w:val="16"/>
              </w:rPr>
              <w:t>phase 6</w:t>
            </w:r>
          </w:p>
        </w:tc>
        <w:tc>
          <w:tcPr>
            <w:tcW w:type="dxa" w:w="1685"/>
          </w:tcPr>
          <w:p>
            <w:pPr>
              <w:spacing w:after="20" w:before="20" w:line="254" w:lineRule="auto"/>
              <w:jc w:val="center"/>
            </w:pPr>
            <w:r>
              <w:rPr>
                <w:sz w:val="16"/>
              </w:rPr>
              <w:t>implicit (</w:t>
            </w:r>
            <w:r>
              <w:rPr>
                <w:rFonts w:ascii="Consolas" w:hAnsi="Consolas" w:eastAsia="Consolas"/>
                <w:color w:val="8A2C1F"/>
                <w:sz w:val="15"/>
              </w:rPr>
              <w:t>predict()</w:t>
            </w:r>
            <w:r>
              <w:rPr>
                <w:sz w:val="16"/>
              </w:rPr>
              <w:t>)</w:t>
            </w:r>
          </w:p>
        </w:tc>
        <w:tc>
          <w:tcPr>
            <w:tcW w:type="dxa" w:w="1829"/>
          </w:tcPr>
          <w:p>
            <w:pPr>
              <w:spacing w:after="20" w:before="20" w:line="254" w:lineRule="auto"/>
              <w:jc w:val="center"/>
            </w:pPr>
            <w:r>
              <w:rPr>
                <w:rFonts w:ascii="Consolas" w:hAnsi="Consolas" w:eastAsia="Consolas"/>
                <w:b/>
                <w:color w:val="8A2C1F"/>
                <w:sz w:val="15"/>
              </w:rPr>
              <w:t>0.50</w:t>
            </w:r>
            <w:r>
              <w:rPr>
                <w:b/>
                <w:sz w:val="16"/>
              </w:rPr>
              <w:t xml:space="preserve"> explicit</w:t>
            </w:r>
          </w:p>
        </w:tc>
        <w:tc>
          <w:tcPr>
            <w:tcW w:type="dxa" w:w="2304"/>
          </w:tcPr>
          <w:p>
            <w:pPr>
              <w:spacing w:after="20" w:before="20" w:line="254" w:lineRule="auto"/>
              <w:jc w:val="left"/>
            </w:pPr>
            <w:r>
              <w:rPr>
                <w:sz w:val="16"/>
              </w:rPr>
              <w:t>phase 6 and phase 7 label identically</w:t>
            </w:r>
          </w:p>
        </w:tc>
      </w:tr>
      <w:tr>
        <w:tc>
          <w:tcPr>
            <w:tcW w:type="dxa" w:w="1987"/>
            <w:shd w:val="clear" w:color="auto" w:fill="F2F5F9"/>
          </w:tcPr>
          <w:p>
            <w:pPr>
              <w:spacing w:after="20" w:before="20" w:line="254" w:lineRule="auto"/>
              <w:jc w:val="left"/>
            </w:pPr>
            <w:r>
              <w:rPr>
                <w:rFonts w:ascii="Consolas" w:hAnsi="Consolas" w:eastAsia="Consolas"/>
                <w:color w:val="8A2C1F"/>
                <w:sz w:val="15"/>
              </w:rPr>
              <w:t>RANDOM_STATE</w:t>
            </w:r>
          </w:p>
        </w:tc>
        <w:tc>
          <w:tcPr>
            <w:tcW w:type="dxa" w:w="1512"/>
            <w:shd w:val="clear" w:color="auto" w:fill="F2F5F9"/>
          </w:tcPr>
          <w:p>
            <w:pPr>
              <w:spacing w:after="20" w:before="20" w:line="254" w:lineRule="auto"/>
              <w:jc w:val="center"/>
            </w:pPr>
            <w:r>
              <w:rPr>
                <w:sz w:val="16"/>
              </w:rPr>
              <w:t>phases 5-8</w:t>
            </w:r>
          </w:p>
        </w:tc>
        <w:tc>
          <w:tcPr>
            <w:tcW w:type="dxa" w:w="1685"/>
            <w:shd w:val="clear" w:color="auto" w:fill="F2F5F9"/>
          </w:tcPr>
          <w:p>
            <w:pPr>
              <w:spacing w:after="20" w:before="20" w:line="254" w:lineRule="auto"/>
              <w:jc w:val="center"/>
            </w:pPr>
            <w:r>
              <w:rPr>
                <w:rFonts w:ascii="Consolas" w:hAnsi="Consolas" w:eastAsia="Consolas"/>
                <w:color w:val="8A2C1F"/>
                <w:sz w:val="15"/>
              </w:rPr>
              <w:t>42</w:t>
            </w:r>
          </w:p>
        </w:tc>
        <w:tc>
          <w:tcPr>
            <w:tcW w:type="dxa" w:w="1829"/>
            <w:shd w:val="clear" w:color="auto" w:fill="F2F5F9"/>
          </w:tcPr>
          <w:p>
            <w:pPr>
              <w:spacing w:after="20" w:before="20" w:line="254" w:lineRule="auto"/>
              <w:jc w:val="center"/>
            </w:pPr>
            <w:r>
              <w:rPr>
                <w:rFonts w:ascii="Consolas" w:hAnsi="Consolas" w:eastAsia="Consolas"/>
                <w:color w:val="8A2C1F"/>
                <w:sz w:val="15"/>
              </w:rPr>
              <w:t>42</w:t>
            </w:r>
            <w:r>
              <w:rPr>
                <w:sz w:val="16"/>
              </w:rPr>
              <w:t xml:space="preserve"> (unchanged)</w:t>
            </w:r>
          </w:p>
        </w:tc>
        <w:tc>
          <w:tcPr>
            <w:tcW w:type="dxa" w:w="2304"/>
            <w:shd w:val="clear" w:color="auto" w:fill="F2F5F9"/>
          </w:tcPr>
          <w:p>
            <w:pPr>
              <w:spacing w:after="20" w:before="20" w:line="254" w:lineRule="auto"/>
              <w:jc w:val="left"/>
            </w:pPr>
            <w:r>
              <w:rPr>
                <w:sz w:val="16"/>
              </w:rPr>
              <w:t>reproducibility of split, clustering and every model</w:t>
            </w:r>
          </w:p>
        </w:tc>
      </w:tr>
      <w:tr>
        <w:tc>
          <w:tcPr>
            <w:tcW w:type="dxa" w:w="1987"/>
          </w:tcPr>
          <w:p>
            <w:pPr>
              <w:spacing w:after="20" w:before="20" w:line="254" w:lineRule="auto"/>
              <w:jc w:val="left"/>
            </w:pPr>
            <w:r>
              <w:rPr>
                <w:rFonts w:ascii="Consolas" w:hAnsi="Consolas" w:eastAsia="Consolas"/>
                <w:color w:val="8A2C1F"/>
                <w:sz w:val="15"/>
              </w:rPr>
              <w:t>OPTIMAL_K</w:t>
            </w:r>
          </w:p>
        </w:tc>
        <w:tc>
          <w:tcPr>
            <w:tcW w:type="dxa" w:w="1512"/>
          </w:tcPr>
          <w:p>
            <w:pPr>
              <w:spacing w:after="20" w:before="20" w:line="254" w:lineRule="auto"/>
              <w:jc w:val="center"/>
            </w:pPr>
            <w:r>
              <w:rPr>
                <w:sz w:val="16"/>
              </w:rPr>
              <w:t>phase 5</w:t>
            </w:r>
          </w:p>
        </w:tc>
        <w:tc>
          <w:tcPr>
            <w:tcW w:type="dxa" w:w="1685"/>
          </w:tcPr>
          <w:p>
            <w:pPr>
              <w:spacing w:after="20" w:before="20" w:line="254" w:lineRule="auto"/>
              <w:jc w:val="center"/>
            </w:pPr>
            <w:r>
              <w:rPr>
                <w:rFonts w:ascii="Consolas" w:hAnsi="Consolas" w:eastAsia="Consolas"/>
                <w:color w:val="8A2C1F"/>
                <w:sz w:val="15"/>
              </w:rPr>
              <w:t>4</w:t>
            </w:r>
          </w:p>
        </w:tc>
        <w:tc>
          <w:tcPr>
            <w:tcW w:type="dxa" w:w="1829"/>
          </w:tcPr>
          <w:p>
            <w:pPr>
              <w:spacing w:after="20" w:before="20" w:line="254" w:lineRule="auto"/>
              <w:jc w:val="center"/>
            </w:pPr>
            <w:r>
              <w:rPr>
                <w:rFonts w:ascii="Consolas" w:hAnsi="Consolas" w:eastAsia="Consolas"/>
                <w:color w:val="8A2C1F"/>
                <w:sz w:val="15"/>
              </w:rPr>
              <w:t>4</w:t>
            </w:r>
            <w:r>
              <w:rPr>
                <w:sz w:val="16"/>
              </w:rPr>
              <w:t xml:space="preserve"> (unchanged)</w:t>
            </w:r>
          </w:p>
        </w:tc>
        <w:tc>
          <w:tcPr>
            <w:tcW w:type="dxa" w:w="2304"/>
          </w:tcPr>
          <w:p>
            <w:pPr>
              <w:spacing w:after="20" w:before="20" w:line="254" w:lineRule="auto"/>
              <w:jc w:val="left"/>
            </w:pPr>
            <w:r>
              <w:rPr>
                <w:sz w:val="16"/>
              </w:rPr>
              <w:t>number of behavioural segments</w:t>
            </w:r>
          </w:p>
        </w:tc>
      </w:tr>
    </w:tbl>
    <w:p>
      <w:pPr>
        <w:spacing w:before="60" w:after="200"/>
        <w:jc w:val="center"/>
      </w:pPr>
      <w:r>
        <w:rPr>
          <w:i/>
          <w:color w:val="555F6B"/>
          <w:sz w:val="17"/>
        </w:rPr>
        <w:t>Table 7: Configuration constants altered by the remediation.</w:t>
      </w:r>
    </w:p>
    <w:p>
      <w:r>
        <w:br w:type="page"/>
      </w:r>
    </w:p>
    <w:p>
      <w:pPr>
        <w:spacing w:after="0"/>
      </w:pPr>
    </w:p>
    <w:p>
      <w:pPr>
        <w:keepNext/>
        <w:spacing w:before="80" w:after="40"/>
        <w:pBdr>
          <w:bottom w:val="single" w:sz="10" w:space="3" w:color="1B355E"/>
        </w:pBdr>
      </w:pPr>
      <w:r>
        <w:rPr>
          <w:b/>
          <w:color w:val="1B355E"/>
          <w:sz w:val="30"/>
        </w:rPr>
        <w:t>5.  Dataset Description</w:t>
      </w:r>
    </w:p>
    <w:p>
      <w:pPr>
        <w:spacing w:after="40"/>
      </w:pPr>
    </w:p>
    <w:p>
      <w:pPr>
        <w:spacing w:after="120" w:before="0"/>
        <w:jc w:val="both"/>
      </w:pPr>
      <w:r>
        <w:rPr>
          <w:b w:val="0"/>
          <w:i w:val="0"/>
          <w:sz w:val="21"/>
        </w:rPr>
        <w:t>The pipeline is built on the Telco Customer Churn dataset: 7 043 customer records described by 21 attributes — one identifier, nineteen predictors and one binary target. The data was not modified during remediation, so the descriptive statistics below are unchanged from the delivered project.</w:t>
      </w:r>
    </w:p>
    <w:p>
      <w:pPr>
        <w:keepNext/>
        <w:spacing w:before="240" w:after="80"/>
      </w:pPr>
      <w:r>
        <w:rPr>
          <w:b/>
          <w:color w:val="1B355E"/>
          <w:sz w:val="25"/>
        </w:rPr>
        <w:t>5.1  Attribute schema</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468"/>
        <w:gridCol w:w="4392"/>
        <w:gridCol w:w="3456"/>
      </w:tblGrid>
      <w:tr>
        <w:tc>
          <w:tcPr>
            <w:tcW w:type="dxa" w:w="1469"/>
            <w:shd w:val="clear" w:color="auto" w:fill="1B355E"/>
          </w:tcPr>
          <w:p>
            <w:pPr>
              <w:spacing w:after="20" w:before="20"/>
              <w:jc w:val="center"/>
            </w:pPr>
            <w:r>
              <w:rPr>
                <w:b/>
                <w:color w:val="FFFFFF"/>
                <w:sz w:val="16"/>
              </w:rPr>
              <w:t>Group</w:t>
            </w:r>
          </w:p>
        </w:tc>
        <w:tc>
          <w:tcPr>
            <w:tcW w:type="dxa" w:w="4392"/>
            <w:shd w:val="clear" w:color="auto" w:fill="1B355E"/>
          </w:tcPr>
          <w:p>
            <w:pPr>
              <w:spacing w:after="20" w:before="20"/>
              <w:jc w:val="center"/>
            </w:pPr>
            <w:r>
              <w:rPr>
                <w:b/>
                <w:color w:val="FFFFFF"/>
                <w:sz w:val="16"/>
              </w:rPr>
              <w:t>Attributes</w:t>
            </w:r>
          </w:p>
        </w:tc>
        <w:tc>
          <w:tcPr>
            <w:tcW w:type="dxa" w:w="3456"/>
            <w:shd w:val="clear" w:color="auto" w:fill="1B355E"/>
          </w:tcPr>
          <w:p>
            <w:pPr>
              <w:spacing w:after="20" w:before="20"/>
              <w:jc w:val="center"/>
            </w:pPr>
            <w:r>
              <w:rPr>
                <w:b/>
                <w:color w:val="FFFFFF"/>
                <w:sz w:val="16"/>
              </w:rPr>
              <w:t>Role</w:t>
            </w:r>
          </w:p>
        </w:tc>
      </w:tr>
      <w:tr>
        <w:tc>
          <w:tcPr>
            <w:tcW w:type="dxa" w:w="1469"/>
          </w:tcPr>
          <w:p>
            <w:pPr>
              <w:spacing w:after="20" w:before="20" w:line="254" w:lineRule="auto"/>
              <w:jc w:val="left"/>
            </w:pPr>
            <w:r>
              <w:rPr>
                <w:sz w:val="16"/>
              </w:rPr>
              <w:t>Identifier</w:t>
            </w:r>
          </w:p>
        </w:tc>
        <w:tc>
          <w:tcPr>
            <w:tcW w:type="dxa" w:w="4392"/>
          </w:tcPr>
          <w:p>
            <w:pPr>
              <w:spacing w:after="20" w:before="20" w:line="254" w:lineRule="auto"/>
              <w:jc w:val="center"/>
            </w:pPr>
            <w:r>
              <w:rPr>
                <w:rFonts w:ascii="Consolas" w:hAnsi="Consolas" w:eastAsia="Consolas"/>
                <w:color w:val="8A2C1F"/>
                <w:sz w:val="15"/>
              </w:rPr>
              <w:t>customerID</w:t>
            </w:r>
          </w:p>
        </w:tc>
        <w:tc>
          <w:tcPr>
            <w:tcW w:type="dxa" w:w="3456"/>
          </w:tcPr>
          <w:p>
            <w:pPr>
              <w:spacing w:after="20" w:before="20" w:line="254" w:lineRule="auto"/>
              <w:jc w:val="left"/>
            </w:pPr>
            <w:r>
              <w:rPr>
                <w:sz w:val="16"/>
              </w:rPr>
              <w:t>excluded from every model matrix</w:t>
            </w:r>
          </w:p>
        </w:tc>
      </w:tr>
      <w:tr>
        <w:tc>
          <w:tcPr>
            <w:tcW w:type="dxa" w:w="1469"/>
            <w:shd w:val="clear" w:color="auto" w:fill="F2F5F9"/>
          </w:tcPr>
          <w:p>
            <w:pPr>
              <w:spacing w:after="20" w:before="20" w:line="254" w:lineRule="auto"/>
              <w:jc w:val="left"/>
            </w:pPr>
            <w:r>
              <w:rPr>
                <w:sz w:val="16"/>
              </w:rPr>
              <w:t>Demographic</w:t>
            </w:r>
          </w:p>
        </w:tc>
        <w:tc>
          <w:tcPr>
            <w:tcW w:type="dxa" w:w="4392"/>
            <w:shd w:val="clear" w:color="auto" w:fill="F2F5F9"/>
          </w:tcPr>
          <w:p>
            <w:pPr>
              <w:spacing w:after="20" w:before="20" w:line="254" w:lineRule="auto"/>
              <w:jc w:val="center"/>
            </w:pPr>
            <w:r>
              <w:rPr>
                <w:rFonts w:ascii="Consolas" w:hAnsi="Consolas" w:eastAsia="Consolas"/>
                <w:color w:val="8A2C1F"/>
                <w:sz w:val="15"/>
              </w:rPr>
              <w:t>gender</w:t>
            </w:r>
            <w:r>
              <w:rPr>
                <w:sz w:val="16"/>
              </w:rPr>
              <w:t xml:space="preserve">, </w:t>
            </w:r>
            <w:r>
              <w:rPr>
                <w:rFonts w:ascii="Consolas" w:hAnsi="Consolas" w:eastAsia="Consolas"/>
                <w:color w:val="8A2C1F"/>
                <w:sz w:val="15"/>
              </w:rPr>
              <w:t>SeniorCitizen</w:t>
            </w:r>
            <w:r>
              <w:rPr>
                <w:sz w:val="16"/>
              </w:rPr>
              <w:t xml:space="preserve">, </w:t>
            </w:r>
            <w:r>
              <w:rPr>
                <w:rFonts w:ascii="Consolas" w:hAnsi="Consolas" w:eastAsia="Consolas"/>
                <w:color w:val="8A2C1F"/>
                <w:sz w:val="15"/>
              </w:rPr>
              <w:t>Partner</w:t>
            </w:r>
            <w:r>
              <w:rPr>
                <w:sz w:val="16"/>
              </w:rPr>
              <w:t xml:space="preserve">, </w:t>
            </w:r>
            <w:r>
              <w:rPr>
                <w:rFonts w:ascii="Consolas" w:hAnsi="Consolas" w:eastAsia="Consolas"/>
                <w:color w:val="8A2C1F"/>
                <w:sz w:val="15"/>
              </w:rPr>
              <w:t>Dependents</w:t>
            </w:r>
          </w:p>
        </w:tc>
        <w:tc>
          <w:tcPr>
            <w:tcW w:type="dxa" w:w="3456"/>
            <w:shd w:val="clear" w:color="auto" w:fill="F2F5F9"/>
          </w:tcPr>
          <w:p>
            <w:pPr>
              <w:spacing w:after="20" w:before="20" w:line="254" w:lineRule="auto"/>
              <w:jc w:val="center"/>
            </w:pPr>
            <w:r>
              <w:rPr>
                <w:sz w:val="16"/>
              </w:rPr>
              <w:t>who the customer is</w:t>
            </w:r>
          </w:p>
        </w:tc>
      </w:tr>
      <w:tr>
        <w:tc>
          <w:tcPr>
            <w:tcW w:type="dxa" w:w="1469"/>
          </w:tcPr>
          <w:p>
            <w:pPr>
              <w:spacing w:after="20" w:before="20" w:line="254" w:lineRule="auto"/>
              <w:jc w:val="left"/>
            </w:pPr>
            <w:r>
              <w:rPr>
                <w:sz w:val="16"/>
              </w:rPr>
              <w:t>Account</w:t>
            </w:r>
          </w:p>
        </w:tc>
        <w:tc>
          <w:tcPr>
            <w:tcW w:type="dxa" w:w="4392"/>
          </w:tcPr>
          <w:p>
            <w:pPr>
              <w:spacing w:after="20" w:before="20" w:line="254" w:lineRule="auto"/>
              <w:jc w:val="center"/>
            </w:pPr>
            <w:r>
              <w:rPr>
                <w:rFonts w:ascii="Consolas" w:hAnsi="Consolas" w:eastAsia="Consolas"/>
                <w:color w:val="8A2C1F"/>
                <w:sz w:val="15"/>
              </w:rPr>
              <w:t>tenure</w:t>
            </w:r>
            <w:r>
              <w:rPr>
                <w:sz w:val="16"/>
              </w:rPr>
              <w:t xml:space="preserve">, </w:t>
            </w:r>
            <w:r>
              <w:rPr>
                <w:rFonts w:ascii="Consolas" w:hAnsi="Consolas" w:eastAsia="Consolas"/>
                <w:color w:val="8A2C1F"/>
                <w:sz w:val="15"/>
              </w:rPr>
              <w:t>Contract</w:t>
            </w:r>
            <w:r>
              <w:rPr>
                <w:sz w:val="16"/>
              </w:rPr>
              <w:t xml:space="preserve">, </w:t>
            </w:r>
            <w:r>
              <w:rPr>
                <w:rFonts w:ascii="Consolas" w:hAnsi="Consolas" w:eastAsia="Consolas"/>
                <w:color w:val="8A2C1F"/>
                <w:sz w:val="15"/>
              </w:rPr>
              <w:t>PaperlessBilling</w:t>
            </w:r>
            <w:r>
              <w:rPr>
                <w:sz w:val="16"/>
              </w:rPr>
              <w:t xml:space="preserve">, </w:t>
            </w:r>
            <w:r>
              <w:rPr>
                <w:rFonts w:ascii="Consolas" w:hAnsi="Consolas" w:eastAsia="Consolas"/>
                <w:color w:val="8A2C1F"/>
                <w:sz w:val="15"/>
              </w:rPr>
              <w:t>PaymentMethod</w:t>
            </w:r>
          </w:p>
        </w:tc>
        <w:tc>
          <w:tcPr>
            <w:tcW w:type="dxa" w:w="3456"/>
          </w:tcPr>
          <w:p>
            <w:pPr>
              <w:spacing w:after="20" w:before="20" w:line="254" w:lineRule="auto"/>
              <w:jc w:val="left"/>
            </w:pPr>
            <w:r>
              <w:rPr>
                <w:sz w:val="16"/>
              </w:rPr>
              <w:t>commercial relationship and billing behaviour</w:t>
            </w:r>
          </w:p>
        </w:tc>
      </w:tr>
      <w:tr>
        <w:tc>
          <w:tcPr>
            <w:tcW w:type="dxa" w:w="1469"/>
            <w:shd w:val="clear" w:color="auto" w:fill="F2F5F9"/>
          </w:tcPr>
          <w:p>
            <w:pPr>
              <w:spacing w:after="20" w:before="20" w:line="254" w:lineRule="auto"/>
              <w:jc w:val="left"/>
            </w:pPr>
            <w:r>
              <w:rPr>
                <w:sz w:val="16"/>
              </w:rPr>
              <w:t>Core service</w:t>
            </w:r>
          </w:p>
        </w:tc>
        <w:tc>
          <w:tcPr>
            <w:tcW w:type="dxa" w:w="4392"/>
            <w:shd w:val="clear" w:color="auto" w:fill="F2F5F9"/>
          </w:tcPr>
          <w:p>
            <w:pPr>
              <w:spacing w:after="20" w:before="20" w:line="254" w:lineRule="auto"/>
              <w:jc w:val="center"/>
            </w:pPr>
            <w:r>
              <w:rPr>
                <w:rFonts w:ascii="Consolas" w:hAnsi="Consolas" w:eastAsia="Consolas"/>
                <w:color w:val="8A2C1F"/>
                <w:sz w:val="15"/>
              </w:rPr>
              <w:t>PhoneService</w:t>
            </w:r>
            <w:r>
              <w:rPr>
                <w:sz w:val="16"/>
              </w:rPr>
              <w:t xml:space="preserve">, </w:t>
            </w:r>
            <w:r>
              <w:rPr>
                <w:rFonts w:ascii="Consolas" w:hAnsi="Consolas" w:eastAsia="Consolas"/>
                <w:color w:val="8A2C1F"/>
                <w:sz w:val="15"/>
              </w:rPr>
              <w:t>MultipleLines</w:t>
            </w:r>
            <w:r>
              <w:rPr>
                <w:sz w:val="16"/>
              </w:rPr>
              <w:t xml:space="preserve">, </w:t>
            </w:r>
            <w:r>
              <w:rPr>
                <w:rFonts w:ascii="Consolas" w:hAnsi="Consolas" w:eastAsia="Consolas"/>
                <w:color w:val="8A2C1F"/>
                <w:sz w:val="15"/>
              </w:rPr>
              <w:t>InternetService</w:t>
            </w:r>
          </w:p>
        </w:tc>
        <w:tc>
          <w:tcPr>
            <w:tcW w:type="dxa" w:w="3456"/>
            <w:shd w:val="clear" w:color="auto" w:fill="F2F5F9"/>
          </w:tcPr>
          <w:p>
            <w:pPr>
              <w:spacing w:after="20" w:before="20" w:line="254" w:lineRule="auto"/>
              <w:jc w:val="left"/>
            </w:pPr>
            <w:r>
              <w:rPr>
                <w:sz w:val="16"/>
              </w:rPr>
              <w:t>primary products subscribed</w:t>
            </w:r>
          </w:p>
        </w:tc>
      </w:tr>
      <w:tr>
        <w:tc>
          <w:tcPr>
            <w:tcW w:type="dxa" w:w="1469"/>
          </w:tcPr>
          <w:p>
            <w:pPr>
              <w:spacing w:after="20" w:before="20" w:line="254" w:lineRule="auto"/>
              <w:jc w:val="left"/>
            </w:pPr>
            <w:r>
              <w:rPr>
                <w:sz w:val="16"/>
              </w:rPr>
              <w:t>Add-on service</w:t>
            </w:r>
          </w:p>
        </w:tc>
        <w:tc>
          <w:tcPr>
            <w:tcW w:type="dxa" w:w="4392"/>
          </w:tcPr>
          <w:p>
            <w:pPr>
              <w:spacing w:after="20" w:before="20" w:line="254" w:lineRule="auto"/>
              <w:jc w:val="center"/>
            </w:pPr>
            <w:r>
              <w:rPr>
                <w:rFonts w:ascii="Consolas" w:hAnsi="Consolas" w:eastAsia="Consolas"/>
                <w:color w:val="8A2C1F"/>
                <w:sz w:val="15"/>
              </w:rPr>
              <w:t>OnlineSecurity</w:t>
            </w:r>
            <w:r>
              <w:rPr>
                <w:sz w:val="16"/>
              </w:rPr>
              <w:t xml:space="preserve">, </w:t>
            </w:r>
            <w:r>
              <w:rPr>
                <w:rFonts w:ascii="Consolas" w:hAnsi="Consolas" w:eastAsia="Consolas"/>
                <w:color w:val="8A2C1F"/>
                <w:sz w:val="15"/>
              </w:rPr>
              <w:t>OnlineBackup</w:t>
            </w:r>
            <w:r>
              <w:rPr>
                <w:sz w:val="16"/>
              </w:rPr>
              <w:t xml:space="preserve">, </w:t>
            </w:r>
            <w:r>
              <w:rPr>
                <w:rFonts w:ascii="Consolas" w:hAnsi="Consolas" w:eastAsia="Consolas"/>
                <w:color w:val="8A2C1F"/>
                <w:sz w:val="15"/>
              </w:rPr>
              <w:t>DeviceProtection</w:t>
            </w:r>
            <w:r>
              <w:rPr>
                <w:sz w:val="16"/>
              </w:rPr>
              <w:t xml:space="preserve">, </w:t>
            </w:r>
            <w:r>
              <w:rPr>
                <w:rFonts w:ascii="Consolas" w:hAnsi="Consolas" w:eastAsia="Consolas"/>
                <w:color w:val="8A2C1F"/>
                <w:sz w:val="15"/>
              </w:rPr>
              <w:t>TechSupport</w:t>
            </w:r>
            <w:r>
              <w:rPr>
                <w:sz w:val="16"/>
              </w:rPr>
              <w:t xml:space="preserve">, </w:t>
            </w:r>
            <w:r>
              <w:rPr>
                <w:rFonts w:ascii="Consolas" w:hAnsi="Consolas" w:eastAsia="Consolas"/>
                <w:color w:val="8A2C1F"/>
                <w:sz w:val="15"/>
              </w:rPr>
              <w:t>StreamingTV</w:t>
            </w:r>
            <w:r>
              <w:rPr>
                <w:sz w:val="16"/>
              </w:rPr>
              <w:t xml:space="preserve">, </w:t>
            </w:r>
            <w:r>
              <w:rPr>
                <w:rFonts w:ascii="Consolas" w:hAnsi="Consolas" w:eastAsia="Consolas"/>
                <w:color w:val="8A2C1F"/>
                <w:sz w:val="15"/>
              </w:rPr>
              <w:t>StreamingMovies</w:t>
            </w:r>
          </w:p>
        </w:tc>
        <w:tc>
          <w:tcPr>
            <w:tcW w:type="dxa" w:w="3456"/>
          </w:tcPr>
          <w:p>
            <w:pPr>
              <w:spacing w:after="20" w:before="20" w:line="254" w:lineRule="auto"/>
              <w:jc w:val="left"/>
            </w:pPr>
            <w:r>
              <w:rPr>
                <w:sz w:val="16"/>
              </w:rPr>
              <w:t>value-added product adoption</w:t>
            </w:r>
          </w:p>
        </w:tc>
      </w:tr>
      <w:tr>
        <w:tc>
          <w:tcPr>
            <w:tcW w:type="dxa" w:w="1469"/>
            <w:shd w:val="clear" w:color="auto" w:fill="F2F5F9"/>
          </w:tcPr>
          <w:p>
            <w:pPr>
              <w:spacing w:after="20" w:before="20" w:line="254" w:lineRule="auto"/>
              <w:jc w:val="left"/>
            </w:pPr>
            <w:r>
              <w:rPr>
                <w:sz w:val="16"/>
              </w:rPr>
              <w:t>Financial</w:t>
            </w:r>
          </w:p>
        </w:tc>
        <w:tc>
          <w:tcPr>
            <w:tcW w:type="dxa" w:w="4392"/>
            <w:shd w:val="clear" w:color="auto" w:fill="F2F5F9"/>
          </w:tcPr>
          <w:p>
            <w:pPr>
              <w:spacing w:after="20" w:before="20" w:line="254" w:lineRule="auto"/>
              <w:jc w:val="center"/>
            </w:pPr>
            <w:r>
              <w:rPr>
                <w:rFonts w:ascii="Consolas" w:hAnsi="Consolas" w:eastAsia="Consolas"/>
                <w:color w:val="8A2C1F"/>
                <w:sz w:val="15"/>
              </w:rPr>
              <w:t>MonthlyCharges</w:t>
            </w:r>
            <w:r>
              <w:rPr>
                <w:sz w:val="16"/>
              </w:rPr>
              <w:t xml:space="preserve">, </w:t>
            </w:r>
            <w:r>
              <w:rPr>
                <w:rFonts w:ascii="Consolas" w:hAnsi="Consolas" w:eastAsia="Consolas"/>
                <w:color w:val="8A2C1F"/>
                <w:sz w:val="15"/>
              </w:rPr>
              <w:t>TotalCharges</w:t>
            </w:r>
          </w:p>
        </w:tc>
        <w:tc>
          <w:tcPr>
            <w:tcW w:type="dxa" w:w="3456"/>
            <w:shd w:val="clear" w:color="auto" w:fill="F2F5F9"/>
          </w:tcPr>
          <w:p>
            <w:pPr>
              <w:spacing w:after="20" w:before="20" w:line="254" w:lineRule="auto"/>
              <w:jc w:val="left"/>
            </w:pPr>
            <w:r>
              <w:rPr>
                <w:sz w:val="16"/>
              </w:rPr>
              <w:t>recurring and lifetime revenue</w:t>
            </w:r>
          </w:p>
        </w:tc>
      </w:tr>
      <w:tr>
        <w:tc>
          <w:tcPr>
            <w:tcW w:type="dxa" w:w="1469"/>
          </w:tcPr>
          <w:p>
            <w:pPr>
              <w:spacing w:after="20" w:before="20" w:line="254" w:lineRule="auto"/>
              <w:jc w:val="left"/>
            </w:pPr>
            <w:r>
              <w:rPr>
                <w:sz w:val="16"/>
              </w:rPr>
              <w:t>Target</w:t>
            </w:r>
          </w:p>
        </w:tc>
        <w:tc>
          <w:tcPr>
            <w:tcW w:type="dxa" w:w="4392"/>
          </w:tcPr>
          <w:p>
            <w:pPr>
              <w:spacing w:after="20" w:before="20" w:line="254" w:lineRule="auto"/>
              <w:jc w:val="center"/>
            </w:pPr>
            <w:r>
              <w:rPr>
                <w:rFonts w:ascii="Consolas" w:hAnsi="Consolas" w:eastAsia="Consolas"/>
                <w:color w:val="8A2C1F"/>
                <w:sz w:val="15"/>
              </w:rPr>
              <w:t>Churn</w:t>
            </w:r>
          </w:p>
        </w:tc>
        <w:tc>
          <w:tcPr>
            <w:tcW w:type="dxa" w:w="3456"/>
          </w:tcPr>
          <w:p>
            <w:pPr>
              <w:spacing w:after="20" w:before="20" w:line="254" w:lineRule="auto"/>
              <w:jc w:val="left"/>
            </w:pPr>
            <w:r>
              <w:rPr>
                <w:sz w:val="16"/>
              </w:rPr>
              <w:t>Yes = customer left, No = customer retained</w:t>
            </w:r>
          </w:p>
        </w:tc>
      </w:tr>
    </w:tbl>
    <w:p>
      <w:pPr>
        <w:spacing w:before="60" w:after="200"/>
        <w:jc w:val="center"/>
      </w:pPr>
      <w:r>
        <w:rPr>
          <w:i/>
          <w:color w:val="555F6B"/>
          <w:sz w:val="17"/>
        </w:rPr>
        <w:t>Table 8: Attribute schema of the source dataset, grouped by analytical role.</w:t>
      </w:r>
    </w:p>
    <w:p>
      <w:pPr>
        <w:keepNext/>
        <w:spacing w:before="240" w:after="80"/>
      </w:pPr>
      <w:r>
        <w:rPr>
          <w:b/>
          <w:color w:val="1B355E"/>
          <w:sz w:val="25"/>
        </w:rPr>
        <w:t>5.2  Target distribution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1655"/>
        <w:gridCol w:w="1512"/>
        <w:gridCol w:w="3916"/>
      </w:tblGrid>
      <w:tr>
        <w:tc>
          <w:tcPr>
            <w:tcW w:type="dxa" w:w="2232"/>
            <w:shd w:val="clear" w:color="auto" w:fill="1B355E"/>
          </w:tcPr>
          <w:p>
            <w:pPr>
              <w:spacing w:after="20" w:before="20"/>
              <w:jc w:val="center"/>
            </w:pPr>
            <w:r>
              <w:rPr>
                <w:b/>
                <w:color w:val="FFFFFF"/>
                <w:sz w:val="18"/>
              </w:rPr>
              <w:t>Class</w:t>
            </w:r>
          </w:p>
        </w:tc>
        <w:tc>
          <w:tcPr>
            <w:tcW w:type="dxa" w:w="1656"/>
            <w:shd w:val="clear" w:color="auto" w:fill="1B355E"/>
          </w:tcPr>
          <w:p>
            <w:pPr>
              <w:spacing w:after="20" w:before="20"/>
              <w:jc w:val="center"/>
            </w:pPr>
            <w:r>
              <w:rPr>
                <w:b/>
                <w:color w:val="FFFFFF"/>
                <w:sz w:val="18"/>
              </w:rPr>
              <w:t>Records</w:t>
            </w:r>
          </w:p>
        </w:tc>
        <w:tc>
          <w:tcPr>
            <w:tcW w:type="dxa" w:w="1512"/>
            <w:shd w:val="clear" w:color="auto" w:fill="1B355E"/>
          </w:tcPr>
          <w:p>
            <w:pPr>
              <w:spacing w:after="20" w:before="20"/>
              <w:jc w:val="center"/>
            </w:pPr>
            <w:r>
              <w:rPr>
                <w:b/>
                <w:color w:val="FFFFFF"/>
                <w:sz w:val="18"/>
              </w:rPr>
              <w:t>Share</w:t>
            </w:r>
          </w:p>
        </w:tc>
        <w:tc>
          <w:tcPr>
            <w:tcW w:type="dxa" w:w="3917"/>
            <w:shd w:val="clear" w:color="auto" w:fill="1B355E"/>
          </w:tcPr>
          <w:p>
            <w:pPr>
              <w:spacing w:after="20" w:before="20"/>
              <w:jc w:val="center"/>
            </w:pPr>
            <w:r>
              <w:rPr>
                <w:b/>
                <w:color w:val="FFFFFF"/>
                <w:sz w:val="18"/>
              </w:rPr>
              <w:t>Meaning</w:t>
            </w:r>
          </w:p>
        </w:tc>
      </w:tr>
      <w:tr>
        <w:tc>
          <w:tcPr>
            <w:tcW w:type="dxa" w:w="2232"/>
          </w:tcPr>
          <w:p>
            <w:pPr>
              <w:spacing w:after="20" w:before="20" w:line="254" w:lineRule="auto"/>
              <w:jc w:val="left"/>
            </w:pPr>
            <w:r>
              <w:rPr>
                <w:sz w:val="18"/>
              </w:rPr>
              <w:t>No (retained)</w:t>
            </w:r>
          </w:p>
        </w:tc>
        <w:tc>
          <w:tcPr>
            <w:tcW w:type="dxa" w:w="1656"/>
          </w:tcPr>
          <w:p>
            <w:pPr>
              <w:spacing w:after="20" w:before="20" w:line="254" w:lineRule="auto"/>
              <w:jc w:val="center"/>
            </w:pPr>
            <w:r>
              <w:rPr>
                <w:sz w:val="18"/>
              </w:rPr>
              <w:t>5 174</w:t>
            </w:r>
          </w:p>
        </w:tc>
        <w:tc>
          <w:tcPr>
            <w:tcW w:type="dxa" w:w="1512"/>
          </w:tcPr>
          <w:p>
            <w:pPr>
              <w:spacing w:after="20" w:before="20" w:line="254" w:lineRule="auto"/>
              <w:jc w:val="center"/>
            </w:pPr>
            <w:r>
              <w:rPr>
                <w:sz w:val="18"/>
              </w:rPr>
              <w:t>73.46 %</w:t>
            </w:r>
          </w:p>
        </w:tc>
        <w:tc>
          <w:tcPr>
            <w:tcW w:type="dxa" w:w="3917"/>
          </w:tcPr>
          <w:p>
            <w:pPr>
              <w:spacing w:after="20" w:before="20" w:line="254" w:lineRule="auto"/>
              <w:jc w:val="center"/>
            </w:pPr>
            <w:r>
              <w:rPr>
                <w:sz w:val="18"/>
              </w:rPr>
              <w:t>customer still active</w:t>
            </w:r>
          </w:p>
        </w:tc>
      </w:tr>
      <w:tr>
        <w:tc>
          <w:tcPr>
            <w:tcW w:type="dxa" w:w="2232"/>
            <w:shd w:val="clear" w:color="auto" w:fill="F2F5F9"/>
          </w:tcPr>
          <w:p>
            <w:pPr>
              <w:spacing w:after="20" w:before="20" w:line="254" w:lineRule="auto"/>
              <w:jc w:val="left"/>
            </w:pPr>
            <w:r>
              <w:rPr>
                <w:b/>
                <w:sz w:val="18"/>
              </w:rPr>
              <w:t>Yes (churned)</w:t>
            </w:r>
          </w:p>
        </w:tc>
        <w:tc>
          <w:tcPr>
            <w:tcW w:type="dxa" w:w="1656"/>
            <w:shd w:val="clear" w:color="auto" w:fill="F2F5F9"/>
          </w:tcPr>
          <w:p>
            <w:pPr>
              <w:spacing w:after="20" w:before="20" w:line="254" w:lineRule="auto"/>
              <w:jc w:val="center"/>
            </w:pPr>
            <w:r>
              <w:rPr>
                <w:b/>
                <w:sz w:val="18"/>
              </w:rPr>
              <w:t>1 869</w:t>
            </w:r>
          </w:p>
        </w:tc>
        <w:tc>
          <w:tcPr>
            <w:tcW w:type="dxa" w:w="1512"/>
            <w:shd w:val="clear" w:color="auto" w:fill="F2F5F9"/>
          </w:tcPr>
          <w:p>
            <w:pPr>
              <w:spacing w:after="20" w:before="20" w:line="254" w:lineRule="auto"/>
              <w:jc w:val="center"/>
            </w:pPr>
            <w:r>
              <w:rPr>
                <w:b/>
                <w:sz w:val="18"/>
              </w:rPr>
              <w:t>26.54 %</w:t>
            </w:r>
          </w:p>
        </w:tc>
        <w:tc>
          <w:tcPr>
            <w:tcW w:type="dxa" w:w="3917"/>
            <w:shd w:val="clear" w:color="auto" w:fill="F2F5F9"/>
          </w:tcPr>
          <w:p>
            <w:pPr>
              <w:spacing w:after="20" w:before="20" w:line="254" w:lineRule="auto"/>
              <w:jc w:val="center"/>
            </w:pPr>
            <w:r>
              <w:rPr>
                <w:b/>
                <w:sz w:val="18"/>
              </w:rPr>
              <w:t>customer terminated the service</w:t>
            </w:r>
          </w:p>
        </w:tc>
      </w:tr>
      <w:tr>
        <w:tc>
          <w:tcPr>
            <w:tcW w:type="dxa" w:w="2232"/>
          </w:tcPr>
          <w:p>
            <w:pPr>
              <w:spacing w:after="20" w:before="20" w:line="254" w:lineRule="auto"/>
              <w:jc w:val="left"/>
            </w:pPr>
            <w:r>
              <w:rPr>
                <w:sz w:val="18"/>
              </w:rPr>
              <w:t>Total</w:t>
            </w:r>
          </w:p>
        </w:tc>
        <w:tc>
          <w:tcPr>
            <w:tcW w:type="dxa" w:w="1656"/>
          </w:tcPr>
          <w:p>
            <w:pPr>
              <w:spacing w:after="20" w:before="20" w:line="254" w:lineRule="auto"/>
              <w:jc w:val="center"/>
            </w:pPr>
            <w:r>
              <w:rPr>
                <w:sz w:val="18"/>
              </w:rPr>
              <w:t>7 043</w:t>
            </w:r>
          </w:p>
        </w:tc>
        <w:tc>
          <w:tcPr>
            <w:tcW w:type="dxa" w:w="1512"/>
          </w:tcPr>
          <w:p>
            <w:pPr>
              <w:spacing w:after="20" w:before="20" w:line="254" w:lineRule="auto"/>
              <w:jc w:val="center"/>
            </w:pPr>
            <w:r>
              <w:rPr>
                <w:sz w:val="18"/>
              </w:rPr>
              <w:t>100.00 %</w:t>
            </w:r>
          </w:p>
        </w:tc>
        <w:tc>
          <w:tcPr>
            <w:tcW w:type="dxa" w:w="3917"/>
          </w:tcPr>
          <w:p>
            <w:pPr>
              <w:spacing w:after="20" w:before="20" w:line="254" w:lineRule="auto"/>
              <w:jc w:val="center"/>
            </w:pPr>
            <w:r>
              <w:rPr>
                <w:sz w:val="18"/>
              </w:rPr>
              <w:t>complete customer base</w:t>
            </w:r>
          </w:p>
        </w:tc>
      </w:tr>
    </w:tbl>
    <w:p>
      <w:pPr>
        <w:spacing w:before="60" w:after="200"/>
        <w:jc w:val="center"/>
      </w:pPr>
      <w:r>
        <w:rPr>
          <w:i/>
          <w:color w:val="555F6B"/>
          <w:sz w:val="17"/>
        </w:rPr>
        <w:t>Table 9: Class distribution of the target variable.</w:t>
      </w:r>
    </w:p>
    <w:p>
      <w:pPr>
        <w:spacing w:after="120" w:before="0"/>
        <w:jc w:val="both"/>
      </w:pPr>
      <w:r>
        <w:rPr>
          <w:b w:val="0"/>
          <w:i w:val="0"/>
          <w:sz w:val="21"/>
        </w:rPr>
        <w:t xml:space="preserve">The 26.54 % positive rate is what makes accuracy misleading here. A model predicting "no churn" for everyone scores 73.46 % accuracy while identifying not one leaving customer. Every classifier in the study is therefore instantiated with </w:t>
      </w:r>
      <w:r>
        <w:rPr>
          <w:rFonts w:ascii="Consolas" w:hAnsi="Consolas" w:eastAsia="Consolas"/>
          <w:b w:val="0"/>
          <w:i w:val="0"/>
          <w:color w:val="8A2C1F"/>
          <w:sz w:val="19"/>
        </w:rPr>
        <w:t>class_weight="balanced"</w:t>
      </w:r>
      <w:r>
        <w:rPr>
          <w:b w:val="0"/>
          <w:i w:val="0"/>
          <w:sz w:val="21"/>
        </w:rPr>
        <w:t xml:space="preserve"> or an equivalent </w:t>
      </w:r>
      <w:r>
        <w:rPr>
          <w:rFonts w:ascii="Consolas" w:hAnsi="Consolas" w:eastAsia="Consolas"/>
          <w:b w:val="0"/>
          <w:i w:val="0"/>
          <w:color w:val="8A2C1F"/>
          <w:sz w:val="19"/>
        </w:rPr>
        <w:t>scale_pos_weight</w:t>
      </w:r>
      <w:r>
        <w:rPr>
          <w:b w:val="0"/>
          <w:i w:val="0"/>
          <w:sz w:val="21"/>
        </w:rPr>
        <w:t xml:space="preserve"> correction, and models are selected on ROC-AUC rather than accuracy.</w:t>
      </w:r>
    </w:p>
    <w:p>
      <w:pPr>
        <w:keepNext/>
        <w:spacing w:before="240" w:after="80"/>
      </w:pPr>
      <w:r>
        <w:rPr>
          <w:b/>
          <w:color w:val="1B355E"/>
          <w:sz w:val="25"/>
        </w:rPr>
        <w:t>5.3  Data-quality issues in the raw file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2419"/>
        <w:gridCol w:w="4564"/>
      </w:tblGrid>
      <w:tr>
        <w:tc>
          <w:tcPr>
            <w:tcW w:type="dxa" w:w="2333"/>
            <w:shd w:val="clear" w:color="auto" w:fill="1B355E"/>
          </w:tcPr>
          <w:p>
            <w:pPr>
              <w:spacing w:after="20" w:before="20"/>
              <w:jc w:val="center"/>
            </w:pPr>
            <w:r>
              <w:rPr>
                <w:b/>
                <w:color w:val="FFFFFF"/>
                <w:sz w:val="16"/>
              </w:rPr>
              <w:t>Issue</w:t>
            </w:r>
          </w:p>
        </w:tc>
        <w:tc>
          <w:tcPr>
            <w:tcW w:type="dxa" w:w="2419"/>
            <w:shd w:val="clear" w:color="auto" w:fill="1B355E"/>
          </w:tcPr>
          <w:p>
            <w:pPr>
              <w:spacing w:after="20" w:before="20"/>
              <w:jc w:val="center"/>
            </w:pPr>
            <w:r>
              <w:rPr>
                <w:b/>
                <w:color w:val="FFFFFF"/>
                <w:sz w:val="16"/>
              </w:rPr>
              <w:t>Extent</w:t>
            </w:r>
          </w:p>
        </w:tc>
        <w:tc>
          <w:tcPr>
            <w:tcW w:type="dxa" w:w="4565"/>
            <w:shd w:val="clear" w:color="auto" w:fill="1B355E"/>
          </w:tcPr>
          <w:p>
            <w:pPr>
              <w:spacing w:after="20" w:before="20"/>
              <w:jc w:val="center"/>
            </w:pPr>
            <w:r>
              <w:rPr>
                <w:b/>
                <w:color w:val="FFFFFF"/>
                <w:sz w:val="16"/>
              </w:rPr>
              <w:t>Resolution</w:t>
            </w:r>
          </w:p>
        </w:tc>
      </w:tr>
      <w:tr>
        <w:tc>
          <w:tcPr>
            <w:tcW w:type="dxa" w:w="2333"/>
          </w:tcPr>
          <w:p>
            <w:pPr>
              <w:spacing w:after="20" w:before="20" w:line="254" w:lineRule="auto"/>
              <w:jc w:val="left"/>
            </w:pPr>
            <w:r>
              <w:rPr>
                <w:rFonts w:ascii="Consolas" w:hAnsi="Consolas" w:eastAsia="Consolas"/>
                <w:color w:val="8A2C1F"/>
                <w:sz w:val="15"/>
              </w:rPr>
              <w:t>TotalCharges</w:t>
            </w:r>
            <w:r>
              <w:rPr>
                <w:sz w:val="16"/>
              </w:rPr>
              <w:t xml:space="preserve"> stored as text</w:t>
            </w:r>
          </w:p>
        </w:tc>
        <w:tc>
          <w:tcPr>
            <w:tcW w:type="dxa" w:w="2419"/>
          </w:tcPr>
          <w:p>
            <w:pPr>
              <w:spacing w:after="20" w:before="20" w:line="254" w:lineRule="auto"/>
              <w:jc w:val="center"/>
            </w:pPr>
            <w:r>
              <w:rPr>
                <w:sz w:val="16"/>
              </w:rPr>
              <w:t>all 7 043 rows</w:t>
            </w:r>
          </w:p>
        </w:tc>
        <w:tc>
          <w:tcPr>
            <w:tcW w:type="dxa" w:w="4565"/>
          </w:tcPr>
          <w:p>
            <w:pPr>
              <w:spacing w:after="20" w:before="20" w:line="254" w:lineRule="auto"/>
              <w:jc w:val="center"/>
            </w:pPr>
            <w:r>
              <w:rPr>
                <w:sz w:val="16"/>
              </w:rPr>
              <w:t xml:space="preserve">cast with </w:t>
            </w:r>
            <w:r>
              <w:rPr>
                <w:rFonts w:ascii="Consolas" w:hAnsi="Consolas" w:eastAsia="Consolas"/>
                <w:color w:val="8A2C1F"/>
                <w:sz w:val="15"/>
              </w:rPr>
              <w:t>pd.to_numeric(errors="coerce")</w:t>
            </w:r>
            <w:r>
              <w:rPr>
                <w:sz w:val="16"/>
              </w:rPr>
              <w:t xml:space="preserve"> in phase 2</w:t>
            </w:r>
          </w:p>
        </w:tc>
      </w:tr>
      <w:tr>
        <w:tc>
          <w:tcPr>
            <w:tcW w:type="dxa" w:w="2333"/>
            <w:shd w:val="clear" w:color="auto" w:fill="F2F5F9"/>
          </w:tcPr>
          <w:p>
            <w:pPr>
              <w:spacing w:after="20" w:before="20" w:line="254" w:lineRule="auto"/>
              <w:jc w:val="left"/>
            </w:pPr>
            <w:r>
              <w:rPr>
                <w:sz w:val="16"/>
              </w:rPr>
              <w:t xml:space="preserve">Blank </w:t>
            </w:r>
            <w:r>
              <w:rPr>
                <w:rFonts w:ascii="Consolas" w:hAnsi="Consolas" w:eastAsia="Consolas"/>
                <w:color w:val="8A2C1F"/>
                <w:sz w:val="15"/>
              </w:rPr>
              <w:t>TotalCharges</w:t>
            </w:r>
          </w:p>
        </w:tc>
        <w:tc>
          <w:tcPr>
            <w:tcW w:type="dxa" w:w="2419"/>
            <w:shd w:val="clear" w:color="auto" w:fill="F2F5F9"/>
          </w:tcPr>
          <w:p>
            <w:pPr>
              <w:spacing w:after="20" w:before="20" w:line="254" w:lineRule="auto"/>
              <w:jc w:val="center"/>
            </w:pPr>
            <w:r>
              <w:rPr>
                <w:sz w:val="16"/>
              </w:rPr>
              <w:t xml:space="preserve">11 rows, </w:t>
            </w:r>
            <w:r>
              <w:rPr>
                <w:b/>
                <w:sz w:val="16"/>
              </w:rPr>
              <w:t xml:space="preserve">all with </w:t>
            </w:r>
            <w:r>
              <w:rPr>
                <w:rFonts w:ascii="Consolas" w:hAnsi="Consolas" w:eastAsia="Consolas"/>
                <w:b/>
                <w:color w:val="8A2C1F"/>
                <w:sz w:val="15"/>
              </w:rPr>
              <w:t>tenure = 0</w:t>
            </w:r>
          </w:p>
        </w:tc>
        <w:tc>
          <w:tcPr>
            <w:tcW w:type="dxa" w:w="4565"/>
            <w:shd w:val="clear" w:color="auto" w:fill="F2F5F9"/>
          </w:tcPr>
          <w:p>
            <w:pPr>
              <w:spacing w:after="20" w:before="20" w:line="254" w:lineRule="auto"/>
              <w:jc w:val="left"/>
            </w:pPr>
            <w:r>
              <w:rPr>
                <w:sz w:val="16"/>
              </w:rPr>
              <w:t>set to 0.0 — a customer billed nothing has accumulated nothing</w:t>
            </w:r>
          </w:p>
        </w:tc>
      </w:tr>
      <w:tr>
        <w:tc>
          <w:tcPr>
            <w:tcW w:type="dxa" w:w="2333"/>
          </w:tcPr>
          <w:p>
            <w:pPr>
              <w:spacing w:after="20" w:before="20" w:line="254" w:lineRule="auto"/>
              <w:jc w:val="left"/>
            </w:pPr>
            <w:r>
              <w:rPr>
                <w:sz w:val="16"/>
              </w:rPr>
              <w:t>Redundant service labels</w:t>
            </w:r>
          </w:p>
        </w:tc>
        <w:tc>
          <w:tcPr>
            <w:tcW w:type="dxa" w:w="2419"/>
          </w:tcPr>
          <w:p>
            <w:pPr>
              <w:spacing w:after="20" w:before="20" w:line="254" w:lineRule="auto"/>
              <w:jc w:val="center"/>
            </w:pPr>
            <w:r>
              <w:rPr>
                <w:sz w:val="16"/>
              </w:rPr>
              <w:t>7 columns</w:t>
            </w:r>
          </w:p>
        </w:tc>
        <w:tc>
          <w:tcPr>
            <w:tcW w:type="dxa" w:w="4565"/>
          </w:tcPr>
          <w:p>
            <w:pPr>
              <w:spacing w:after="20" w:before="20" w:line="254" w:lineRule="auto"/>
              <w:jc w:val="left"/>
            </w:pPr>
            <w:r>
              <w:rPr>
                <w:sz w:val="16"/>
              </w:rPr>
              <w:t>"No internet service" and "No phone service" folded into "No"</w:t>
            </w:r>
          </w:p>
        </w:tc>
      </w:tr>
      <w:tr>
        <w:tc>
          <w:tcPr>
            <w:tcW w:type="dxa" w:w="2333"/>
            <w:shd w:val="clear" w:color="auto" w:fill="F2F5F9"/>
          </w:tcPr>
          <w:p>
            <w:pPr>
              <w:spacing w:after="20" w:before="20" w:line="254" w:lineRule="auto"/>
              <w:jc w:val="left"/>
            </w:pPr>
            <w:r>
              <w:rPr>
                <w:sz w:val="16"/>
              </w:rPr>
              <w:t>Duplicate records</w:t>
            </w:r>
          </w:p>
        </w:tc>
        <w:tc>
          <w:tcPr>
            <w:tcW w:type="dxa" w:w="2419"/>
            <w:shd w:val="clear" w:color="auto" w:fill="F2F5F9"/>
          </w:tcPr>
          <w:p>
            <w:pPr>
              <w:spacing w:after="20" w:before="20" w:line="254" w:lineRule="auto"/>
              <w:jc w:val="center"/>
            </w:pPr>
            <w:r>
              <w:rPr>
                <w:sz w:val="16"/>
              </w:rPr>
              <w:t>0 found</w:t>
            </w:r>
          </w:p>
        </w:tc>
        <w:tc>
          <w:tcPr>
            <w:tcW w:type="dxa" w:w="4565"/>
            <w:shd w:val="clear" w:color="auto" w:fill="F2F5F9"/>
          </w:tcPr>
          <w:p>
            <w:pPr>
              <w:spacing w:after="20" w:before="20" w:line="254" w:lineRule="auto"/>
              <w:jc w:val="center"/>
            </w:pPr>
            <w:r>
              <w:rPr>
                <w:sz w:val="16"/>
              </w:rPr>
              <w:t>no action required</w:t>
            </w:r>
          </w:p>
        </w:tc>
      </w:tr>
      <w:tr>
        <w:tc>
          <w:tcPr>
            <w:tcW w:type="dxa" w:w="2333"/>
          </w:tcPr>
          <w:p>
            <w:pPr>
              <w:spacing w:after="20" w:before="20" w:line="254" w:lineRule="auto"/>
              <w:jc w:val="left"/>
            </w:pPr>
            <w:r>
              <w:rPr>
                <w:sz w:val="16"/>
              </w:rPr>
              <w:t>Explicit nulls</w:t>
            </w:r>
          </w:p>
        </w:tc>
        <w:tc>
          <w:tcPr>
            <w:tcW w:type="dxa" w:w="2419"/>
          </w:tcPr>
          <w:p>
            <w:pPr>
              <w:spacing w:after="20" w:before="20" w:line="254" w:lineRule="auto"/>
              <w:jc w:val="center"/>
            </w:pPr>
            <w:r>
              <w:rPr>
                <w:sz w:val="16"/>
              </w:rPr>
              <w:t>0 found</w:t>
            </w:r>
          </w:p>
        </w:tc>
        <w:tc>
          <w:tcPr>
            <w:tcW w:type="dxa" w:w="4565"/>
          </w:tcPr>
          <w:p>
            <w:pPr>
              <w:spacing w:after="20" w:before="20" w:line="254" w:lineRule="auto"/>
              <w:jc w:val="left"/>
            </w:pPr>
            <w:r>
              <w:rPr>
                <w:sz w:val="16"/>
              </w:rPr>
              <w:t>no general imputation required</w:t>
            </w:r>
          </w:p>
        </w:tc>
      </w:tr>
    </w:tbl>
    <w:p>
      <w:pPr>
        <w:spacing w:before="60" w:after="200"/>
        <w:jc w:val="center"/>
      </w:pPr>
      <w:r>
        <w:rPr>
          <w:i/>
          <w:color w:val="555F6B"/>
          <w:sz w:val="17"/>
        </w:rPr>
        <w:t>Table 10: Data-quality issues and how the pipeline resolves them.</w:t>
      </w:r>
    </w:p>
    <w:p>
      <w:r>
        <w:br w:type="page"/>
      </w:r>
    </w:p>
    <w:p>
      <w:pPr>
        <w:spacing w:after="0"/>
      </w:pPr>
    </w:p>
    <w:p>
      <w:pPr>
        <w:keepNext/>
        <w:spacing w:before="80" w:after="40"/>
        <w:pBdr>
          <w:bottom w:val="single" w:sz="10" w:space="3" w:color="1B355E"/>
        </w:pBdr>
      </w:pPr>
      <w:r>
        <w:rPr>
          <w:b/>
          <w:color w:val="1B355E"/>
          <w:sz w:val="30"/>
        </w:rPr>
        <w:t>6.  Architecture and Data Lineage</w:t>
      </w:r>
    </w:p>
    <w:p>
      <w:pPr>
        <w:spacing w:after="40"/>
      </w:pPr>
    </w:p>
    <w:p>
      <w:pPr>
        <w:spacing w:after="120" w:before="0"/>
        <w:jc w:val="both"/>
      </w:pPr>
      <w:r>
        <w:rPr>
          <w:b w:val="0"/>
          <w:i w:val="0"/>
          <w:sz w:val="21"/>
        </w:rPr>
        <w:t>The implementation is a linear nine-stage pipeline. Each stage is a standalone script that reads a file, performs one class of work and writes its output back to disk before terminating. There is no orchestration layer and no in-memory hand-off between stages.</w:t>
      </w:r>
    </w:p>
    <w:p>
      <w:pPr>
        <w:spacing w:after="120" w:before="0"/>
        <w:jc w:val="both"/>
      </w:pPr>
      <w:r>
        <w:rPr>
          <w:b w:val="0"/>
          <w:i w:val="0"/>
          <w:sz w:val="21"/>
        </w:rPr>
        <w:t>Because every intermediate result is materialised, any stage can be re-executed without re-running those before it, and every intermediate state is inspectable on disk. That is convenient — but it is also how defect 3 survived: a file can be written by one phase and quietly ignored by the next, and nothing in a file-based pipeline signals that.</w:t>
      </w:r>
    </w:p>
    <w:p>
      <w:pPr>
        <w:keepNext/>
        <w:spacing w:before="120" w:after="60"/>
        <w:jc w:val="center"/>
      </w:pPr>
      <w:r>
        <w:drawing>
          <wp:inline xmlns:a="http://schemas.openxmlformats.org/drawingml/2006/main" xmlns:pic="http://schemas.openxmlformats.org/drawingml/2006/picture">
            <wp:extent cx="5532120" cy="4847665"/>
            <wp:docPr id="1" name="Picture 1"/>
            <wp:cNvGraphicFramePr>
              <a:graphicFrameLocks noChangeAspect="1"/>
            </wp:cNvGraphicFramePr>
            <a:graphic>
              <a:graphicData uri="http://schemas.openxmlformats.org/drawingml/2006/picture">
                <pic:pic>
                  <pic:nvPicPr>
                    <pic:cNvPr id="0" name="v2_fig1_pipeline.png"/>
                    <pic:cNvPicPr/>
                  </pic:nvPicPr>
                  <pic:blipFill>
                    <a:blip r:embed="rId9"/>
                    <a:stretch>
                      <a:fillRect/>
                    </a:stretch>
                  </pic:blipFill>
                  <pic:spPr>
                    <a:xfrm>
                      <a:off x="0" y="0"/>
                      <a:ext cx="5532120" cy="4847665"/>
                    </a:xfrm>
                    <a:prstGeom prst="rect"/>
                  </pic:spPr>
                </pic:pic>
              </a:graphicData>
            </a:graphic>
          </wp:inline>
        </w:drawing>
      </w:r>
    </w:p>
    <w:p>
      <w:pPr>
        <w:spacing w:before="60" w:after="220"/>
        <w:jc w:val="center"/>
      </w:pPr>
      <w:r>
        <w:rPr>
          <w:i/>
          <w:color w:val="555F6B"/>
          <w:sz w:val="17"/>
        </w:rPr>
        <w:t>Figure 1: The nine-phase pipeline. Each row shows the script, the processing it performs and the artefacts it writes. The dashboard reads every artefact and scores new customers through the same shared feature module.</w:t>
      </w:r>
    </w:p>
    <w:p>
      <w:r>
        <w:br w:type="page"/>
      </w:r>
    </w:p>
    <w:p>
      <w:pPr>
        <w:keepNext/>
        <w:spacing w:before="240" w:after="80"/>
      </w:pPr>
      <w:r>
        <w:rPr>
          <w:b/>
          <w:color w:val="1B355E"/>
          <w:sz w:val="25"/>
        </w:rPr>
        <w:t>6.1  Corrected data lineage</w:t>
      </w:r>
    </w:p>
    <w:p>
      <w:pPr>
        <w:spacing w:after="120" w:before="0"/>
        <w:jc w:val="both"/>
      </w:pPr>
      <w:r>
        <w:rPr>
          <w:b w:val="0"/>
          <w:i w:val="0"/>
          <w:sz w:val="21"/>
        </w:rPr>
        <w:t>The diagram below traces each dataset from the raw file to the model layer after remediation. The two structural changes are the merge arrow from phase 4 into the segmented dataset, and the model matrix now being built by a single shared helper that both the training phases and the dashboard call.</w:t>
      </w:r>
    </w:p>
    <w:p>
      <w:pPr>
        <w:keepNext/>
        <w:spacing w:before="120" w:after="60"/>
        <w:jc w:val="center"/>
      </w:pPr>
      <w:r>
        <w:drawing>
          <wp:inline xmlns:a="http://schemas.openxmlformats.org/drawingml/2006/main" xmlns:pic="http://schemas.openxmlformats.org/drawingml/2006/picture">
            <wp:extent cx="5870448" cy="2783585"/>
            <wp:docPr id="2" name="Picture 2"/>
            <wp:cNvGraphicFramePr>
              <a:graphicFrameLocks noChangeAspect="1"/>
            </wp:cNvGraphicFramePr>
            <a:graphic>
              <a:graphicData uri="http://schemas.openxmlformats.org/drawingml/2006/picture">
                <pic:pic>
                  <pic:nvPicPr>
                    <pic:cNvPr id="0" name="v2_fig3_lineage.png"/>
                    <pic:cNvPicPr/>
                  </pic:nvPicPr>
                  <pic:blipFill>
                    <a:blip r:embed="rId10"/>
                    <a:stretch>
                      <a:fillRect/>
                    </a:stretch>
                  </pic:blipFill>
                  <pic:spPr>
                    <a:xfrm>
                      <a:off x="0" y="0"/>
                      <a:ext cx="5870448" cy="2783585"/>
                    </a:xfrm>
                    <a:prstGeom prst="rect"/>
                  </pic:spPr>
                </pic:pic>
              </a:graphicData>
            </a:graphic>
          </wp:inline>
        </w:drawing>
      </w:r>
    </w:p>
    <w:p>
      <w:pPr>
        <w:spacing w:before="60" w:after="220"/>
        <w:jc w:val="center"/>
      </w:pPr>
      <w:r>
        <w:rPr>
          <w:i/>
          <w:color w:val="555F6B"/>
          <w:sz w:val="17"/>
        </w:rPr>
        <w:t>Figure 2: Data lineage after remediation. The phase 4 output is now merged into the segmented dataset rather than being written and ignored.</w:t>
      </w:r>
    </w:p>
    <w:p>
      <w:pPr>
        <w:keepNext/>
        <w:spacing w:before="240" w:after="80"/>
      </w:pPr>
      <w:r>
        <w:rPr>
          <w:b/>
          <w:color w:val="1B355E"/>
          <w:sz w:val="25"/>
        </w:rPr>
        <w:t>6.2  Stage responsibilities and runtime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152"/>
        <w:gridCol w:w="6048"/>
        <w:gridCol w:w="2116"/>
      </w:tblGrid>
      <w:tr>
        <w:tc>
          <w:tcPr>
            <w:tcW w:type="dxa" w:w="1152"/>
            <w:shd w:val="clear" w:color="auto" w:fill="1B355E"/>
          </w:tcPr>
          <w:p>
            <w:pPr>
              <w:spacing w:after="20" w:before="20"/>
              <w:jc w:val="center"/>
            </w:pPr>
            <w:r>
              <w:rPr>
                <w:b/>
                <w:color w:val="FFFFFF"/>
                <w:sz w:val="16"/>
              </w:rPr>
              <w:t>Stage</w:t>
            </w:r>
          </w:p>
        </w:tc>
        <w:tc>
          <w:tcPr>
            <w:tcW w:type="dxa" w:w="6048"/>
            <w:shd w:val="clear" w:color="auto" w:fill="1B355E"/>
          </w:tcPr>
          <w:p>
            <w:pPr>
              <w:spacing w:after="20" w:before="20"/>
              <w:jc w:val="center"/>
            </w:pPr>
            <w:r>
              <w:rPr>
                <w:b/>
                <w:color w:val="FFFFFF"/>
                <w:sz w:val="16"/>
              </w:rPr>
              <w:t>Responsibility</w:t>
            </w:r>
          </w:p>
        </w:tc>
        <w:tc>
          <w:tcPr>
            <w:tcW w:type="dxa" w:w="2117"/>
            <w:shd w:val="clear" w:color="auto" w:fill="1B355E"/>
          </w:tcPr>
          <w:p>
            <w:pPr>
              <w:spacing w:after="20" w:before="20"/>
              <w:jc w:val="center"/>
            </w:pPr>
            <w:r>
              <w:rPr>
                <w:b/>
                <w:color w:val="FFFFFF"/>
                <w:sz w:val="16"/>
              </w:rPr>
              <w:t>Measured runtime</w:t>
            </w:r>
          </w:p>
        </w:tc>
      </w:tr>
      <w:tr>
        <w:tc>
          <w:tcPr>
            <w:tcW w:type="dxa" w:w="1152"/>
          </w:tcPr>
          <w:p>
            <w:pPr>
              <w:spacing w:after="20" w:before="20" w:line="254" w:lineRule="auto"/>
              <w:jc w:val="left"/>
            </w:pPr>
            <w:r>
              <w:rPr>
                <w:sz w:val="16"/>
              </w:rPr>
              <w:t>Phase 1</w:t>
            </w:r>
          </w:p>
        </w:tc>
        <w:tc>
          <w:tcPr>
            <w:tcW w:type="dxa" w:w="6048"/>
          </w:tcPr>
          <w:p>
            <w:pPr>
              <w:spacing w:after="20" w:before="20" w:line="254" w:lineRule="auto"/>
              <w:jc w:val="left"/>
            </w:pPr>
            <w:r>
              <w:rPr>
                <w:sz w:val="16"/>
              </w:rPr>
              <w:t>Profile the raw file and quantify data-quality defects</w:t>
            </w:r>
          </w:p>
        </w:tc>
        <w:tc>
          <w:tcPr>
            <w:tcW w:type="dxa" w:w="2117"/>
          </w:tcPr>
          <w:p>
            <w:pPr>
              <w:spacing w:after="20" w:before="20" w:line="254" w:lineRule="auto"/>
              <w:jc w:val="center"/>
            </w:pPr>
            <w:r>
              <w:rPr>
                <w:sz w:val="16"/>
              </w:rPr>
              <w:t>under 2 s</w:t>
            </w:r>
          </w:p>
        </w:tc>
      </w:tr>
      <w:tr>
        <w:tc>
          <w:tcPr>
            <w:tcW w:type="dxa" w:w="1152"/>
            <w:shd w:val="clear" w:color="auto" w:fill="F2F5F9"/>
          </w:tcPr>
          <w:p>
            <w:pPr>
              <w:spacing w:after="20" w:before="20" w:line="254" w:lineRule="auto"/>
              <w:jc w:val="left"/>
            </w:pPr>
            <w:r>
              <w:rPr>
                <w:sz w:val="16"/>
              </w:rPr>
              <w:t>Phase 2</w:t>
            </w:r>
          </w:p>
        </w:tc>
        <w:tc>
          <w:tcPr>
            <w:tcW w:type="dxa" w:w="6048"/>
            <w:shd w:val="clear" w:color="auto" w:fill="F2F5F9"/>
          </w:tcPr>
          <w:p>
            <w:pPr>
              <w:spacing w:after="20" w:before="20" w:line="254" w:lineRule="auto"/>
              <w:jc w:val="left"/>
            </w:pPr>
            <w:r>
              <w:rPr>
                <w:sz w:val="16"/>
              </w:rPr>
              <w:t>Repair, validate and standardise</w:t>
            </w:r>
          </w:p>
        </w:tc>
        <w:tc>
          <w:tcPr>
            <w:tcW w:type="dxa" w:w="2117"/>
            <w:shd w:val="clear" w:color="auto" w:fill="F2F5F9"/>
          </w:tcPr>
          <w:p>
            <w:pPr>
              <w:spacing w:after="20" w:before="20" w:line="254" w:lineRule="auto"/>
              <w:jc w:val="center"/>
            </w:pPr>
            <w:r>
              <w:rPr>
                <w:sz w:val="16"/>
              </w:rPr>
              <w:t>under 3 s</w:t>
            </w:r>
          </w:p>
        </w:tc>
      </w:tr>
      <w:tr>
        <w:tc>
          <w:tcPr>
            <w:tcW w:type="dxa" w:w="1152"/>
          </w:tcPr>
          <w:p>
            <w:pPr>
              <w:spacing w:after="20" w:before="20" w:line="254" w:lineRule="auto"/>
              <w:jc w:val="left"/>
            </w:pPr>
            <w:r>
              <w:rPr>
                <w:sz w:val="16"/>
              </w:rPr>
              <w:t>Phase 3</w:t>
            </w:r>
          </w:p>
        </w:tc>
        <w:tc>
          <w:tcPr>
            <w:tcW w:type="dxa" w:w="6048"/>
          </w:tcPr>
          <w:p>
            <w:pPr>
              <w:spacing w:after="20" w:before="20" w:line="254" w:lineRule="auto"/>
              <w:jc w:val="left"/>
            </w:pPr>
            <w:r>
              <w:rPr>
                <w:sz w:val="16"/>
              </w:rPr>
              <w:t>Quantify churn drivers and write 9 charts</w:t>
            </w:r>
          </w:p>
        </w:tc>
        <w:tc>
          <w:tcPr>
            <w:tcW w:type="dxa" w:w="2117"/>
          </w:tcPr>
          <w:p>
            <w:pPr>
              <w:spacing w:after="20" w:before="20" w:line="254" w:lineRule="auto"/>
              <w:jc w:val="center"/>
            </w:pPr>
            <w:r>
              <w:rPr>
                <w:sz w:val="16"/>
              </w:rPr>
              <w:t>15-30 s</w:t>
            </w:r>
          </w:p>
        </w:tc>
      </w:tr>
      <w:tr>
        <w:tc>
          <w:tcPr>
            <w:tcW w:type="dxa" w:w="1152"/>
            <w:shd w:val="clear" w:color="auto" w:fill="F2F5F9"/>
          </w:tcPr>
          <w:p>
            <w:pPr>
              <w:spacing w:after="20" w:before="20" w:line="254" w:lineRule="auto"/>
              <w:jc w:val="left"/>
            </w:pPr>
            <w:r>
              <w:rPr>
                <w:sz w:val="16"/>
              </w:rPr>
              <w:t>Phase 4</w:t>
            </w:r>
          </w:p>
        </w:tc>
        <w:tc>
          <w:tcPr>
            <w:tcW w:type="dxa" w:w="6048"/>
            <w:shd w:val="clear" w:color="auto" w:fill="F2F5F9"/>
          </w:tcPr>
          <w:p>
            <w:pPr>
              <w:spacing w:after="20" w:before="20" w:line="254" w:lineRule="auto"/>
              <w:jc w:val="left"/>
            </w:pPr>
            <w:r>
              <w:rPr>
                <w:sz w:val="16"/>
              </w:rPr>
              <w:t>Build 7 features, fit tier edges, export unscaled copy</w:t>
            </w:r>
          </w:p>
        </w:tc>
        <w:tc>
          <w:tcPr>
            <w:tcW w:type="dxa" w:w="2117"/>
            <w:shd w:val="clear" w:color="auto" w:fill="F2F5F9"/>
          </w:tcPr>
          <w:p>
            <w:pPr>
              <w:spacing w:after="20" w:before="20" w:line="254" w:lineRule="auto"/>
              <w:jc w:val="center"/>
            </w:pPr>
            <w:r>
              <w:rPr>
                <w:sz w:val="16"/>
              </w:rPr>
              <w:t>under 5 s</w:t>
            </w:r>
          </w:p>
        </w:tc>
      </w:tr>
      <w:tr>
        <w:tc>
          <w:tcPr>
            <w:tcW w:type="dxa" w:w="1152"/>
          </w:tcPr>
          <w:p>
            <w:pPr>
              <w:spacing w:after="20" w:before="20" w:line="254" w:lineRule="auto"/>
              <w:jc w:val="left"/>
            </w:pPr>
            <w:r>
              <w:rPr>
                <w:sz w:val="16"/>
              </w:rPr>
              <w:t>Phase 5</w:t>
            </w:r>
          </w:p>
        </w:tc>
        <w:tc>
          <w:tcPr>
            <w:tcW w:type="dxa" w:w="6048"/>
          </w:tcPr>
          <w:p>
            <w:pPr>
              <w:spacing w:after="20" w:before="20" w:line="254" w:lineRule="auto"/>
              <w:jc w:val="left"/>
            </w:pPr>
            <w:r>
              <w:rPr>
                <w:sz w:val="16"/>
              </w:rPr>
              <w:t>Cluster, name from centroids, merge features, persist model</w:t>
            </w:r>
          </w:p>
        </w:tc>
        <w:tc>
          <w:tcPr>
            <w:tcW w:type="dxa" w:w="2117"/>
          </w:tcPr>
          <w:p>
            <w:pPr>
              <w:spacing w:after="20" w:before="20" w:line="254" w:lineRule="auto"/>
              <w:jc w:val="center"/>
            </w:pPr>
            <w:r>
              <w:rPr>
                <w:sz w:val="16"/>
              </w:rPr>
              <w:t>20-40 s</w:t>
            </w:r>
          </w:p>
        </w:tc>
      </w:tr>
      <w:tr>
        <w:tc>
          <w:tcPr>
            <w:tcW w:type="dxa" w:w="1152"/>
            <w:shd w:val="clear" w:color="auto" w:fill="F2F5F9"/>
          </w:tcPr>
          <w:p>
            <w:pPr>
              <w:spacing w:after="20" w:before="20" w:line="254" w:lineRule="auto"/>
              <w:jc w:val="left"/>
            </w:pPr>
            <w:r>
              <w:rPr>
                <w:sz w:val="16"/>
              </w:rPr>
              <w:t>Phase 6</w:t>
            </w:r>
          </w:p>
        </w:tc>
        <w:tc>
          <w:tcPr>
            <w:tcW w:type="dxa" w:w="6048"/>
            <w:shd w:val="clear" w:color="auto" w:fill="F2F5F9"/>
          </w:tcPr>
          <w:p>
            <w:pPr>
              <w:spacing w:after="20" w:before="20" w:line="254" w:lineRule="auto"/>
              <w:jc w:val="left"/>
            </w:pPr>
            <w:r>
              <w:rPr>
                <w:sz w:val="16"/>
              </w:rPr>
              <w:t>Train 5 models, 150-fit randomized search, evaluate</w:t>
            </w:r>
          </w:p>
        </w:tc>
        <w:tc>
          <w:tcPr>
            <w:tcW w:type="dxa" w:w="2117"/>
            <w:shd w:val="clear" w:color="auto" w:fill="F2F5F9"/>
          </w:tcPr>
          <w:p>
            <w:pPr>
              <w:spacing w:after="20" w:before="20" w:line="254" w:lineRule="auto"/>
              <w:jc w:val="center"/>
            </w:pPr>
            <w:r>
              <w:rPr>
                <w:b/>
                <w:sz w:val="16"/>
              </w:rPr>
              <w:t>about 4 minutes</w:t>
            </w:r>
          </w:p>
        </w:tc>
      </w:tr>
      <w:tr>
        <w:tc>
          <w:tcPr>
            <w:tcW w:type="dxa" w:w="1152"/>
          </w:tcPr>
          <w:p>
            <w:pPr>
              <w:spacing w:after="20" w:before="20" w:line="254" w:lineRule="auto"/>
              <w:jc w:val="left"/>
            </w:pPr>
            <w:r>
              <w:rPr>
                <w:sz w:val="16"/>
              </w:rPr>
              <w:t>Phase 7</w:t>
            </w:r>
          </w:p>
        </w:tc>
        <w:tc>
          <w:tcPr>
            <w:tcW w:type="dxa" w:w="6048"/>
          </w:tcPr>
          <w:p>
            <w:pPr>
              <w:spacing w:after="20" w:before="20" w:line="254" w:lineRule="auto"/>
              <w:jc w:val="left"/>
            </w:pPr>
            <w:r>
              <w:rPr>
                <w:sz w:val="16"/>
              </w:rPr>
              <w:t>Re-fit 4 models, threshold sweep, 5 charts</w:t>
            </w:r>
          </w:p>
        </w:tc>
        <w:tc>
          <w:tcPr>
            <w:tcW w:type="dxa" w:w="2117"/>
          </w:tcPr>
          <w:p>
            <w:pPr>
              <w:spacing w:after="20" w:before="20" w:line="254" w:lineRule="auto"/>
              <w:jc w:val="center"/>
            </w:pPr>
            <w:r>
              <w:rPr>
                <w:b/>
                <w:sz w:val="16"/>
              </w:rPr>
              <w:t>about 3 minutes</w:t>
            </w:r>
          </w:p>
        </w:tc>
      </w:tr>
      <w:tr>
        <w:tc>
          <w:tcPr>
            <w:tcW w:type="dxa" w:w="1152"/>
            <w:shd w:val="clear" w:color="auto" w:fill="F2F5F9"/>
          </w:tcPr>
          <w:p>
            <w:pPr>
              <w:spacing w:after="20" w:before="20" w:line="254" w:lineRule="auto"/>
              <w:jc w:val="left"/>
            </w:pPr>
            <w:r>
              <w:rPr>
                <w:sz w:val="16"/>
              </w:rPr>
              <w:t>Phase 8</w:t>
            </w:r>
          </w:p>
        </w:tc>
        <w:tc>
          <w:tcPr>
            <w:tcW w:type="dxa" w:w="6048"/>
            <w:shd w:val="clear" w:color="auto" w:fill="F2F5F9"/>
          </w:tcPr>
          <w:p>
            <w:pPr>
              <w:spacing w:after="20" w:before="20" w:line="254" w:lineRule="auto"/>
              <w:jc w:val="left"/>
            </w:pPr>
            <w:r>
              <w:rPr>
                <w:sz w:val="16"/>
              </w:rPr>
              <w:t>Calibrate, tier, SHAP global and local</w:t>
            </w:r>
          </w:p>
        </w:tc>
        <w:tc>
          <w:tcPr>
            <w:tcW w:type="dxa" w:w="2117"/>
            <w:shd w:val="clear" w:color="auto" w:fill="F2F5F9"/>
          </w:tcPr>
          <w:p>
            <w:pPr>
              <w:spacing w:after="20" w:before="20" w:line="254" w:lineRule="auto"/>
              <w:jc w:val="center"/>
            </w:pPr>
            <w:r>
              <w:rPr>
                <w:b/>
                <w:sz w:val="16"/>
              </w:rPr>
              <w:t>about 1 minute</w:t>
            </w:r>
          </w:p>
        </w:tc>
      </w:tr>
      <w:tr>
        <w:tc>
          <w:tcPr>
            <w:tcW w:type="dxa" w:w="1152"/>
          </w:tcPr>
          <w:p>
            <w:pPr>
              <w:spacing w:after="20" w:before="20" w:line="254" w:lineRule="auto"/>
              <w:jc w:val="left"/>
            </w:pPr>
            <w:r>
              <w:rPr>
                <w:sz w:val="16"/>
              </w:rPr>
              <w:t>Phase 9</w:t>
            </w:r>
          </w:p>
        </w:tc>
        <w:tc>
          <w:tcPr>
            <w:tcW w:type="dxa" w:w="6048"/>
          </w:tcPr>
          <w:p>
            <w:pPr>
              <w:spacing w:after="20" w:before="20" w:line="254" w:lineRule="auto"/>
              <w:jc w:val="left"/>
            </w:pPr>
            <w:r>
              <w:rPr>
                <w:sz w:val="16"/>
              </w:rPr>
              <w:t>Revenue at risk, campaign economics, 3 charts</w:t>
            </w:r>
          </w:p>
        </w:tc>
        <w:tc>
          <w:tcPr>
            <w:tcW w:type="dxa" w:w="2117"/>
          </w:tcPr>
          <w:p>
            <w:pPr>
              <w:spacing w:after="20" w:before="20" w:line="254" w:lineRule="auto"/>
              <w:jc w:val="center"/>
            </w:pPr>
            <w:r>
              <w:rPr>
                <w:sz w:val="16"/>
              </w:rPr>
              <w:t>under 10 s</w:t>
            </w:r>
          </w:p>
        </w:tc>
      </w:tr>
    </w:tbl>
    <w:p>
      <w:pPr>
        <w:spacing w:before="60" w:after="200"/>
        <w:jc w:val="center"/>
      </w:pPr>
      <w:r>
        <w:rPr>
          <w:i/>
          <w:color w:val="555F6B"/>
          <w:sz w:val="17"/>
        </w:rPr>
        <w:t>Table 11: Responsibility and measured runtime of each stage in the virtual environment.</w:t>
      </w:r>
    </w:p>
    <w:p>
      <w:pPr>
        <w:spacing w:after="120" w:before="0"/>
        <w:jc w:val="both"/>
      </w:pPr>
      <w:r>
        <w:rPr>
          <w:b w:val="0"/>
          <w:i w:val="0"/>
          <w:sz w:val="21"/>
        </w:rPr>
        <w:t>Phases 6 and 7 dominate the runtime. Phase 6 performs 150 model fits in its randomized search alone, and both phases configure Random Forest and baseline XGBoost with 2 000 estimators.</w:t>
      </w:r>
    </w:p>
    <w:p>
      <w:r>
        <w:br w:type="page"/>
      </w:r>
    </w:p>
    <w:p>
      <w:pPr>
        <w:spacing w:after="0"/>
      </w:pPr>
    </w:p>
    <w:p>
      <w:pPr>
        <w:keepNext/>
        <w:spacing w:before="80" w:after="40"/>
        <w:pBdr>
          <w:bottom w:val="single" w:sz="10" w:space="3" w:color="1B355E"/>
        </w:pBdr>
      </w:pPr>
      <w:r>
        <w:rPr>
          <w:b/>
          <w:color w:val="1B355E"/>
          <w:sz w:val="30"/>
        </w:rPr>
        <w:t>7.  Defect 1 — Hold-out Sample Size</w:t>
      </w:r>
    </w:p>
    <w:p>
      <w:pPr>
        <w:spacing w:after="40"/>
      </w:pPr>
    </w:p>
    <w:p>
      <w:pPr>
        <w:keepNext/>
        <w:spacing w:before="240" w:after="80"/>
      </w:pPr>
      <w:r>
        <w:rPr>
          <w:b/>
          <w:color w:val="1B355E"/>
          <w:sz w:val="25"/>
        </w:rPr>
        <w:t>7.1  The defect</w:t>
      </w:r>
    </w:p>
    <w:p>
      <w:pPr>
        <w:spacing w:after="120" w:before="0"/>
        <w:jc w:val="both"/>
      </w:pPr>
      <w:r>
        <w:rPr>
          <w:b w:val="0"/>
          <w:i w:val="0"/>
          <w:sz w:val="21"/>
        </w:rPr>
        <w:t xml:space="preserve">Phases 6, 7 and 8 each declared </w:t>
      </w:r>
      <w:r>
        <w:rPr>
          <w:rFonts w:ascii="Consolas" w:hAnsi="Consolas" w:eastAsia="Consolas"/>
          <w:b w:val="0"/>
          <w:i w:val="0"/>
          <w:color w:val="8A2C1F"/>
          <w:sz w:val="19"/>
        </w:rPr>
        <w:t>TEST_SIZE = 0.05</w:t>
      </w:r>
      <w:r>
        <w:rPr>
          <w:b w:val="0"/>
          <w:i w:val="0"/>
          <w:sz w:val="21"/>
        </w:rPr>
        <w:t>, producing a hold-out set of 353 records containing 94 churners. Two printed lines and one summary line nevertheless described the split as 80/20.</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TEST_SIZE = 0.05                                   # actual configuration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2. Stratified 80/20 train-test split             # comment says otherwise</w:t>
            </w:r>
          </w:p>
          <w:p>
            <w:pPr>
              <w:spacing w:after="0" w:before="0" w:line="240" w:lineRule="auto"/>
            </w:pPr>
            <w:r>
              <w:rPr>
                <w:rFonts w:ascii="Consolas" w:hAnsi="Consolas" w:eastAsia="Consolas"/>
                <w:color w:val="1A232E"/>
                <w:sz w:val="16"/>
              </w:rPr>
              <w:t>X_train, X_test, y_train, y_test = train_test_split(</w:t>
            </w:r>
          </w:p>
          <w:p>
            <w:pPr>
              <w:spacing w:after="0" w:before="0" w:line="240" w:lineRule="auto"/>
            </w:pPr>
            <w:r>
              <w:rPr>
                <w:rFonts w:ascii="Consolas" w:hAnsi="Consolas" w:eastAsia="Consolas"/>
                <w:color w:val="1A232E"/>
                <w:sz w:val="16"/>
              </w:rPr>
              <w:t xml:space="preserve">    X, y, test_size=TEST_SIZE, stratify=y, random_state=RANDOM_STATE)</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t>print("- Applied a stratified 80/20 train-test split.")   # contradicts the constant</w:t>
            </w:r>
          </w:p>
        </w:tc>
      </w:tr>
    </w:tbl>
    <w:p>
      <w:pPr>
        <w:spacing w:before="60" w:after="180"/>
        <w:jc w:val="center"/>
      </w:pPr>
      <w:r>
        <w:rPr>
          <w:i/>
          <w:color w:val="555F6B"/>
          <w:sz w:val="17"/>
        </w:rPr>
        <w:t>Listing 3: The defect as delivered — the constant and the reported split disagreed.</w:t>
      </w:r>
    </w:p>
    <w:p>
      <w:pPr>
        <w:keepNext/>
        <w:spacing w:before="240" w:after="80"/>
      </w:pPr>
      <w:r>
        <w:rPr>
          <w:b/>
          <w:color w:val="1B355E"/>
          <w:sz w:val="25"/>
        </w:rPr>
        <w:t>7.2  Why it mattered</w:t>
      </w:r>
    </w:p>
    <w:p>
      <w:pPr>
        <w:spacing w:after="120" w:before="0"/>
        <w:jc w:val="both"/>
      </w:pPr>
      <w:r>
        <w:rPr>
          <w:b w:val="0"/>
          <w:i w:val="0"/>
          <w:sz w:val="21"/>
        </w:rPr>
        <w:t>The problem was never a wrong number; it was an unstable one. With 94 positive and 259 negative cases, the Hanley-McNeil standard error of the area under the ROC curve is 0.0273, giving a 95 % confidence interval of roughly ±0.053. The top three models in the delivered results were separated by 0.0020 of ROC-AUC — about one twenty-fifth of that interval. The published ranking could not be distinguished from sampling noise.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664"/>
        <w:gridCol w:w="1843"/>
        <w:gridCol w:w="1843"/>
        <w:gridCol w:w="2966"/>
      </w:tblGrid>
      <w:tr>
        <w:tc>
          <w:tcPr>
            <w:tcW w:type="dxa" w:w="2664"/>
            <w:shd w:val="clear" w:color="auto" w:fill="1B355E"/>
          </w:tcPr>
          <w:p>
            <w:pPr>
              <w:spacing w:after="20" w:before="20"/>
              <w:jc w:val="center"/>
            </w:pPr>
            <w:r>
              <w:rPr>
                <w:b/>
                <w:color w:val="FFFFFF"/>
                <w:sz w:val="16"/>
              </w:rPr>
              <w:t>Quantity</w:t>
            </w:r>
          </w:p>
        </w:tc>
        <w:tc>
          <w:tcPr>
            <w:tcW w:type="dxa" w:w="1843"/>
            <w:shd w:val="clear" w:color="auto" w:fill="1B355E"/>
          </w:tcPr>
          <w:p>
            <w:pPr>
              <w:spacing w:after="20" w:before="20"/>
              <w:jc w:val="center"/>
            </w:pPr>
            <w:r>
              <w:rPr>
                <w:b/>
                <w:color w:val="FFFFFF"/>
                <w:sz w:val="16"/>
              </w:rPr>
              <w:t>Before (5 %)</w:t>
            </w:r>
          </w:p>
        </w:tc>
        <w:tc>
          <w:tcPr>
            <w:tcW w:type="dxa" w:w="1843"/>
            <w:shd w:val="clear" w:color="auto" w:fill="1B355E"/>
          </w:tcPr>
          <w:p>
            <w:pPr>
              <w:spacing w:after="20" w:before="20"/>
              <w:jc w:val="center"/>
            </w:pPr>
            <w:r>
              <w:rPr>
                <w:b/>
                <w:color w:val="FFFFFF"/>
                <w:sz w:val="16"/>
              </w:rPr>
              <w:t>After (20 %)</w:t>
            </w:r>
          </w:p>
        </w:tc>
        <w:tc>
          <w:tcPr>
            <w:tcW w:type="dxa" w:w="2966"/>
            <w:shd w:val="clear" w:color="auto" w:fill="1B355E"/>
          </w:tcPr>
          <w:p>
            <w:pPr>
              <w:spacing w:after="20" w:before="20"/>
              <w:jc w:val="center"/>
            </w:pPr>
            <w:r>
              <w:rPr>
                <w:b/>
                <w:color w:val="FFFFFF"/>
                <w:sz w:val="16"/>
              </w:rPr>
              <w:t>Reading</w:t>
            </w:r>
          </w:p>
        </w:tc>
      </w:tr>
      <w:tr>
        <w:tc>
          <w:tcPr>
            <w:tcW w:type="dxa" w:w="2664"/>
          </w:tcPr>
          <w:p>
            <w:pPr>
              <w:spacing w:after="20" w:before="20" w:line="254" w:lineRule="auto"/>
              <w:jc w:val="left"/>
            </w:pPr>
            <w:r>
              <w:rPr>
                <w:sz w:val="16"/>
              </w:rPr>
              <w:t>Test records</w:t>
            </w:r>
          </w:p>
        </w:tc>
        <w:tc>
          <w:tcPr>
            <w:tcW w:type="dxa" w:w="1843"/>
          </w:tcPr>
          <w:p>
            <w:pPr>
              <w:spacing w:after="20" w:before="20" w:line="254" w:lineRule="auto"/>
              <w:jc w:val="center"/>
            </w:pPr>
            <w:r>
              <w:rPr>
                <w:sz w:val="16"/>
              </w:rPr>
              <w:t>353</w:t>
            </w:r>
          </w:p>
        </w:tc>
        <w:tc>
          <w:tcPr>
            <w:tcW w:type="dxa" w:w="1843"/>
          </w:tcPr>
          <w:p>
            <w:pPr>
              <w:spacing w:after="20" w:before="20" w:line="254" w:lineRule="auto"/>
              <w:jc w:val="center"/>
            </w:pPr>
            <w:r>
              <w:rPr>
                <w:b/>
                <w:sz w:val="16"/>
              </w:rPr>
              <w:t>1 409</w:t>
            </w:r>
          </w:p>
        </w:tc>
        <w:tc>
          <w:tcPr>
            <w:tcW w:type="dxa" w:w="2966"/>
          </w:tcPr>
          <w:p>
            <w:pPr>
              <w:spacing w:after="20" w:before="20" w:line="254" w:lineRule="auto"/>
              <w:jc w:val="center"/>
            </w:pPr>
            <w:r>
              <w:rPr>
                <w:sz w:val="16"/>
              </w:rPr>
              <w:t>4.0× more evidence</w:t>
            </w:r>
          </w:p>
        </w:tc>
      </w:tr>
      <w:tr>
        <w:tc>
          <w:tcPr>
            <w:tcW w:type="dxa" w:w="2664"/>
            <w:shd w:val="clear" w:color="auto" w:fill="F2F5F9"/>
          </w:tcPr>
          <w:p>
            <w:pPr>
              <w:spacing w:after="20" w:before="20" w:line="254" w:lineRule="auto"/>
              <w:jc w:val="left"/>
            </w:pPr>
            <w:r>
              <w:rPr>
                <w:sz w:val="16"/>
              </w:rPr>
              <w:t>Churners in test set</w:t>
            </w:r>
          </w:p>
        </w:tc>
        <w:tc>
          <w:tcPr>
            <w:tcW w:type="dxa" w:w="1843"/>
            <w:shd w:val="clear" w:color="auto" w:fill="F2F5F9"/>
          </w:tcPr>
          <w:p>
            <w:pPr>
              <w:spacing w:after="20" w:before="20" w:line="254" w:lineRule="auto"/>
              <w:jc w:val="center"/>
            </w:pPr>
            <w:r>
              <w:rPr>
                <w:sz w:val="16"/>
              </w:rPr>
              <w:t>94</w:t>
            </w:r>
          </w:p>
        </w:tc>
        <w:tc>
          <w:tcPr>
            <w:tcW w:type="dxa" w:w="1843"/>
            <w:shd w:val="clear" w:color="auto" w:fill="F2F5F9"/>
          </w:tcPr>
          <w:p>
            <w:pPr>
              <w:spacing w:after="20" w:before="20" w:line="254" w:lineRule="auto"/>
              <w:jc w:val="center"/>
            </w:pPr>
            <w:r>
              <w:rPr>
                <w:b/>
                <w:sz w:val="16"/>
              </w:rPr>
              <w:t>374</w:t>
            </w:r>
          </w:p>
        </w:tc>
        <w:tc>
          <w:tcPr>
            <w:tcW w:type="dxa" w:w="2966"/>
            <w:shd w:val="clear" w:color="auto" w:fill="F2F5F9"/>
          </w:tcPr>
          <w:p>
            <w:pPr>
              <w:spacing w:after="20" w:before="20" w:line="254" w:lineRule="auto"/>
              <w:jc w:val="left"/>
            </w:pPr>
            <w:r>
              <w:rPr>
                <w:sz w:val="16"/>
              </w:rPr>
              <w:t>the minority class drives the interval width</w:t>
            </w:r>
          </w:p>
        </w:tc>
      </w:tr>
      <w:tr>
        <w:tc>
          <w:tcPr>
            <w:tcW w:type="dxa" w:w="2664"/>
          </w:tcPr>
          <w:p>
            <w:pPr>
              <w:spacing w:after="20" w:before="20" w:line="254" w:lineRule="auto"/>
              <w:jc w:val="left"/>
            </w:pPr>
            <w:r>
              <w:rPr>
                <w:sz w:val="16"/>
              </w:rPr>
              <w:t>Hanley-McNeil SE of ROC-AUC</w:t>
            </w:r>
          </w:p>
        </w:tc>
        <w:tc>
          <w:tcPr>
            <w:tcW w:type="dxa" w:w="1843"/>
          </w:tcPr>
          <w:p>
            <w:pPr>
              <w:spacing w:after="20" w:before="20" w:line="254" w:lineRule="auto"/>
              <w:jc w:val="center"/>
            </w:pPr>
            <w:r>
              <w:rPr>
                <w:sz w:val="16"/>
              </w:rPr>
              <w:t>0.0273</w:t>
            </w:r>
          </w:p>
        </w:tc>
        <w:tc>
          <w:tcPr>
            <w:tcW w:type="dxa" w:w="1843"/>
          </w:tcPr>
          <w:p>
            <w:pPr>
              <w:spacing w:after="20" w:before="20" w:line="254" w:lineRule="auto"/>
              <w:jc w:val="center"/>
            </w:pPr>
            <w:r>
              <w:rPr>
                <w:b/>
                <w:sz w:val="16"/>
              </w:rPr>
              <w:t>0.0133</w:t>
            </w:r>
          </w:p>
        </w:tc>
        <w:tc>
          <w:tcPr>
            <w:tcW w:type="dxa" w:w="2966"/>
          </w:tcPr>
          <w:p>
            <w:pPr>
              <w:spacing w:after="20" w:before="20" w:line="254" w:lineRule="auto"/>
              <w:jc w:val="center"/>
            </w:pPr>
            <w:r>
              <w:rPr>
                <w:sz w:val="16"/>
              </w:rPr>
              <w:t>halved</w:t>
            </w:r>
          </w:p>
        </w:tc>
      </w:tr>
      <w:tr>
        <w:tc>
          <w:tcPr>
            <w:tcW w:type="dxa" w:w="2664"/>
            <w:shd w:val="clear" w:color="auto" w:fill="F2F5F9"/>
          </w:tcPr>
          <w:p>
            <w:pPr>
              <w:spacing w:after="20" w:before="20" w:line="254" w:lineRule="auto"/>
              <w:jc w:val="left"/>
            </w:pPr>
            <w:r>
              <w:rPr>
                <w:sz w:val="16"/>
              </w:rPr>
              <w:t>95 % CI half-width</w:t>
            </w:r>
          </w:p>
        </w:tc>
        <w:tc>
          <w:tcPr>
            <w:tcW w:type="dxa" w:w="1843"/>
            <w:shd w:val="clear" w:color="auto" w:fill="F2F5F9"/>
          </w:tcPr>
          <w:p>
            <w:pPr>
              <w:spacing w:after="20" w:before="20" w:line="254" w:lineRule="auto"/>
              <w:jc w:val="center"/>
            </w:pPr>
            <w:r>
              <w:rPr>
                <w:sz w:val="16"/>
              </w:rPr>
              <w:t>±0.053</w:t>
            </w:r>
          </w:p>
        </w:tc>
        <w:tc>
          <w:tcPr>
            <w:tcW w:type="dxa" w:w="1843"/>
            <w:shd w:val="clear" w:color="auto" w:fill="F2F5F9"/>
          </w:tcPr>
          <w:p>
            <w:pPr>
              <w:spacing w:after="20" w:before="20" w:line="254" w:lineRule="auto"/>
              <w:jc w:val="center"/>
            </w:pPr>
            <w:r>
              <w:rPr>
                <w:b/>
                <w:sz w:val="16"/>
              </w:rPr>
              <w:t>±0.026</w:t>
            </w:r>
          </w:p>
        </w:tc>
        <w:tc>
          <w:tcPr>
            <w:tcW w:type="dxa" w:w="2966"/>
            <w:shd w:val="clear" w:color="auto" w:fill="F2F5F9"/>
          </w:tcPr>
          <w:p>
            <w:pPr>
              <w:spacing w:after="20" w:before="20" w:line="254" w:lineRule="auto"/>
              <w:jc w:val="left"/>
            </w:pPr>
            <w:r>
              <w:rPr>
                <w:sz w:val="16"/>
              </w:rPr>
              <w:t>differences of 0.03 are now resolvable</w:t>
            </w:r>
          </w:p>
        </w:tc>
      </w:tr>
      <w:tr>
        <w:tc>
          <w:tcPr>
            <w:tcW w:type="dxa" w:w="2664"/>
          </w:tcPr>
          <w:p>
            <w:pPr>
              <w:spacing w:after="20" w:before="20" w:line="254" w:lineRule="auto"/>
              <w:jc w:val="left"/>
            </w:pPr>
            <w:r>
              <w:rPr>
                <w:sz w:val="16"/>
              </w:rPr>
              <w:t>Gap between top 2 models</w:t>
            </w:r>
          </w:p>
        </w:tc>
        <w:tc>
          <w:tcPr>
            <w:tcW w:type="dxa" w:w="1843"/>
          </w:tcPr>
          <w:p>
            <w:pPr>
              <w:spacing w:after="20" w:before="20" w:line="254" w:lineRule="auto"/>
              <w:jc w:val="center"/>
            </w:pPr>
            <w:r>
              <w:rPr>
                <w:sz w:val="16"/>
              </w:rPr>
              <w:t>0.0002</w:t>
            </w:r>
          </w:p>
        </w:tc>
        <w:tc>
          <w:tcPr>
            <w:tcW w:type="dxa" w:w="1843"/>
          </w:tcPr>
          <w:p>
            <w:pPr>
              <w:spacing w:after="20" w:before="20" w:line="254" w:lineRule="auto"/>
              <w:jc w:val="center"/>
            </w:pPr>
            <w:r>
              <w:rPr>
                <w:sz w:val="16"/>
              </w:rPr>
              <w:t>0.0024</w:t>
            </w:r>
          </w:p>
        </w:tc>
        <w:tc>
          <w:tcPr>
            <w:tcW w:type="dxa" w:w="2966"/>
          </w:tcPr>
          <w:p>
            <w:pPr>
              <w:spacing w:after="20" w:before="20" w:line="254" w:lineRule="auto"/>
              <w:jc w:val="left"/>
            </w:pPr>
            <w:r>
              <w:rPr>
                <w:sz w:val="16"/>
              </w:rPr>
              <w:t>still inside the interval — see the note below</w:t>
            </w:r>
          </w:p>
        </w:tc>
      </w:tr>
    </w:tbl>
    <w:p>
      <w:pPr>
        <w:spacing w:before="60" w:after="200"/>
        <w:jc w:val="center"/>
      </w:pPr>
      <w:r>
        <w:rPr>
          <w:i/>
          <w:color w:val="555F6B"/>
          <w:sz w:val="17"/>
        </w:rPr>
        <w:t>Table 12: Statistical effect of enlarging the hold-out partition.</w:t>
      </w:r>
    </w:p>
    <w:p>
      <w:pPr>
        <w:keepNext/>
        <w:spacing w:before="240" w:after="80"/>
      </w:pPr>
      <w:r>
        <w:rPr>
          <w:b/>
          <w:color w:val="1B355E"/>
          <w:sz w:val="25"/>
        </w:rPr>
        <w:t>7.3  The correction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 A 5% hold-out left 353 records with only 94 churners, an interval on</w:t>
            </w:r>
          </w:p>
          <w:p>
            <w:pPr>
              <w:spacing w:after="0" w:before="0" w:line="240" w:lineRule="auto"/>
            </w:pPr>
            <w:r>
              <w:rPr>
                <w:rFonts w:ascii="Consolas" w:hAnsi="Consolas" w:eastAsia="Consolas"/>
                <w:color w:val="1A232E"/>
                <w:sz w:val="16"/>
              </w:rPr>
              <w:t># ROC-AUC of roughly +/-0.045 -- wider than the gap between the top models,</w:t>
            </w:r>
          </w:p>
          <w:p>
            <w:pPr>
              <w:spacing w:after="0" w:before="0" w:line="240" w:lineRule="auto"/>
            </w:pPr>
            <w:r>
              <w:rPr>
                <w:rFonts w:ascii="Consolas" w:hAnsi="Consolas" w:eastAsia="Consolas"/>
                <w:color w:val="1A232E"/>
                <w:sz w:val="16"/>
              </w:rPr>
              <w:t># so they could not be ranked. 20% gives 1409 records and ~374 churners.</w:t>
            </w:r>
          </w:p>
          <w:p>
            <w:pPr>
              <w:spacing w:after="0" w:before="0" w:line="240" w:lineRule="auto"/>
            </w:pPr>
            <w:r>
              <w:rPr>
                <w:rFonts w:ascii="Consolas" w:hAnsi="Consolas" w:eastAsia="Consolas"/>
                <w:color w:val="1A232E"/>
                <w:sz w:val="16"/>
              </w:rPr>
              <w:t>TEST_SIZE = 0.20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The split ratio is now derived from the constant, so the printed</w:t>
            </w:r>
          </w:p>
          <w:p>
            <w:pPr>
              <w:spacing w:after="0" w:before="0" w:line="240" w:lineRule="auto"/>
            </w:pPr>
            <w:r>
              <w:rPr>
                <w:rFonts w:ascii="Consolas" w:hAnsi="Consolas" w:eastAsia="Consolas"/>
                <w:color w:val="1A232E"/>
                <w:sz w:val="16"/>
              </w:rPr>
              <w:t># description cannot drift away from the actual configuration.</w:t>
            </w:r>
          </w:p>
          <w:p>
            <w:pPr>
              <w:spacing w:after="0" w:before="0" w:line="240" w:lineRule="auto"/>
            </w:pPr>
            <w:r>
              <w:rPr>
                <w:rFonts w:ascii="Consolas" w:hAnsi="Consolas" w:eastAsia="Consolas"/>
                <w:color w:val="1A232E"/>
                <w:sz w:val="16"/>
              </w:rPr>
              <w:t>print(f"Split ratio: {1 - TEST_SIZE:.0%} train / {TEST_SIZE:.0%} test")</w:t>
            </w:r>
          </w:p>
          <w:p>
            <w:pPr>
              <w:spacing w:after="0" w:before="0" w:line="240" w:lineRule="auto"/>
            </w:pPr>
            <w:r>
              <w:rPr>
                <w:rFonts w:ascii="Consolas" w:hAnsi="Consolas" w:eastAsia="Consolas"/>
                <w:color w:val="1A232E"/>
                <w:sz w:val="16"/>
              </w:rPr>
              <w:t>print(f"Training set: {X_train.shape[0]} records")</w:t>
            </w:r>
          </w:p>
          <w:p>
            <w:pPr>
              <w:spacing w:after="0" w:before="0" w:line="240" w:lineRule="auto"/>
            </w:pPr>
            <w:r>
              <w:rPr>
                <w:rFonts w:ascii="Consolas" w:hAnsi="Consolas" w:eastAsia="Consolas"/>
                <w:color w:val="1A232E"/>
                <w:sz w:val="16"/>
              </w:rPr>
              <w:t>print(f"Test set: {X_test.shape[0]} records")</w:t>
            </w:r>
          </w:p>
          <w:p>
            <w:pPr>
              <w:spacing w:after="0" w:before="0" w:line="240" w:lineRule="auto"/>
            </w:pPr>
            <w:r>
              <w:rPr>
                <w:rFonts w:ascii="Consolas" w:hAnsi="Consolas" w:eastAsia="Consolas"/>
                <w:color w:val="1A232E"/>
                <w:sz w:val="16"/>
              </w:rPr>
              <w:t>print(f"Churners in test set: {int(y_test.sum())}")</w:t>
            </w:r>
          </w:p>
        </w:tc>
      </w:tr>
    </w:tbl>
    <w:p>
      <w:pPr>
        <w:spacing w:before="60" w:after="180"/>
        <w:jc w:val="center"/>
      </w:pPr>
      <w:r>
        <w:rPr>
          <w:i/>
          <w:color w:val="555F6B"/>
          <w:sz w:val="17"/>
        </w:rPr>
        <w:t>Listing 4: The correction, applied identically in phases 6, 7 and 8.</w:t>
      </w:r>
    </w:p>
    <w:p>
      <w:pPr>
        <w:spacing w:after="120" w:before="0"/>
        <w:jc w:val="both"/>
      </w:pPr>
      <w:r>
        <w:rPr>
          <w:b w:val="0"/>
          <w:i w:val="0"/>
          <w:sz w:val="21"/>
        </w:rPr>
        <w:t>Printing the ratio from the constant is the part that prevents the defect recurring. The original discrepancy arose because a human-written string described a configuration that later changed; deriving the description from the value removes the possibility.</w:t>
      </w:r>
    </w:p>
    <w:p>
      <w:pPr>
        <w:keepNext/>
        <w:spacing w:before="200" w:after="60"/>
      </w:pPr>
      <w:r>
        <w:rPr>
          <w:b/>
          <w:color w:val="0B5C7A"/>
          <w:sz w:val="22"/>
        </w:rPr>
        <w:t>Verified output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
              <w:rPr>
                <w:rFonts w:ascii="Consolas" w:hAnsi="Consolas" w:eastAsia="Consolas"/>
                <w:color w:val="E6ECF2"/>
                <w:sz w:val="16"/>
              </w:rPr>
              <w:t>2. STRATIFIED TRAIN-TEST SPLIT</w:t>
            </w:r>
          </w:p>
          <w:p>
            <w:pPr>
              <w:spacing w:after="0" w:before="0" w:line="240" w:lineRule="auto"/>
            </w:pPr>
            <w:r>
              <w:rPr>
                <w:rFonts w:ascii="Consolas" w:hAnsi="Consolas" w:eastAsia="Consolas"/>
                <w:color w:val="E6ECF2"/>
                <w:sz w:val="16"/>
              </w:rPr>
              <w:t>Split ratio: 80% train / 20% test</w:t>
            </w:r>
          </w:p>
          <w:p>
            <w:pPr>
              <w:spacing w:after="0" w:before="0" w:line="240" w:lineRule="auto"/>
            </w:pPr>
            <w:r>
              <w:rPr>
                <w:rFonts w:ascii="Consolas" w:hAnsi="Consolas" w:eastAsia="Consolas"/>
                <w:color w:val="E6ECF2"/>
                <w:sz w:val="16"/>
              </w:rPr>
              <w:t>Training set: 5634 records</w:t>
            </w:r>
          </w:p>
          <w:p>
            <w:pPr>
              <w:spacing w:after="0" w:before="0" w:line="240" w:lineRule="auto"/>
            </w:pPr>
            <w:r>
              <w:rPr>
                <w:rFonts w:ascii="Consolas" w:hAnsi="Consolas" w:eastAsia="Consolas"/>
                <w:color w:val="E6ECF2"/>
                <w:sz w:val="16"/>
              </w:rPr>
              <w:t>Test set: 1409 records</w:t>
            </w:r>
          </w:p>
          <w:p>
            <w:pPr>
              <w:spacing w:after="0" w:before="0" w:line="240" w:lineRule="auto"/>
            </w:pPr>
            <w:r>
              <w:rPr>
                <w:rFonts w:ascii="Consolas" w:hAnsi="Consolas" w:eastAsia="Consolas"/>
                <w:color w:val="E6ECF2"/>
                <w:sz w:val="16"/>
              </w:rPr>
              <w:t>Churners in test set: 374</w:t>
            </w:r>
          </w:p>
          <w:p>
            <w:pPr>
              <w:spacing w:after="0" w:before="0" w:line="240" w:lineRule="auto"/>
            </w:pPr>
            <w:r>
              <w:rPr>
                <w:rFonts w:ascii="Consolas" w:hAnsi="Consolas" w:eastAsia="Consolas"/>
                <w:color w:val="E6ECF2"/>
                <w:sz w:val="16"/>
              </w:rPr>
              <w:t>Training churn rate: 26.54%</w:t>
            </w:r>
          </w:p>
          <w:p>
            <w:pPr>
              <w:spacing w:after="0" w:before="0" w:line="240" w:lineRule="auto"/>
            </w:pPr>
            <w:r>
              <w:rPr>
                <w:rFonts w:ascii="Consolas" w:hAnsi="Consolas" w:eastAsia="Consolas"/>
                <w:color w:val="E6ECF2"/>
                <w:sz w:val="16"/>
              </w:rPr>
              <w:t>Test churn rate: 26.54%</w:t>
            </w:r>
          </w:p>
        </w:tc>
      </w:tr>
    </w:tbl>
    <w:p>
      <w:pPr>
        <w:spacing w:before="60" w:after="180"/>
        <w:jc w:val="center"/>
      </w:pPr>
      <w:r>
        <w:rPr>
          <w:i/>
          <w:color w:val="555F6B"/>
          <w:sz w:val="17"/>
        </w:rPr>
        <w:t>Listing 5: Phase 6 console output after the correction. Stratification holds the churn rate at 26.54 % in both partitions.</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FFF6E5"/>
          </w:tcPr>
          <w:p>
            <w:pPr>
              <w:spacing w:after="40"/>
            </w:pPr>
            <w:r>
              <w:rPr>
                <w:b/>
                <w:color w:val="8A5A10"/>
                <w:sz w:val="19"/>
              </w:rPr>
              <w:t>An honest qualification on model ranking.</w:t>
            </w:r>
          </w:p>
          <w:p>
            <w:pPr>
              <w:spacing w:after="0"/>
              <w:jc w:val="both"/>
            </w:pPr>
            <w:r>
              <w:rPr>
                <w:sz w:val="19"/>
              </w:rPr>
              <w:t>Enlarging the hold-out narrows the interval but does not, on this data, make the top models separable. Tuned XGBoost leads Logistic Regression by 0.0024 of ROC-AUC against a 95 % half-width of 0.026. The correct reading is still that the leading models perform equivalently and that the choice between them should rest on other grounds — interpretability, training cost, operating point. What the correction buys is the ability to state that conclusion with evidence, rather than publishing a ranking the data never supported.</w:t>
            </w:r>
          </w:p>
        </w:tc>
      </w:tr>
    </w:tbl>
    <w:p>
      <w:pPr>
        <w:spacing w:after="120"/>
      </w:pPr>
    </w:p>
    <w:p>
      <w:r>
        <w:br w:type="page"/>
      </w:r>
    </w:p>
    <w:p>
      <w:pPr>
        <w:spacing w:after="0"/>
      </w:pPr>
    </w:p>
    <w:p>
      <w:pPr>
        <w:keepNext/>
        <w:spacing w:before="80" w:after="40"/>
        <w:pBdr>
          <w:bottom w:val="single" w:sz="10" w:space="3" w:color="1B355E"/>
        </w:pBdr>
      </w:pPr>
      <w:r>
        <w:rPr>
          <w:b/>
          <w:color w:val="1B355E"/>
          <w:sz w:val="30"/>
        </w:rPr>
        <w:t>8.  Defect 2 — Target Information Leakage</w:t>
      </w:r>
    </w:p>
    <w:p>
      <w:pPr>
        <w:spacing w:after="40"/>
      </w:pPr>
    </w:p>
    <w:p>
      <w:pPr>
        <w:keepNext/>
        <w:spacing w:before="240" w:after="80"/>
      </w:pPr>
      <w:r>
        <w:rPr>
          <w:b/>
          <w:color w:val="1B355E"/>
          <w:sz w:val="25"/>
        </w:rPr>
        <w:t>8.1  The defect</w:t>
      </w:r>
    </w:p>
    <w:p>
      <w:pPr>
        <w:spacing w:after="120" w:before="0"/>
        <w:jc w:val="both"/>
      </w:pPr>
      <w:r>
        <w:rPr>
          <w:b w:val="0"/>
          <w:i w:val="0"/>
          <w:sz w:val="21"/>
        </w:rPr>
        <w:t>This was the most serious of the three, because it affected the credibility of a published result rather than merely wasting work or widening an interval.</w:t>
      </w:r>
    </w:p>
    <w:p>
      <w:pPr>
        <w:spacing w:after="120" w:before="0"/>
        <w:jc w:val="both"/>
      </w:pPr>
      <w:r>
        <w:rPr>
          <w:b w:val="0"/>
          <w:i w:val="0"/>
          <w:sz w:val="21"/>
        </w:rPr>
        <w:t>Phase 5 clusters customers on tenure, service count and monthly charges. That part is clean — K-Means never sees the churn label. The naming step that followed was not: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churn_median = cluster_profile["ChurnRate"].median()      # &lt;- reads the target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for cluster_id, values in profile.iterrows():</w:t>
            </w:r>
          </w:p>
          <w:p>
            <w:pPr>
              <w:spacing w:after="0" w:before="0" w:line="240" w:lineRule="auto"/>
            </w:pPr>
            <w:r>
              <w:rPr>
                <w:rFonts w:ascii="Consolas" w:hAnsi="Consolas" w:eastAsia="Consolas"/>
                <w:color w:val="1A232E"/>
                <w:sz w:val="16"/>
              </w:rPr>
              <w:t xml:space="preserve">    tenure  = values["MeanTenure"]</w:t>
            </w:r>
          </w:p>
          <w:p>
            <w:pPr>
              <w:spacing w:after="0" w:before="0" w:line="240" w:lineRule="auto"/>
            </w:pPr>
            <w:r>
              <w:rPr>
                <w:rFonts w:ascii="Consolas" w:hAnsi="Consolas" w:eastAsia="Consolas"/>
                <w:color w:val="1A232E"/>
                <w:sz w:val="16"/>
              </w:rPr>
              <w:t xml:space="preserve">    charges = values["MeanMonthlyCharges"]</w:t>
            </w:r>
          </w:p>
          <w:p>
            <w:pPr>
              <w:spacing w:after="0" w:before="0" w:line="240" w:lineRule="auto"/>
            </w:pPr>
            <w:r>
              <w:rPr>
                <w:rFonts w:ascii="Consolas" w:hAnsi="Consolas" w:eastAsia="Consolas"/>
                <w:color w:val="1A232E"/>
                <w:sz w:val="16"/>
              </w:rPr>
              <w:t xml:space="preserve">    churn   = values["ChurnRate"]                          # &lt;- reads the target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if tenure &gt;= tenure_median and charges &gt;= charge_median and churn &lt; churn_median:</w:t>
            </w:r>
          </w:p>
          <w:p>
            <w:pPr>
              <w:spacing w:after="0" w:before="0" w:line="240" w:lineRule="auto"/>
            </w:pPr>
            <w:r>
              <w:rPr>
                <w:rFonts w:ascii="Consolas" w:hAnsi="Consolas" w:eastAsia="Consolas"/>
                <w:color w:val="1A232E"/>
                <w:sz w:val="16"/>
              </w:rPr>
              <w:t xml:space="preserve">        segment_names[cluster_id] = "High-Value Loyal"</w:t>
            </w:r>
          </w:p>
          <w:p>
            <w:pPr>
              <w:spacing w:after="0" w:before="0" w:line="240" w:lineRule="auto"/>
            </w:pPr>
            <w:r>
              <w:rPr>
                <w:rFonts w:ascii="Consolas" w:hAnsi="Consolas" w:eastAsia="Consolas"/>
                <w:color w:val="1A232E"/>
                <w:sz w:val="16"/>
              </w:rPr>
              <w:t xml:space="preserve">    elif tenure &gt;= tenure_median and charges &gt;= charge_median and churn &gt;= churn_median:</w:t>
            </w:r>
          </w:p>
          <w:p>
            <w:pPr>
              <w:spacing w:after="0" w:before="0" w:line="240" w:lineRule="auto"/>
            </w:pPr>
            <w:r>
              <w:rPr>
                <w:rFonts w:ascii="Consolas" w:hAnsi="Consolas" w:eastAsia="Consolas"/>
                <w:color w:val="1A232E"/>
                <w:sz w:val="16"/>
              </w:rPr>
              <w:t xml:space="preserve">        segment_names[cluster_id] = "High-Value At-Risk"</w:t>
            </w:r>
          </w:p>
          <w:p>
            <w:pPr>
              <w:spacing w:after="0" w:before="0" w:line="240" w:lineRule="auto"/>
            </w:pPr>
            <w:r>
              <w:rPr>
                <w:rFonts w:ascii="Consolas" w:hAnsi="Consolas" w:eastAsia="Consolas"/>
                <w:color w:val="1A232E"/>
                <w:sz w:val="16"/>
              </w:rPr>
              <w:t xml:space="preserve">    elif tenure &lt; tenure_median and churn &gt;= churn_median:</w:t>
            </w:r>
          </w:p>
          <w:p>
            <w:pPr>
              <w:spacing w:after="0" w:before="0" w:line="240" w:lineRule="auto"/>
            </w:pPr>
            <w:r>
              <w:rPr>
                <w:rFonts w:ascii="Consolas" w:hAnsi="Consolas" w:eastAsia="Consolas"/>
                <w:color w:val="1A232E"/>
                <w:sz w:val="16"/>
              </w:rPr>
              <w:t xml:space="preserve">        segment_names[cluster_id] = "New &amp; Fragile"</w:t>
            </w:r>
          </w:p>
          <w:p>
            <w:pPr>
              <w:spacing w:after="0" w:before="0" w:line="240" w:lineRule="auto"/>
            </w:pPr>
            <w:r>
              <w:rPr>
                <w:rFonts w:ascii="Consolas" w:hAnsi="Consolas" w:eastAsia="Consolas"/>
                <w:color w:val="1A232E"/>
                <w:sz w:val="16"/>
              </w:rPr>
              <w:t xml:space="preserve">    else:</w:t>
            </w:r>
          </w:p>
          <w:p>
            <w:pPr>
              <w:spacing w:after="0" w:before="0" w:line="240" w:lineRule="auto"/>
            </w:pPr>
            <w:r>
              <w:rPr>
                <w:rFonts w:ascii="Consolas" w:hAnsi="Consolas" w:eastAsia="Consolas"/>
                <w:color w:val="1A232E"/>
                <w:sz w:val="16"/>
              </w:rPr>
              <w:t xml:space="preserve">        segment_names[cluster_id] = "Low-Value Price-Sensitive"</w:t>
            </w:r>
          </w:p>
        </w:tc>
      </w:tr>
    </w:tbl>
    <w:p>
      <w:pPr>
        <w:spacing w:before="60" w:after="180"/>
        <w:jc w:val="center"/>
      </w:pPr>
      <w:r>
        <w:rPr>
          <w:i/>
          <w:color w:val="555F6B"/>
          <w:sz w:val="17"/>
        </w:rPr>
        <w:t>Listing 6: The leaking naming rule as delivered. Each cluster's observed churn rate, computed over the entire dataset including the test rows, selected its label.</w:t>
      </w:r>
    </w:p>
    <w:p>
      <w:pPr>
        <w:spacing w:after="120" w:before="0"/>
        <w:jc w:val="both"/>
      </w:pPr>
      <w:r>
        <w:rPr>
          <w:b w:val="0"/>
          <w:i w:val="0"/>
          <w:sz w:val="21"/>
        </w:rPr>
        <w:t xml:space="preserve">Phases 6, 7 and 8 then dropped the numeric </w:t>
      </w:r>
      <w:r>
        <w:rPr>
          <w:rFonts w:ascii="Consolas" w:hAnsi="Consolas" w:eastAsia="Consolas"/>
          <w:b w:val="0"/>
          <w:i w:val="0"/>
          <w:color w:val="8A2C1F"/>
          <w:sz w:val="19"/>
        </w:rPr>
        <w:t>Cluster</w:t>
      </w:r>
      <w:r>
        <w:rPr>
          <w:b w:val="0"/>
          <w:i w:val="0"/>
          <w:sz w:val="21"/>
        </w:rPr>
        <w:t xml:space="preserve"> column but kept </w:t>
      </w:r>
      <w:r>
        <w:rPr>
          <w:rFonts w:ascii="Consolas" w:hAnsi="Consolas" w:eastAsia="Consolas"/>
          <w:b w:val="0"/>
          <w:i w:val="0"/>
          <w:color w:val="8A2C1F"/>
          <w:sz w:val="19"/>
        </w:rPr>
        <w:t>CustomerSegment</w:t>
      </w:r>
      <w:r>
        <w:rPr>
          <w:b w:val="0"/>
          <w:i w:val="0"/>
          <w:sz w:val="21"/>
        </w:rPr>
        <w:t xml:space="preserve"> as a categorical predictor. In the delivered model it ranked as the second most important feature by gain. A label chosen by consulting the outcome was being used to predict that outcome.</w:t>
      </w:r>
    </w:p>
    <w:p>
      <w:pPr>
        <w:keepNext/>
        <w:spacing w:before="240" w:after="80"/>
      </w:pPr>
      <w:r>
        <w:rPr>
          <w:b/>
          <w:color w:val="1B355E"/>
          <w:sz w:val="25"/>
        </w:rPr>
        <w:t>8.2  Why it mattered</w:t>
      </w:r>
    </w:p>
    <w:p>
      <w:pPr>
        <w:pStyle w:val="ListBullet"/>
        <w:spacing w:after="60" w:line="264" w:lineRule="auto"/>
        <w:ind w:left="547"/>
        <w:jc w:val="both"/>
      </w:pPr>
      <w:r>
        <w:rPr>
          <w:b/>
          <w:sz w:val="21"/>
        </w:rPr>
        <w:t xml:space="preserve">The reported score was optimistic by an unknown margin. </w:t>
      </w:r>
      <w:r>
        <w:rPr>
          <w:b w:val="0"/>
          <w:sz w:val="21"/>
        </w:rPr>
        <w:t>Test-row churn contributed to the median that selected each label, so information from the hold-out partition reached the training matrix.</w:t>
      </w:r>
    </w:p>
    <w:p>
      <w:pPr>
        <w:pStyle w:val="ListBullet"/>
        <w:spacing w:after="60" w:line="264" w:lineRule="auto"/>
        <w:ind w:left="547"/>
        <w:jc w:val="both"/>
      </w:pPr>
      <w:r>
        <w:rPr>
          <w:b/>
          <w:sz w:val="21"/>
        </w:rPr>
        <w:t xml:space="preserve">The label could not be reproduced at prediction time. </w:t>
      </w:r>
      <w:r>
        <w:rPr>
          <w:b w:val="0"/>
          <w:sz w:val="21"/>
        </w:rPr>
        <w:t>A new customer has no observed churn rate, so the training-time definition of the feature simply does not exist in production.</w:t>
      </w:r>
    </w:p>
    <w:p>
      <w:pPr>
        <w:pStyle w:val="ListBullet"/>
        <w:spacing w:after="60" w:line="264" w:lineRule="auto"/>
        <w:ind w:left="547"/>
        <w:jc w:val="both"/>
      </w:pPr>
      <w:r>
        <w:rPr>
          <w:b/>
          <w:sz w:val="21"/>
        </w:rPr>
        <w:t xml:space="preserve">It caused a real train/serve mismatch. </w:t>
      </w:r>
      <w:r>
        <w:rPr>
          <w:b w:val="0"/>
          <w:sz w:val="21"/>
        </w:rPr>
        <w:t>The dashboard worked around the impossibility with a hand-written rule on tenure and charges. That rule did not reproduce the trained clusters, so an uploaded customer could be scored with a segment the model had never associated with their behaviour. Section 10.2 covers this.</w:t>
      </w:r>
    </w:p>
    <w:p>
      <w:pPr>
        <w:keepNext/>
        <w:spacing w:before="240" w:after="80"/>
      </w:pPr>
      <w:r>
        <w:rPr>
          <w:b/>
          <w:color w:val="1B355E"/>
          <w:sz w:val="25"/>
        </w:rPr>
        <w:t>8.3  The correction</w:t>
      </w:r>
    </w:p>
    <w:p>
      <w:pPr>
        <w:spacing w:after="120" w:before="0"/>
        <w:jc w:val="both"/>
      </w:pPr>
      <w:r>
        <w:rPr>
          <w:b w:val="0"/>
          <w:i w:val="0"/>
          <w:sz w:val="21"/>
        </w:rPr>
        <w:t>Naming now depends only on where a cluster's centroid sits, using attributes known for any customer at prediction time. Churn rate is still reported for each cluster — it is an output of the analysis — but it is no longer an input to the label.</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name_segments_from_centroids(centroids):</w:t>
            </w:r>
          </w:p>
          <w:p>
            <w:pPr>
              <w:spacing w:after="0" w:before="0" w:line="240" w:lineRule="auto"/>
            </w:pPr>
            <w:r>
              <w:rPr>
                <w:rFonts w:ascii="Consolas" w:hAnsi="Consolas" w:eastAsia="Consolas"/>
                <w:color w:val="1A232E"/>
                <w:sz w:val="16"/>
              </w:rPr>
              <w:t xml:space="preserve">    """Name each cluster from where its centroid sits, never from its churn rate."""</w:t>
            </w:r>
          </w:p>
          <w:p>
            <w:pPr>
              <w:spacing w:after="0" w:before="0" w:line="240" w:lineRule="auto"/>
            </w:pPr>
            <w:r>
              <w:rPr>
                <w:rFonts w:ascii="Consolas" w:hAnsi="Consolas" w:eastAsia="Consolas"/>
                <w:color w:val="1A232E"/>
                <w:sz w:val="16"/>
              </w:rPr>
              <w:t xml:space="preserve">    tenure_median = centroids["tenure"].median()</w:t>
            </w:r>
          </w:p>
          <w:p>
            <w:pPr>
              <w:spacing w:after="0" w:before="0" w:line="240" w:lineRule="auto"/>
            </w:pPr>
            <w:r>
              <w:rPr>
                <w:rFonts w:ascii="Consolas" w:hAnsi="Consolas" w:eastAsia="Consolas"/>
                <w:color w:val="1A232E"/>
                <w:sz w:val="16"/>
              </w:rPr>
              <w:t xml:space="preserve">    charge_median = centroids["MonthlyCharges"].median()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names = {}</w:t>
            </w:r>
          </w:p>
          <w:p>
            <w:pPr>
              <w:spacing w:after="0" w:before="0" w:line="240" w:lineRule="auto"/>
            </w:pPr>
            <w:r>
              <w:rPr>
                <w:rFonts w:ascii="Consolas" w:hAnsi="Consolas" w:eastAsia="Consolas"/>
                <w:color w:val="1A232E"/>
                <w:sz w:val="16"/>
              </w:rPr>
              <w:t xml:space="preserve">    for cluster_id, row in centroids.iterrows():</w:t>
            </w:r>
          </w:p>
          <w:p>
            <w:pPr>
              <w:spacing w:after="0" w:before="0" w:line="240" w:lineRule="auto"/>
            </w:pPr>
            <w:r>
              <w:rPr>
                <w:rFonts w:ascii="Consolas" w:hAnsi="Consolas" w:eastAsia="Consolas"/>
                <w:color w:val="1A232E"/>
                <w:sz w:val="16"/>
              </w:rPr>
              <w:t xml:space="preserve">        established = row["tenure"] &gt;= tenure_median</w:t>
            </w:r>
          </w:p>
          <w:p>
            <w:pPr>
              <w:spacing w:after="0" w:before="0" w:line="240" w:lineRule="auto"/>
            </w:pPr>
            <w:r>
              <w:rPr>
                <w:rFonts w:ascii="Consolas" w:hAnsi="Consolas" w:eastAsia="Consolas"/>
                <w:color w:val="1A232E"/>
                <w:sz w:val="16"/>
              </w:rPr>
              <w:t xml:space="preserve">        high_spend  = row["MonthlyCharges"] &gt;= charge_median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if established and high_spend:        names[cluster_id] = "Established High-Value"</w:t>
            </w:r>
          </w:p>
          <w:p>
            <w:pPr>
              <w:spacing w:after="0" w:before="0" w:line="240" w:lineRule="auto"/>
            </w:pPr>
            <w:r>
              <w:rPr>
                <w:rFonts w:ascii="Consolas" w:hAnsi="Consolas" w:eastAsia="Consolas"/>
                <w:color w:val="1A232E"/>
                <w:sz w:val="16"/>
              </w:rPr>
              <w:t xml:space="preserve">        elif established and not high_spend:  names[cluster_id] = "Established Budget"</w:t>
            </w:r>
          </w:p>
          <w:p>
            <w:pPr>
              <w:spacing w:after="0" w:before="0" w:line="240" w:lineRule="auto"/>
            </w:pPr>
            <w:r>
              <w:rPr>
                <w:rFonts w:ascii="Consolas" w:hAnsi="Consolas" w:eastAsia="Consolas"/>
                <w:color w:val="1A232E"/>
                <w:sz w:val="16"/>
              </w:rPr>
              <w:t xml:space="preserve">        elif not established and high_spend:  names[cluster_id] = "New High-Spend"</w:t>
            </w:r>
          </w:p>
          <w:p>
            <w:pPr>
              <w:spacing w:after="0" w:before="0" w:line="240" w:lineRule="auto"/>
            </w:pPr>
            <w:r>
              <w:rPr>
                <w:rFonts w:ascii="Consolas" w:hAnsi="Consolas" w:eastAsia="Consolas"/>
                <w:color w:val="1A232E"/>
                <w:sz w:val="16"/>
              </w:rPr>
              <w:t xml:space="preserve">        else:                                 names[cluster_id] = "New Budget"</w:t>
            </w:r>
          </w:p>
          <w:p>
            <w:pPr>
              <w:spacing w:after="0" w:before="0" w:line="240" w:lineRule="auto"/>
            </w:pPr>
            <w:r>
              <w:rPr>
                <w:rFonts w:ascii="Consolas" w:hAnsi="Consolas" w:eastAsia="Consolas"/>
                <w:color w:val="1A232E"/>
                <w:sz w:val="16"/>
              </w:rPr>
              <w:t xml:space="preserve">    ...</w:t>
            </w:r>
          </w:p>
        </w:tc>
      </w:tr>
    </w:tbl>
    <w:p>
      <w:pPr>
        <w:spacing w:before="60" w:after="180"/>
        <w:jc w:val="center"/>
      </w:pPr>
      <w:r>
        <w:rPr>
          <w:i/>
          <w:color w:val="555F6B"/>
          <w:sz w:val="17"/>
        </w:rPr>
        <w:t>Listing 7: The corrected naming rule, in churn_features.py. No branch reads the target.</w:t>
      </w:r>
    </w:p>
    <w:p>
      <w:pPr>
        <w:spacing w:after="120" w:before="0"/>
        <w:jc w:val="both"/>
      </w:pPr>
      <w:r>
        <w:rPr>
          <w:b w:val="0"/>
          <w:i w:val="0"/>
          <w:sz w:val="21"/>
        </w:rPr>
        <w:t xml:space="preserve">The second half of the correction removes the label from the model matrix altogether. Because segment names are now a deterministic function of cluster geometry, </w:t>
      </w:r>
      <w:r>
        <w:rPr>
          <w:rFonts w:ascii="Consolas" w:hAnsi="Consolas" w:eastAsia="Consolas"/>
          <w:b w:val="0"/>
          <w:i w:val="0"/>
          <w:color w:val="8A2C1F"/>
          <w:sz w:val="19"/>
        </w:rPr>
        <w:t>Cluster</w:t>
      </w:r>
      <w:r>
        <w:rPr>
          <w:b w:val="0"/>
          <w:i w:val="0"/>
          <w:sz w:val="21"/>
        </w:rPr>
        <w:t xml:space="preserve"> and </w:t>
      </w:r>
      <w:r>
        <w:rPr>
          <w:rFonts w:ascii="Consolas" w:hAnsi="Consolas" w:eastAsia="Consolas"/>
          <w:b w:val="0"/>
          <w:i w:val="0"/>
          <w:color w:val="8A2C1F"/>
          <w:sz w:val="19"/>
        </w:rPr>
        <w:t>CustomerSegment</w:t>
      </w:r>
      <w:r>
        <w:rPr>
          <w:b w:val="0"/>
          <w:i w:val="0"/>
          <w:sz w:val="21"/>
        </w:rPr>
        <w:t xml:space="preserve"> carry identical information; passing both would simply duplicate it. The models receive </w:t>
      </w:r>
      <w:r>
        <w:rPr>
          <w:rFonts w:ascii="Consolas" w:hAnsi="Consolas" w:eastAsia="Consolas"/>
          <w:b w:val="0"/>
          <w:i w:val="0"/>
          <w:color w:val="8A2C1F"/>
          <w:sz w:val="19"/>
        </w:rPr>
        <w:t>Cluster</w:t>
      </w:r>
      <w:r>
        <w:rPr>
          <w:b w:val="0"/>
          <w:i w:val="0"/>
          <w:sz w:val="21"/>
        </w:rPr>
        <w:t>, cast to a nominal code so the encoder does not treat it as an ordinal quantity:</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MODEL_EXCLUDED_COLUMNS = ["customerID", "Churn", "ChurnFlag",</w:t>
            </w:r>
          </w:p>
          <w:p>
            <w:pPr>
              <w:spacing w:after="0" w:before="0" w:line="240" w:lineRule="auto"/>
            </w:pPr>
            <w:r>
              <w:rPr>
                <w:rFonts w:ascii="Consolas" w:hAnsi="Consolas" w:eastAsia="Consolas"/>
                <w:color w:val="1A232E"/>
                <w:sz w:val="16"/>
              </w:rPr>
              <w:t xml:space="preserve">                          "CustomerSegment"]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def build_model_matrix(df):</w:t>
            </w:r>
          </w:p>
          <w:p>
            <w:pPr>
              <w:spacing w:after="0" w:before="0" w:line="240" w:lineRule="auto"/>
            </w:pPr>
            <w:r>
              <w:rPr>
                <w:rFonts w:ascii="Consolas" w:hAnsi="Consolas" w:eastAsia="Consolas"/>
                <w:color w:val="1A232E"/>
                <w:sz w:val="16"/>
              </w:rPr>
              <w:t xml:space="preserve">    X = df.drop(columns=[c for c in MODEL_EXCLUDED_COLUMNS if c in df.columns])</w:t>
            </w:r>
          </w:p>
          <w:p>
            <w:pPr>
              <w:spacing w:after="0" w:before="0" w:line="240" w:lineRule="auto"/>
            </w:pPr>
            <w:r>
              <w:rPr>
                <w:rFonts w:ascii="Consolas" w:hAnsi="Consolas" w:eastAsia="Consolas"/>
                <w:color w:val="1A232E"/>
                <w:sz w:val="16"/>
              </w:rPr>
              <w:t xml:space="preserve">    return to_nominal_cluster(X)      # "Cluster_0", "Cluster_1", ...</w:t>
            </w:r>
          </w:p>
        </w:tc>
      </w:tr>
    </w:tbl>
    <w:p>
      <w:pPr>
        <w:spacing w:before="60" w:after="180"/>
        <w:jc w:val="center"/>
      </w:pPr>
      <w:r>
        <w:rPr>
          <w:i/>
          <w:color w:val="555F6B"/>
          <w:sz w:val="17"/>
        </w:rPr>
        <w:t>Listing 8: The model matrix helper. Cluster is cast to a string because, left as an integer, it would be scaled as though cluster 3 were three times cluster 1.</w:t>
      </w:r>
    </w:p>
    <w:p>
      <w:pPr>
        <w:keepNext/>
        <w:spacing w:before="240" w:after="80"/>
      </w:pPr>
      <w:r>
        <w:rPr>
          <w:b/>
          <w:color w:val="1B355E"/>
          <w:sz w:val="25"/>
        </w:rPr>
        <w:t>8.4  Verification</w:t>
      </w:r>
    </w:p>
    <w:p>
      <w:pPr>
        <w:spacing w:after="120" w:before="0"/>
        <w:jc w:val="both"/>
      </w:pPr>
      <w:r>
        <w:rPr>
          <w:b w:val="0"/>
          <w:i w:val="0"/>
          <w:sz w:val="21"/>
        </w:rPr>
        <w:t>The corrected naming produces four distinct, geometry-derived segments. Churn rate is shown here as a measured property of each segment, not as an input to its name — and the segments still separate churn strongly, from 4.44 % to 47.37 %, which is the evidence that behavioural clustering finds real structure without being told the answer.</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
              <w:rPr>
                <w:rFonts w:ascii="Consolas" w:hAnsi="Consolas" w:eastAsia="Consolas"/>
                <w:color w:val="E6ECF2"/>
                <w:sz w:val="16"/>
              </w:rPr>
              <w:t>4. SEGMENT NAMING (CENTROID-BASED, TARGET-FREE)</w:t>
            </w:r>
          </w:p>
          <w:p>
            <w:pPr>
              <w:spacing w:after="0" w:before="0" w:line="240" w:lineRule="auto"/>
            </w:pPr>
            <w:r>
              <w:rPr>
                <w:rFonts w:ascii="Consolas" w:hAnsi="Consolas" w:eastAsia="Consolas"/>
                <w:color w:val="E6ECF2"/>
                <w:sz w:val="16"/>
              </w:rPr>
              <w:t>Naming inputs: mean tenure and mean monthly charges per cluster.</w:t>
            </w:r>
          </w:p>
          <w:p>
            <w:pPr>
              <w:spacing w:after="0" w:before="0" w:line="240" w:lineRule="auto"/>
            </w:pPr>
            <w:r>
              <w:rPr>
                <w:rFonts w:ascii="Consolas" w:hAnsi="Consolas" w:eastAsia="Consolas"/>
                <w:color w:val="E6ECF2"/>
                <w:sz w:val="16"/>
              </w:rPr>
              <w:t>Churn rate is NOT used, so the label carries no target information.</w:t>
            </w:r>
          </w:p>
          <w:p>
            <w:pPr>
              <w:spacing w:after="0" w:before="0" w:line="240" w:lineRule="auto"/>
            </w:pPr>
            <w:r>
              <w:rPr>
                <w:rFonts w:ascii="Consolas" w:hAnsi="Consolas" w:eastAsia="Consolas"/>
                <w:color w:val="E6ECF2"/>
                <w:sz w:val="16"/>
              </w:rPr>
              <w:t>Cluster 0: New Budget              (tenure=10.16, monthly=29.58, services=0.30)</w:t>
            </w:r>
          </w:p>
          <w:p>
            <w:pPr>
              <w:spacing w:after="0" w:before="0" w:line="240" w:lineRule="auto"/>
            </w:pPr>
            <w:r>
              <w:rPr>
                <w:rFonts w:ascii="Consolas" w:hAnsi="Consolas" w:eastAsia="Consolas"/>
                <w:color w:val="E6ECF2"/>
                <w:sz w:val="16"/>
              </w:rPr>
              <w:t>Cluster 1: Established High-Value  (tenure=56.89, monthly=90.59, services=4.16)</w:t>
            </w:r>
          </w:p>
          <w:p>
            <w:pPr>
              <w:spacing w:after="0" w:before="0" w:line="240" w:lineRule="auto"/>
            </w:pPr>
            <w:r>
              <w:rPr>
                <w:rFonts w:ascii="Consolas" w:hAnsi="Consolas" w:eastAsia="Consolas"/>
                <w:color w:val="E6ECF2"/>
                <w:sz w:val="16"/>
              </w:rPr>
              <w:t>Cluster 2: Established Budget      (tenure=54.54, monthly=31.81, services=0.58)</w:t>
            </w:r>
          </w:p>
          <w:p>
            <w:pPr>
              <w:spacing w:after="0" w:before="0" w:line="240" w:lineRule="auto"/>
            </w:pPr>
            <w:r>
              <w:rPr>
                <w:rFonts w:ascii="Consolas" w:hAnsi="Consolas" w:eastAsia="Consolas"/>
                <w:color w:val="E6ECF2"/>
                <w:sz w:val="16"/>
              </w:rPr>
              <w:t>Cluster 3: New High-Spend          (tenure=15.05, monthly=77.58, services=1.83)</w:t>
            </w:r>
          </w:p>
        </w:tc>
      </w:tr>
    </w:tbl>
    <w:p>
      <w:pPr>
        <w:spacing w:before="60" w:after="180"/>
        <w:jc w:val="center"/>
      </w:pPr>
      <w:r>
        <w:rPr>
          <w:i/>
          <w:color w:val="555F6B"/>
          <w:sz w:val="17"/>
        </w:rPr>
        <w:t>Listing 9: Phase 5 console output after the correction.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4392"/>
        <w:gridCol w:w="4924"/>
      </w:tblGrid>
      <w:tr>
        <w:tc>
          <w:tcPr>
            <w:tcW w:type="dxa" w:w="4392"/>
            <w:shd w:val="clear" w:color="auto" w:fill="1B355E"/>
          </w:tcPr>
          <w:p>
            <w:pPr>
              <w:spacing w:after="20" w:before="20"/>
              <w:jc w:val="center"/>
            </w:pPr>
            <w:r>
              <w:rPr>
                <w:b/>
                <w:color w:val="FFFFFF"/>
                <w:sz w:val="17"/>
              </w:rPr>
              <w:t>Check</w:t>
            </w:r>
          </w:p>
        </w:tc>
        <w:tc>
          <w:tcPr>
            <w:tcW w:type="dxa" w:w="4925"/>
            <w:shd w:val="clear" w:color="auto" w:fill="1B355E"/>
          </w:tcPr>
          <w:p>
            <w:pPr>
              <w:spacing w:after="20" w:before="20"/>
              <w:jc w:val="center"/>
            </w:pPr>
            <w:r>
              <w:rPr>
                <w:b/>
                <w:color w:val="FFFFFF"/>
                <w:sz w:val="17"/>
              </w:rPr>
              <w:t>Result</w:t>
            </w:r>
          </w:p>
        </w:tc>
      </w:tr>
      <w:tr>
        <w:tc>
          <w:tcPr>
            <w:tcW w:type="dxa" w:w="4392"/>
          </w:tcPr>
          <w:p>
            <w:pPr>
              <w:spacing w:after="20" w:before="20" w:line="254" w:lineRule="auto"/>
              <w:jc w:val="left"/>
            </w:pPr>
            <w:r>
              <w:rPr>
                <w:rFonts w:ascii="Consolas" w:hAnsi="Consolas" w:eastAsia="Consolas"/>
                <w:color w:val="8A2C1F"/>
                <w:sz w:val="16"/>
              </w:rPr>
              <w:t>ChurnRate</w:t>
            </w:r>
            <w:r>
              <w:rPr>
                <w:sz w:val="17"/>
              </w:rPr>
              <w:t xml:space="preserve"> referenced in the naming rule</w:t>
            </w:r>
          </w:p>
        </w:tc>
        <w:tc>
          <w:tcPr>
            <w:tcW w:type="dxa" w:w="4925"/>
          </w:tcPr>
          <w:p>
            <w:pPr>
              <w:spacing w:after="20" w:before="20" w:line="254" w:lineRule="auto"/>
              <w:jc w:val="center"/>
            </w:pPr>
            <w:r>
              <w:rPr>
                <w:b/>
                <w:sz w:val="17"/>
              </w:rPr>
              <w:t>No</w:t>
            </w:r>
            <w:r>
              <w:rPr>
                <w:sz w:val="17"/>
              </w:rPr>
              <w:t xml:space="preserve"> — removed</w:t>
            </w:r>
          </w:p>
        </w:tc>
      </w:tr>
      <w:tr>
        <w:tc>
          <w:tcPr>
            <w:tcW w:type="dxa" w:w="4392"/>
            <w:shd w:val="clear" w:color="auto" w:fill="F2F5F9"/>
          </w:tcPr>
          <w:p>
            <w:pPr>
              <w:spacing w:after="20" w:before="20" w:line="254" w:lineRule="auto"/>
              <w:jc w:val="left"/>
            </w:pPr>
            <w:r>
              <w:rPr>
                <w:rFonts w:ascii="Consolas" w:hAnsi="Consolas" w:eastAsia="Consolas"/>
                <w:color w:val="8A2C1F"/>
                <w:sz w:val="16"/>
              </w:rPr>
              <w:t>CustomerSegment</w:t>
            </w:r>
            <w:r>
              <w:rPr>
                <w:sz w:val="17"/>
              </w:rPr>
              <w:t xml:space="preserve"> present in the model matrix</w:t>
            </w:r>
          </w:p>
        </w:tc>
        <w:tc>
          <w:tcPr>
            <w:tcW w:type="dxa" w:w="4925"/>
            <w:shd w:val="clear" w:color="auto" w:fill="F2F5F9"/>
          </w:tcPr>
          <w:p>
            <w:pPr>
              <w:spacing w:after="20" w:before="20" w:line="254" w:lineRule="auto"/>
              <w:jc w:val="center"/>
            </w:pPr>
            <w:r>
              <w:rPr>
                <w:b/>
                <w:sz w:val="17"/>
              </w:rPr>
              <w:t>No</w:t>
            </w:r>
            <w:r>
              <w:rPr>
                <w:sz w:val="17"/>
              </w:rPr>
              <w:t xml:space="preserve"> — excluded</w:t>
            </w:r>
          </w:p>
        </w:tc>
      </w:tr>
      <w:tr>
        <w:tc>
          <w:tcPr>
            <w:tcW w:type="dxa" w:w="4392"/>
          </w:tcPr>
          <w:p>
            <w:pPr>
              <w:spacing w:after="20" w:before="20" w:line="254" w:lineRule="auto"/>
              <w:jc w:val="left"/>
            </w:pPr>
            <w:r>
              <w:rPr>
                <w:rFonts w:ascii="Consolas" w:hAnsi="Consolas" w:eastAsia="Consolas"/>
                <w:color w:val="8A2C1F"/>
                <w:sz w:val="16"/>
              </w:rPr>
              <w:t>Cluster</w:t>
            </w:r>
            <w:r>
              <w:rPr>
                <w:sz w:val="17"/>
              </w:rPr>
              <w:t xml:space="preserve"> present in the model matrix</w:t>
            </w:r>
          </w:p>
        </w:tc>
        <w:tc>
          <w:tcPr>
            <w:tcW w:type="dxa" w:w="4925"/>
          </w:tcPr>
          <w:p>
            <w:pPr>
              <w:spacing w:after="20" w:before="20" w:line="254" w:lineRule="auto"/>
              <w:jc w:val="left"/>
            </w:pPr>
            <w:r>
              <w:rPr>
                <w:sz w:val="17"/>
              </w:rPr>
              <w:t>Yes, as a nominal code (</w:t>
            </w:r>
            <w:r>
              <w:rPr>
                <w:rFonts w:ascii="Consolas" w:hAnsi="Consolas" w:eastAsia="Consolas"/>
                <w:color w:val="8A2C1F"/>
                <w:sz w:val="16"/>
              </w:rPr>
              <w:t>Cluster_0</w:t>
            </w:r>
            <w:r>
              <w:rPr>
                <w:sz w:val="17"/>
              </w:rPr>
              <w:t xml:space="preserve"> … </w:t>
            </w:r>
            <w:r>
              <w:rPr>
                <w:rFonts w:ascii="Consolas" w:hAnsi="Consolas" w:eastAsia="Consolas"/>
                <w:color w:val="8A2C1F"/>
                <w:sz w:val="16"/>
              </w:rPr>
              <w:t>Cluster_3</w:t>
            </w:r>
            <w:r>
              <w:rPr>
                <w:sz w:val="17"/>
              </w:rPr>
              <w:t>)</w:t>
            </w:r>
          </w:p>
        </w:tc>
      </w:tr>
      <w:tr>
        <w:tc>
          <w:tcPr>
            <w:tcW w:type="dxa" w:w="4392"/>
            <w:shd w:val="clear" w:color="auto" w:fill="F2F5F9"/>
          </w:tcPr>
          <w:p>
            <w:pPr>
              <w:spacing w:after="20" w:before="20" w:line="254" w:lineRule="auto"/>
              <w:jc w:val="left"/>
            </w:pPr>
            <w:r>
              <w:rPr>
                <w:rFonts w:ascii="Consolas" w:hAnsi="Consolas" w:eastAsia="Consolas"/>
                <w:color w:val="8A2C1F"/>
                <w:sz w:val="16"/>
              </w:rPr>
              <w:t>CustomerSegment</w:t>
            </w:r>
            <w:r>
              <w:rPr>
                <w:sz w:val="17"/>
              </w:rPr>
              <w:t xml:space="preserve"> in the final feature-importance ranking</w:t>
            </w:r>
          </w:p>
        </w:tc>
        <w:tc>
          <w:tcPr>
            <w:tcW w:type="dxa" w:w="4925"/>
            <w:shd w:val="clear" w:color="auto" w:fill="F2F5F9"/>
          </w:tcPr>
          <w:p>
            <w:pPr>
              <w:spacing w:after="20" w:before="20" w:line="254" w:lineRule="auto"/>
              <w:jc w:val="left"/>
            </w:pPr>
            <w:r>
              <w:rPr>
                <w:b/>
                <w:sz w:val="17"/>
              </w:rPr>
              <w:t>Absent</w:t>
            </w:r>
            <w:r>
              <w:rPr>
                <w:sz w:val="17"/>
              </w:rPr>
              <w:t xml:space="preserve"> — it is no longer a model input</w:t>
            </w:r>
          </w:p>
        </w:tc>
      </w:tr>
      <w:tr>
        <w:tc>
          <w:tcPr>
            <w:tcW w:type="dxa" w:w="4392"/>
          </w:tcPr>
          <w:p>
            <w:pPr>
              <w:spacing w:after="20" w:before="20" w:line="254" w:lineRule="auto"/>
              <w:jc w:val="left"/>
            </w:pPr>
            <w:r>
              <w:rPr>
                <w:sz w:val="17"/>
              </w:rPr>
              <w:t>Duplicate segment names</w:t>
            </w:r>
          </w:p>
        </w:tc>
        <w:tc>
          <w:tcPr>
            <w:tcW w:type="dxa" w:w="4925"/>
          </w:tcPr>
          <w:p>
            <w:pPr>
              <w:spacing w:after="20" w:before="20" w:line="254" w:lineRule="auto"/>
              <w:jc w:val="left"/>
            </w:pPr>
            <w:r>
              <w:rPr>
                <w:b/>
                <w:sz w:val="17"/>
              </w:rPr>
              <w:t>None</w:t>
            </w:r>
            <w:r>
              <w:rPr>
                <w:sz w:val="17"/>
              </w:rPr>
              <w:t xml:space="preserve"> — the delivered code produced "New &amp; Fragile" and "New &amp; Fragile 2"</w:t>
            </w:r>
          </w:p>
        </w:tc>
      </w:tr>
      <w:tr>
        <w:tc>
          <w:tcPr>
            <w:tcW w:type="dxa" w:w="4392"/>
            <w:shd w:val="clear" w:color="auto" w:fill="F2F5F9"/>
          </w:tcPr>
          <w:p>
            <w:pPr>
              <w:spacing w:after="20" w:before="20" w:line="254" w:lineRule="auto"/>
              <w:jc w:val="left"/>
            </w:pPr>
            <w:r>
              <w:rPr>
                <w:sz w:val="17"/>
              </w:rPr>
              <w:t>Segment still available to phase 9 and the dashboard</w:t>
            </w:r>
          </w:p>
        </w:tc>
        <w:tc>
          <w:tcPr>
            <w:tcW w:type="dxa" w:w="4925"/>
            <w:shd w:val="clear" w:color="auto" w:fill="F2F5F9"/>
          </w:tcPr>
          <w:p>
            <w:pPr>
              <w:spacing w:after="20" w:before="20" w:line="254" w:lineRule="auto"/>
              <w:jc w:val="left"/>
            </w:pPr>
            <w:r>
              <w:rPr>
                <w:sz w:val="17"/>
              </w:rPr>
              <w:t>Yes — carried through as a presentation label</w:t>
            </w:r>
          </w:p>
        </w:tc>
      </w:tr>
    </w:tbl>
    <w:p>
      <w:pPr>
        <w:spacing w:before="60" w:after="200"/>
        <w:jc w:val="center"/>
      </w:pPr>
      <w:r>
        <w:rPr>
          <w:i/>
          <w:color w:val="555F6B"/>
          <w:sz w:val="17"/>
        </w:rPr>
        <w:t>Table 13: Verification checks confirming the leakage is removed while the business label remains available for reporting.</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The duplicate-name defect was fixed as a side effect.</w:t>
            </w:r>
          </w:p>
          <w:p>
            <w:pPr>
              <w:spacing w:after="0"/>
              <w:jc w:val="both"/>
            </w:pPr>
            <w:r>
              <w:rPr>
                <w:sz w:val="19"/>
              </w:rPr>
              <w:t>The delivered rule classified two very different clusters identically, and a de-duplication branch appended a numeral, yielding "New &amp; Fragile" and "New &amp; Fragile 2". Those two clusters differ sharply — 29.58 against 77.58 in mean monthly charges, and 24.19 % against 47.37 % churn — so the shared root name obscured exactly the distinction the retention strategy depends on. The centroid rule separates them by construction, as "New Budget" and "New High-Spend".</w:t>
            </w:r>
          </w:p>
        </w:tc>
      </w:tr>
    </w:tbl>
    <w:p>
      <w:pPr>
        <w:spacing w:after="120"/>
      </w:pPr>
    </w:p>
    <w:p>
      <w:r>
        <w:br w:type="page"/>
      </w:r>
    </w:p>
    <w:p>
      <w:pPr>
        <w:spacing w:after="0"/>
      </w:pPr>
    </w:p>
    <w:p>
      <w:pPr>
        <w:keepNext/>
        <w:spacing w:before="80" w:after="40"/>
        <w:pBdr>
          <w:bottom w:val="single" w:sz="10" w:space="3" w:color="1B355E"/>
        </w:pBdr>
      </w:pPr>
      <w:r>
        <w:rPr>
          <w:b/>
          <w:color w:val="1B355E"/>
          <w:sz w:val="30"/>
        </w:rPr>
        <w:t>9.  Defect 3 — Unused Phase 4 Derived Features</w:t>
      </w:r>
    </w:p>
    <w:p>
      <w:pPr>
        <w:spacing w:after="40"/>
      </w:pPr>
    </w:p>
    <w:p>
      <w:pPr>
        <w:keepNext/>
        <w:spacing w:before="240" w:after="80"/>
      </w:pPr>
      <w:r>
        <w:rPr>
          <w:b/>
          <w:color w:val="1B355E"/>
          <w:sz w:val="25"/>
        </w:rPr>
        <w:t>9.1  The defect</w:t>
      </w:r>
    </w:p>
    <w:p>
      <w:pPr>
        <w:spacing w:after="120" w:before="0"/>
        <w:jc w:val="both"/>
      </w:pPr>
      <w:r>
        <w:rPr>
          <w:b w:val="0"/>
          <w:i w:val="0"/>
          <w:sz w:val="21"/>
        </w:rPr>
        <w:t>Phase 4 constructed seven engineered features, one-hot encoded every categorical column, standardised every numeric column and wrote a 36-column model-ready dataset. Phase 6 then opened Customer-Churn-Segmented.csv instead — the phase 5 output, built from the cleaned file. Phases 7 and 8 did the same.</w:t>
      </w:r>
    </w:p>
    <w:p>
      <w:pPr>
        <w:spacing w:after="120" w:before="0"/>
        <w:jc w:val="both"/>
      </w:pPr>
      <w:r>
        <w:rPr>
          <w:b w:val="0"/>
          <w:i w:val="0"/>
          <w:sz w:val="21"/>
        </w:rPr>
        <w:t>The result was that ARPU, ChargeRatio, TenureBand, ContractRiskFlag, ValueTier and AutoPayFlag never reached any model. Only ServiceCount survived, and only because phase 5 happened to recompute it independently. Six of the seven engineered features — and with them the entire analytical justification for phase 4 — were computed, written to disk and discarded.</w:t>
      </w:r>
    </w:p>
    <w:p>
      <w:pPr>
        <w:keepNext/>
        <w:spacing w:before="240" w:after="80"/>
      </w:pPr>
      <w:r>
        <w:rPr>
          <w:b/>
          <w:color w:val="1B355E"/>
          <w:sz w:val="25"/>
        </w:rPr>
        <w:t>9.2  Why a direct merge of the phase 4 output would have been wrong</w:t>
      </w:r>
    </w:p>
    <w:p>
      <w:pPr>
        <w:spacing w:after="120" w:before="0"/>
        <w:jc w:val="both"/>
      </w:pPr>
      <w:r>
        <w:rPr>
          <w:b w:val="0"/>
          <w:i w:val="0"/>
          <w:sz w:val="21"/>
        </w:rPr>
        <w:t xml:space="preserve">The obvious fix is to point phase 6 at Customer-Churn-Model-Ready.csv. That would introduce a subtler problem. Phase 4 scales its output with a </w:t>
      </w:r>
      <w:r>
        <w:rPr>
          <w:rFonts w:ascii="Consolas" w:hAnsi="Consolas" w:eastAsia="Consolas"/>
          <w:b w:val="0"/>
          <w:i w:val="0"/>
          <w:color w:val="8A2C1F"/>
          <w:sz w:val="19"/>
        </w:rPr>
        <w:t>StandardScaler</w:t>
      </w:r>
      <w:r>
        <w:rPr>
          <w:b w:val="0"/>
          <w:i w:val="0"/>
          <w:sz w:val="21"/>
        </w:rPr>
        <w:t xml:space="preserve"> fitted on the entire dataset, whereas phases 6 to 8 fit their own scaler inside a </w:t>
      </w:r>
      <w:r>
        <w:rPr>
          <w:rFonts w:ascii="Consolas" w:hAnsi="Consolas" w:eastAsia="Consolas"/>
          <w:b w:val="0"/>
          <w:i w:val="0"/>
          <w:color w:val="8A2C1F"/>
          <w:sz w:val="19"/>
        </w:rPr>
        <w:t>ColumnTransformer</w:t>
      </w:r>
      <w:r>
        <w:rPr>
          <w:b w:val="0"/>
          <w:i w:val="0"/>
          <w:sz w:val="21"/>
        </w:rPr>
        <w:t xml:space="preserve"> that sees only the training rows of each cross-validation fold. Feeding them pre-scaled columns would both scale the data twice and leak the test distribution into training through the fitted means and standard deviations — trading one leakage defect for another.</w:t>
      </w:r>
    </w:p>
    <w:p>
      <w:pPr>
        <w:spacing w:after="120" w:before="0"/>
        <w:jc w:val="both"/>
      </w:pPr>
      <w:r>
        <w:rPr>
          <w:b w:val="0"/>
          <w:i w:val="0"/>
          <w:sz w:val="21"/>
        </w:rPr>
        <w:t xml:space="preserve">The correction therefore moves </w:t>
      </w:r>
      <w:r>
        <w:rPr>
          <w:b/>
          <w:i w:val="0"/>
          <w:sz w:val="21"/>
        </w:rPr>
        <w:t>unscaled</w:t>
      </w:r>
      <w:r>
        <w:rPr>
          <w:b w:val="0"/>
          <w:i w:val="0"/>
          <w:sz w:val="21"/>
        </w:rPr>
        <w:t xml:space="preserve"> features, leaving all scaling to the existing leakage-safe pipeline.</w:t>
      </w:r>
    </w:p>
    <w:p>
      <w:pPr>
        <w:keepNext/>
        <w:spacing w:before="240" w:after="80"/>
      </w:pPr>
      <w:r>
        <w:rPr>
          <w:b/>
          <w:color w:val="1B355E"/>
          <w:sz w:val="25"/>
        </w:rPr>
        <w:t>9.3  The correction</w:t>
      </w:r>
    </w:p>
    <w:p>
      <w:pPr>
        <w:keepNext/>
        <w:spacing w:before="200" w:after="60"/>
      </w:pPr>
      <w:r>
        <w:rPr>
          <w:b/>
          <w:color w:val="0B5C7A"/>
          <w:sz w:val="22"/>
        </w:rPr>
        <w:t>Phase 4 exports raw feature values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unscaled_features = df[[ID_COLUMN] + ENGINEERED_FEATURE_COLUMNS].copy()</w:t>
            </w:r>
          </w:p>
          <w:p>
            <w:pPr>
              <w:spacing w:after="0" w:before="0" w:line="240" w:lineRule="auto"/>
            </w:pPr>
            <w:r>
              <w:rPr>
                <w:rFonts w:ascii="Consolas" w:hAnsi="Consolas" w:eastAsia="Consolas"/>
                <w:color w:val="1A232E"/>
                <w:sz w:val="16"/>
              </w:rPr>
              <w:t>unscaled_features.to_csv(FEATURES_FILE, index=False)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print(f"Rows exported: {len(unscaled_features)}")</w:t>
            </w:r>
          </w:p>
          <w:p>
            <w:pPr>
              <w:spacing w:after="0" w:before="0" w:line="240" w:lineRule="auto"/>
            </w:pPr>
            <w:r>
              <w:rPr>
                <w:rFonts w:ascii="Consolas" w:hAnsi="Consolas" w:eastAsia="Consolas"/>
                <w:color w:val="1A232E"/>
                <w:sz w:val="16"/>
              </w:rPr>
              <w:t>print(f"Feature columns: {ENGINEERED_FEATURE_COLUMNS}")</w:t>
            </w:r>
          </w:p>
        </w:tc>
      </w:tr>
    </w:tbl>
    <w:p>
      <w:pPr>
        <w:spacing w:before="60" w:after="180"/>
        <w:jc w:val="center"/>
      </w:pPr>
      <w:r>
        <w:rPr>
          <w:i/>
          <w:color w:val="555F6B"/>
          <w:sz w:val="17"/>
        </w:rPr>
        <w:t>Listing 10: Phase 4 writes Customer-Churn-Features-Unscaled.csv alongside its existing output.</w:t>
      </w:r>
    </w:p>
    <w:p>
      <w:pPr>
        <w:keepNext/>
        <w:spacing w:before="200" w:after="60"/>
      </w:pPr>
      <w:r>
        <w:rPr>
          <w:b/>
          <w:color w:val="0B5C7A"/>
          <w:sz w:val="22"/>
        </w:rPr>
        <w:t>Phase 5 merges them, and refuses to proceed silently if they are missing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if os.path.exists(FEATURES_FILE):</w:t>
            </w:r>
          </w:p>
          <w:p>
            <w:pPr>
              <w:spacing w:after="0" w:before="0" w:line="240" w:lineRule="auto"/>
            </w:pPr>
            <w:r>
              <w:rPr>
                <w:rFonts w:ascii="Consolas" w:hAnsi="Consolas" w:eastAsia="Consolas"/>
                <w:color w:val="1A232E"/>
                <w:sz w:val="16"/>
              </w:rPr>
              <w:t xml:space="preserve">    engineered = pd.read_csv(FEATURES_FILE)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 ServiceCount already exists on df and is identical by construction.</w:t>
            </w:r>
          </w:p>
          <w:p>
            <w:pPr>
              <w:spacing w:after="0" w:before="0" w:line="240" w:lineRule="auto"/>
            </w:pPr>
            <w:r>
              <w:rPr>
                <w:rFonts w:ascii="Consolas" w:hAnsi="Consolas" w:eastAsia="Consolas"/>
                <w:color w:val="1A232E"/>
                <w:sz w:val="16"/>
              </w:rPr>
              <w:t xml:space="preserve">    merge_columns = ["customerID"] + [</w:t>
            </w:r>
          </w:p>
          <w:p>
            <w:pPr>
              <w:spacing w:after="0" w:before="0" w:line="240" w:lineRule="auto"/>
            </w:pPr>
            <w:r>
              <w:rPr>
                <w:rFonts w:ascii="Consolas" w:hAnsi="Consolas" w:eastAsia="Consolas"/>
                <w:color w:val="1A232E"/>
                <w:sz w:val="16"/>
              </w:rPr>
              <w:t xml:space="preserve">        column for column in ENGINEERED_FEATURE_COLUMNS</w:t>
            </w:r>
          </w:p>
          <w:p>
            <w:pPr>
              <w:spacing w:after="0" w:before="0" w:line="240" w:lineRule="auto"/>
            </w:pPr>
            <w:r>
              <w:rPr>
                <w:rFonts w:ascii="Consolas" w:hAnsi="Consolas" w:eastAsia="Consolas"/>
                <w:color w:val="1A232E"/>
                <w:sz w:val="16"/>
              </w:rPr>
              <w:t xml:space="preserve">        if column != "ServiceCount"</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df = df.merge(engineered[merge_columns], on="customerID", how="left")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unmatched = df[merge_columns[1]].isna().sum()</w:t>
            </w:r>
          </w:p>
          <w:p>
            <w:pPr>
              <w:spacing w:after="0" w:before="0" w:line="240" w:lineRule="auto"/>
            </w:pPr>
            <w:r>
              <w:rPr>
                <w:rFonts w:ascii="Consolas" w:hAnsi="Consolas" w:eastAsia="Consolas"/>
                <w:color w:val="1A232E"/>
                <w:sz w:val="16"/>
              </w:rPr>
              <w:t xml:space="preserve">    print(f"Rows without a matching engineered record: {unmatched}")</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if unmatched &gt; 0:</w:t>
            </w:r>
          </w:p>
          <w:p>
            <w:pPr>
              <w:spacing w:after="0" w:before="0" w:line="240" w:lineRule="auto"/>
            </w:pPr>
            <w:r>
              <w:rPr>
                <w:rFonts w:ascii="Consolas" w:hAnsi="Consolas" w:eastAsia="Consolas"/>
                <w:color w:val="1A232E"/>
                <w:sz w:val="16"/>
              </w:rPr>
              <w:t xml:space="preserve">        raise SystemExit("Engineered features are missing for some customers. "</w:t>
            </w:r>
          </w:p>
          <w:p>
            <w:pPr>
              <w:spacing w:after="0" w:before="0" w:line="240" w:lineRule="auto"/>
            </w:pPr>
            <w:r>
              <w:rPr>
                <w:rFonts w:ascii="Consolas" w:hAnsi="Consolas" w:eastAsia="Consolas"/>
                <w:color w:val="1A232E"/>
                <w:sz w:val="16"/>
              </w:rPr>
              <w:t xml:space="preserve">                         "Re-run phase 4 before phase 5.")</w:t>
            </w:r>
          </w:p>
          <w:p>
            <w:pPr>
              <w:spacing w:after="0" w:before="0" w:line="240" w:lineRule="auto"/>
            </w:pPr>
            <w:r>
              <w:rPr>
                <w:rFonts w:ascii="Consolas" w:hAnsi="Consolas" w:eastAsia="Consolas"/>
                <w:color w:val="1A232E"/>
                <w:sz w:val="16"/>
              </w:rPr>
              <w:t>else:</w:t>
            </w:r>
          </w:p>
          <w:p>
            <w:pPr>
              <w:spacing w:after="0" w:before="0" w:line="240" w:lineRule="auto"/>
            </w:pPr>
            <w:r>
              <w:rPr>
                <w:rFonts w:ascii="Consolas" w:hAnsi="Consolas" w:eastAsia="Consolas"/>
                <w:color w:val="1A232E"/>
                <w:sz w:val="16"/>
              </w:rPr>
              <w:t xml:space="preserve">    raise SystemExit(f"Required input not found: {FEATURES_FILE}")</w:t>
            </w:r>
          </w:p>
        </w:tc>
      </w:tr>
    </w:tbl>
    <w:p>
      <w:pPr>
        <w:spacing w:before="60" w:after="180"/>
        <w:jc w:val="center"/>
      </w:pPr>
      <w:r>
        <w:rPr>
          <w:i/>
          <w:color w:val="555F6B"/>
          <w:sz w:val="17"/>
        </w:rPr>
        <w:t>Listing 11: The merge in phase 5, with an integrity check. A silent partial merge would reproduce defect 3 in a harder-to-detect form.</w:t>
      </w:r>
    </w:p>
    <w:p>
      <w:pPr>
        <w:spacing w:after="120" w:before="0"/>
        <w:jc w:val="both"/>
      </w:pPr>
      <w:r>
        <w:rPr>
          <w:b w:val="0"/>
          <w:i w:val="0"/>
          <w:sz w:val="21"/>
        </w:rPr>
        <w:t>The explicit failure paths matter more than the merge itself. Defect 3 persisted because a missing feature is invisible — the pipeline runs, the models train, the metrics look plausible. Failing loudly on a missing file or an unmatched row converts a silent degradation into an obvious error.</w:t>
      </w:r>
    </w:p>
    <w:p>
      <w:pPr>
        <w:keepNext/>
        <w:spacing w:before="240" w:after="80"/>
      </w:pPr>
      <w:r>
        <w:rPr>
          <w:b/>
          <w:color w:val="1B355E"/>
          <w:sz w:val="25"/>
        </w:rPr>
        <w:t>9.4  Verification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
              <w:rPr>
                <w:rFonts w:ascii="Consolas" w:hAnsi="Consolas" w:eastAsia="Consolas"/>
                <w:color w:val="E6ECF2"/>
                <w:sz w:val="16"/>
              </w:rPr>
              <w:t>7. ENGINEERED FEATURE MERGE</w:t>
            </w:r>
          </w:p>
          <w:p>
            <w:pPr>
              <w:spacing w:after="0" w:before="0" w:line="240" w:lineRule="auto"/>
            </w:pPr>
            <w:r>
              <w:rPr>
                <w:rFonts w:ascii="Consolas" w:hAnsi="Consolas" w:eastAsia="Consolas"/>
                <w:color w:val="E6ECF2"/>
                <w:sz w:val="16"/>
              </w:rPr>
              <w:t>Merged from: data/Customer-Churn-Features-Unscaled.csv</w:t>
            </w:r>
          </w:p>
          <w:p>
            <w:pPr>
              <w:spacing w:after="0" w:before="0" w:line="240" w:lineRule="auto"/>
            </w:pPr>
            <w:r>
              <w:rPr>
                <w:rFonts w:ascii="Consolas" w:hAnsi="Consolas" w:eastAsia="Consolas"/>
                <w:color w:val="E6ECF2"/>
                <w:sz w:val="16"/>
              </w:rPr>
              <w:t>Columns added: 6</w:t>
            </w:r>
          </w:p>
          <w:p>
            <w:pPr>
              <w:spacing w:after="0" w:before="0" w:line="240" w:lineRule="auto"/>
            </w:pPr>
            <w:r>
              <w:rPr>
                <w:rFonts w:ascii="Consolas" w:hAnsi="Consolas" w:eastAsia="Consolas"/>
                <w:color w:val="E6ECF2"/>
                <w:sz w:val="16"/>
              </w:rPr>
              <w:t>Features now available to phases 6-8: ['TenureBand', 'ARPU', 'ChargeRatio',</w:t>
            </w:r>
          </w:p>
          <w:p>
            <w:pPr>
              <w:spacing w:after="0" w:before="0" w:line="240" w:lineRule="auto"/>
            </w:pPr>
            <w:r>
              <w:rPr>
                <w:rFonts w:ascii="Consolas" w:hAnsi="Consolas" w:eastAsia="Consolas"/>
                <w:color w:val="E6ECF2"/>
                <w:sz w:val="16"/>
              </w:rPr>
              <w:t xml:space="preserve">                                      'ContractRiskFlag', 'ValueTier', 'AutoPayFlag']</w:t>
            </w:r>
          </w:p>
          <w:p>
            <w:pPr>
              <w:spacing w:after="0" w:before="0" w:line="240" w:lineRule="auto"/>
            </w:pPr>
            <w:r>
              <w:rPr>
                <w:rFonts w:ascii="Consolas" w:hAnsi="Consolas" w:eastAsia="Consolas"/>
                <w:color w:val="E6ECF2"/>
                <w:sz w:val="16"/>
              </w:rPr>
              <w:t>Rows without a matching engineered record: 0</w:t>
            </w:r>
          </w:p>
          <w:p>
            <w:pPr>
              <w:spacing w:after="0" w:before="0" w:line="240" w:lineRule="auto"/>
            </w:pPr>
            <w:r>
              <w:rPr>
                <w:rFonts w:ascii="Consolas" w:hAnsi="Consolas" w:eastAsia="Consolas"/>
                <w:color w:val="E6ECF2"/>
                <w:sz w:val="16"/>
              </w:rPr>
            </w:r>
          </w:p>
          <w:p>
            <w:pPr>
              <w:spacing w:after="0" w:before="0" w:line="240" w:lineRule="auto"/>
            </w:pPr>
            <w:r>
              <w:rPr>
                <w:rFonts w:ascii="Consolas" w:hAnsi="Consolas" w:eastAsia="Consolas"/>
                <w:color w:val="E6ECF2"/>
                <w:sz w:val="16"/>
              </w:rPr>
              <w:t>8. OUTPUT</w:t>
            </w:r>
          </w:p>
          <w:p>
            <w:pPr>
              <w:spacing w:after="0" w:before="0" w:line="240" w:lineRule="auto"/>
            </w:pPr>
            <w:r>
              <w:rPr>
                <w:rFonts w:ascii="Consolas" w:hAnsi="Consolas" w:eastAsia="Consolas"/>
                <w:color w:val="E6ECF2"/>
                <w:sz w:val="16"/>
              </w:rPr>
              <w:t>Segmented dataset saved successfully: data/Customer-Churn-Segmented.csv</w:t>
            </w:r>
          </w:p>
          <w:p>
            <w:pPr>
              <w:spacing w:after="0" w:before="0" w:line="240" w:lineRule="auto"/>
            </w:pPr>
            <w:r>
              <w:rPr>
                <w:rFonts w:ascii="Consolas" w:hAnsi="Consolas" w:eastAsia="Consolas"/>
                <w:color w:val="E6ECF2"/>
                <w:sz w:val="16"/>
              </w:rPr>
              <w:t>Final shape: (7043, 31)</w:t>
            </w:r>
          </w:p>
        </w:tc>
      </w:tr>
    </w:tbl>
    <w:p>
      <w:pPr>
        <w:spacing w:before="60" w:after="180"/>
        <w:jc w:val="center"/>
      </w:pPr>
      <w:r>
        <w:rPr>
          <w:i/>
          <w:color w:val="555F6B"/>
          <w:sz w:val="17"/>
        </w:rPr>
        <w:t>Listing 12: Phase 5 console output confirming the merge.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44"/>
        <w:gridCol w:w="2476"/>
        <w:gridCol w:w="2188"/>
        <w:gridCol w:w="2606"/>
      </w:tblGrid>
      <w:tr>
        <w:tc>
          <w:tcPr>
            <w:tcW w:type="dxa" w:w="2045"/>
            <w:shd w:val="clear" w:color="auto" w:fill="1B355E"/>
          </w:tcPr>
          <w:p>
            <w:pPr>
              <w:spacing w:after="20" w:before="20"/>
              <w:jc w:val="center"/>
            </w:pPr>
            <w:r>
              <w:rPr>
                <w:b/>
                <w:color w:val="FFFFFF"/>
                <w:sz w:val="16"/>
              </w:rPr>
              <w:t>Feature</w:t>
            </w:r>
          </w:p>
        </w:tc>
        <w:tc>
          <w:tcPr>
            <w:tcW w:type="dxa" w:w="2477"/>
            <w:shd w:val="clear" w:color="auto" w:fill="1B355E"/>
          </w:tcPr>
          <w:p>
            <w:pPr>
              <w:spacing w:after="20" w:before="20"/>
              <w:jc w:val="center"/>
            </w:pPr>
            <w:r>
              <w:rPr>
                <w:b/>
                <w:color w:val="FFFFFF"/>
                <w:sz w:val="16"/>
              </w:rPr>
              <w:t>Reached a model before?</w:t>
            </w:r>
          </w:p>
        </w:tc>
        <w:tc>
          <w:tcPr>
            <w:tcW w:type="dxa" w:w="2189"/>
            <w:shd w:val="clear" w:color="auto" w:fill="1B355E"/>
          </w:tcPr>
          <w:p>
            <w:pPr>
              <w:spacing w:after="20" w:before="20"/>
              <w:jc w:val="center"/>
            </w:pPr>
            <w:r>
              <w:rPr>
                <w:b/>
                <w:color w:val="FFFFFF"/>
                <w:sz w:val="16"/>
              </w:rPr>
              <w:t>Reaches a model now?</w:t>
            </w:r>
          </w:p>
        </w:tc>
        <w:tc>
          <w:tcPr>
            <w:tcW w:type="dxa" w:w="2606"/>
            <w:shd w:val="clear" w:color="auto" w:fill="1B355E"/>
          </w:tcPr>
          <w:p>
            <w:pPr>
              <w:spacing w:after="20" w:before="20"/>
              <w:jc w:val="center"/>
            </w:pPr>
            <w:r>
              <w:rPr>
                <w:b/>
                <w:color w:val="FFFFFF"/>
                <w:sz w:val="16"/>
              </w:rPr>
              <w:t>Rank in final importance</w:t>
            </w:r>
          </w:p>
        </w:tc>
      </w:tr>
      <w:tr>
        <w:tc>
          <w:tcPr>
            <w:tcW w:type="dxa" w:w="2045"/>
          </w:tcPr>
          <w:p>
            <w:pPr>
              <w:spacing w:after="20" w:before="20" w:line="254" w:lineRule="auto"/>
              <w:jc w:val="left"/>
            </w:pPr>
            <w:r>
              <w:rPr>
                <w:rFonts w:ascii="Consolas" w:hAnsi="Consolas" w:eastAsia="Consolas"/>
                <w:color w:val="8A2C1F"/>
                <w:sz w:val="15"/>
              </w:rPr>
              <w:t>TenureBand</w:t>
            </w:r>
          </w:p>
        </w:tc>
        <w:tc>
          <w:tcPr>
            <w:tcW w:type="dxa" w:w="2477"/>
          </w:tcPr>
          <w:p>
            <w:pPr>
              <w:spacing w:after="20" w:before="20" w:line="254" w:lineRule="auto"/>
              <w:jc w:val="center"/>
            </w:pPr>
            <w:r>
              <w:rPr>
                <w:b/>
                <w:sz w:val="16"/>
              </w:rPr>
              <w:t>No</w:t>
            </w:r>
          </w:p>
        </w:tc>
        <w:tc>
          <w:tcPr>
            <w:tcW w:type="dxa" w:w="2189"/>
          </w:tcPr>
          <w:p>
            <w:pPr>
              <w:spacing w:after="20" w:before="20" w:line="254" w:lineRule="auto"/>
              <w:jc w:val="center"/>
            </w:pPr>
            <w:r>
              <w:rPr>
                <w:b/>
                <w:sz w:val="16"/>
              </w:rPr>
              <w:t>Yes</w:t>
            </w:r>
          </w:p>
        </w:tc>
        <w:tc>
          <w:tcPr>
            <w:tcW w:type="dxa" w:w="2606"/>
          </w:tcPr>
          <w:p>
            <w:pPr>
              <w:spacing w:after="20" w:before="20" w:line="254" w:lineRule="auto"/>
              <w:jc w:val="left"/>
            </w:pPr>
            <w:r>
              <w:rPr>
                <w:sz w:val="16"/>
              </w:rPr>
              <w:t>5th (0.0337, 0-6 months band)</w:t>
            </w:r>
          </w:p>
        </w:tc>
      </w:tr>
      <w:tr>
        <w:tc>
          <w:tcPr>
            <w:tcW w:type="dxa" w:w="2045"/>
            <w:shd w:val="clear" w:color="auto" w:fill="F2F5F9"/>
          </w:tcPr>
          <w:p>
            <w:pPr>
              <w:spacing w:after="20" w:before="20" w:line="254" w:lineRule="auto"/>
              <w:jc w:val="left"/>
            </w:pPr>
            <w:r>
              <w:rPr>
                <w:rFonts w:ascii="Consolas" w:hAnsi="Consolas" w:eastAsia="Consolas"/>
                <w:color w:val="8A2C1F"/>
                <w:sz w:val="15"/>
              </w:rPr>
              <w:t>ValueTier</w:t>
            </w:r>
          </w:p>
        </w:tc>
        <w:tc>
          <w:tcPr>
            <w:tcW w:type="dxa" w:w="2477"/>
            <w:shd w:val="clear" w:color="auto" w:fill="F2F5F9"/>
          </w:tcPr>
          <w:p>
            <w:pPr>
              <w:spacing w:after="20" w:before="20" w:line="254" w:lineRule="auto"/>
              <w:jc w:val="center"/>
            </w:pPr>
            <w:r>
              <w:rPr>
                <w:b/>
                <w:sz w:val="16"/>
              </w:rPr>
              <w:t>No</w:t>
            </w:r>
          </w:p>
        </w:tc>
        <w:tc>
          <w:tcPr>
            <w:tcW w:type="dxa" w:w="2189"/>
            <w:shd w:val="clear" w:color="auto" w:fill="F2F5F9"/>
          </w:tcPr>
          <w:p>
            <w:pPr>
              <w:spacing w:after="20" w:before="20" w:line="254" w:lineRule="auto"/>
              <w:jc w:val="center"/>
            </w:pPr>
            <w:r>
              <w:rPr>
                <w:b/>
                <w:sz w:val="16"/>
              </w:rPr>
              <w:t>Yes</w:t>
            </w:r>
          </w:p>
        </w:tc>
        <w:tc>
          <w:tcPr>
            <w:tcW w:type="dxa" w:w="2606"/>
            <w:shd w:val="clear" w:color="auto" w:fill="F2F5F9"/>
          </w:tcPr>
          <w:p>
            <w:pPr>
              <w:spacing w:after="20" w:before="20" w:line="254" w:lineRule="auto"/>
              <w:jc w:val="left"/>
            </w:pPr>
            <w:r>
              <w:rPr>
                <w:sz w:val="16"/>
              </w:rPr>
              <w:t>17th (0.0124, Medium tier)</w:t>
            </w:r>
          </w:p>
        </w:tc>
      </w:tr>
      <w:tr>
        <w:tc>
          <w:tcPr>
            <w:tcW w:type="dxa" w:w="2045"/>
          </w:tcPr>
          <w:p>
            <w:pPr>
              <w:spacing w:after="20" w:before="20" w:line="254" w:lineRule="auto"/>
              <w:jc w:val="left"/>
            </w:pPr>
            <w:r>
              <w:rPr>
                <w:rFonts w:ascii="Consolas" w:hAnsi="Consolas" w:eastAsia="Consolas"/>
                <w:color w:val="8A2C1F"/>
                <w:sz w:val="15"/>
              </w:rPr>
              <w:t>ARPU</w:t>
            </w:r>
          </w:p>
        </w:tc>
        <w:tc>
          <w:tcPr>
            <w:tcW w:type="dxa" w:w="2477"/>
          </w:tcPr>
          <w:p>
            <w:pPr>
              <w:spacing w:after="20" w:before="20" w:line="254" w:lineRule="auto"/>
              <w:jc w:val="center"/>
            </w:pPr>
            <w:r>
              <w:rPr>
                <w:b/>
                <w:sz w:val="16"/>
              </w:rPr>
              <w:t>No</w:t>
            </w:r>
          </w:p>
        </w:tc>
        <w:tc>
          <w:tcPr>
            <w:tcW w:type="dxa" w:w="2189"/>
          </w:tcPr>
          <w:p>
            <w:pPr>
              <w:spacing w:after="20" w:before="20" w:line="254" w:lineRule="auto"/>
              <w:jc w:val="center"/>
            </w:pPr>
            <w:r>
              <w:rPr>
                <w:b/>
                <w:sz w:val="16"/>
              </w:rPr>
              <w:t>Yes</w:t>
            </w:r>
          </w:p>
        </w:tc>
        <w:tc>
          <w:tcPr>
            <w:tcW w:type="dxa" w:w="2606"/>
          </w:tcPr>
          <w:p>
            <w:pPr>
              <w:spacing w:after="20" w:before="20" w:line="254" w:lineRule="auto"/>
              <w:jc w:val="center"/>
            </w:pPr>
            <w:r>
              <w:rPr>
                <w:sz w:val="16"/>
              </w:rPr>
              <w:t>outside top 20</w:t>
            </w:r>
          </w:p>
        </w:tc>
      </w:tr>
      <w:tr>
        <w:tc>
          <w:tcPr>
            <w:tcW w:type="dxa" w:w="2045"/>
            <w:shd w:val="clear" w:color="auto" w:fill="F2F5F9"/>
          </w:tcPr>
          <w:p>
            <w:pPr>
              <w:spacing w:after="20" w:before="20" w:line="254" w:lineRule="auto"/>
              <w:jc w:val="left"/>
            </w:pPr>
            <w:r>
              <w:rPr>
                <w:rFonts w:ascii="Consolas" w:hAnsi="Consolas" w:eastAsia="Consolas"/>
                <w:color w:val="8A2C1F"/>
                <w:sz w:val="15"/>
              </w:rPr>
              <w:t>ChargeRatio</w:t>
            </w:r>
          </w:p>
        </w:tc>
        <w:tc>
          <w:tcPr>
            <w:tcW w:type="dxa" w:w="2477"/>
            <w:shd w:val="clear" w:color="auto" w:fill="F2F5F9"/>
          </w:tcPr>
          <w:p>
            <w:pPr>
              <w:spacing w:after="20" w:before="20" w:line="254" w:lineRule="auto"/>
              <w:jc w:val="center"/>
            </w:pPr>
            <w:r>
              <w:rPr>
                <w:b/>
                <w:sz w:val="16"/>
              </w:rPr>
              <w:t>No</w:t>
            </w:r>
          </w:p>
        </w:tc>
        <w:tc>
          <w:tcPr>
            <w:tcW w:type="dxa" w:w="2189"/>
            <w:shd w:val="clear" w:color="auto" w:fill="F2F5F9"/>
          </w:tcPr>
          <w:p>
            <w:pPr>
              <w:spacing w:after="20" w:before="20" w:line="254" w:lineRule="auto"/>
              <w:jc w:val="center"/>
            </w:pPr>
            <w:r>
              <w:rPr>
                <w:b/>
                <w:sz w:val="16"/>
              </w:rPr>
              <w:t>Yes</w:t>
            </w:r>
          </w:p>
        </w:tc>
        <w:tc>
          <w:tcPr>
            <w:tcW w:type="dxa" w:w="2606"/>
            <w:shd w:val="clear" w:color="auto" w:fill="F2F5F9"/>
          </w:tcPr>
          <w:p>
            <w:pPr>
              <w:spacing w:after="20" w:before="20" w:line="254" w:lineRule="auto"/>
              <w:jc w:val="center"/>
            </w:pPr>
            <w:r>
              <w:rPr>
                <w:sz w:val="16"/>
              </w:rPr>
              <w:t>outside top 20</w:t>
            </w:r>
          </w:p>
        </w:tc>
      </w:tr>
      <w:tr>
        <w:tc>
          <w:tcPr>
            <w:tcW w:type="dxa" w:w="2045"/>
          </w:tcPr>
          <w:p>
            <w:pPr>
              <w:spacing w:after="20" w:before="20" w:line="254" w:lineRule="auto"/>
              <w:jc w:val="left"/>
            </w:pPr>
            <w:r>
              <w:rPr>
                <w:rFonts w:ascii="Consolas" w:hAnsi="Consolas" w:eastAsia="Consolas"/>
                <w:color w:val="8A2C1F"/>
                <w:sz w:val="15"/>
              </w:rPr>
              <w:t>AutoPayFlag</w:t>
            </w:r>
          </w:p>
        </w:tc>
        <w:tc>
          <w:tcPr>
            <w:tcW w:type="dxa" w:w="2477"/>
          </w:tcPr>
          <w:p>
            <w:pPr>
              <w:spacing w:after="20" w:before="20" w:line="254" w:lineRule="auto"/>
              <w:jc w:val="center"/>
            </w:pPr>
            <w:r>
              <w:rPr>
                <w:b/>
                <w:sz w:val="16"/>
              </w:rPr>
              <w:t>No</w:t>
            </w:r>
          </w:p>
        </w:tc>
        <w:tc>
          <w:tcPr>
            <w:tcW w:type="dxa" w:w="2189"/>
          </w:tcPr>
          <w:p>
            <w:pPr>
              <w:spacing w:after="20" w:before="20" w:line="254" w:lineRule="auto"/>
              <w:jc w:val="center"/>
            </w:pPr>
            <w:r>
              <w:rPr>
                <w:b/>
                <w:sz w:val="16"/>
              </w:rPr>
              <w:t>Yes</w:t>
            </w:r>
          </w:p>
        </w:tc>
        <w:tc>
          <w:tcPr>
            <w:tcW w:type="dxa" w:w="2606"/>
          </w:tcPr>
          <w:p>
            <w:pPr>
              <w:spacing w:after="20" w:before="20" w:line="254" w:lineRule="auto"/>
              <w:jc w:val="left"/>
            </w:pPr>
            <w:r>
              <w:rPr>
                <w:sz w:val="16"/>
              </w:rPr>
              <w:t>outside top 20; feeds the Billing lever</w:t>
            </w:r>
          </w:p>
        </w:tc>
      </w:tr>
      <w:tr>
        <w:tc>
          <w:tcPr>
            <w:tcW w:type="dxa" w:w="2045"/>
            <w:shd w:val="clear" w:color="auto" w:fill="F2F5F9"/>
          </w:tcPr>
          <w:p>
            <w:pPr>
              <w:spacing w:after="20" w:before="20" w:line="254" w:lineRule="auto"/>
              <w:jc w:val="left"/>
            </w:pPr>
            <w:r>
              <w:rPr>
                <w:rFonts w:ascii="Consolas" w:hAnsi="Consolas" w:eastAsia="Consolas"/>
                <w:color w:val="8A2C1F"/>
                <w:sz w:val="15"/>
              </w:rPr>
              <w:t>ServiceCount</w:t>
            </w:r>
          </w:p>
        </w:tc>
        <w:tc>
          <w:tcPr>
            <w:tcW w:type="dxa" w:w="2477"/>
            <w:shd w:val="clear" w:color="auto" w:fill="F2F5F9"/>
          </w:tcPr>
          <w:p>
            <w:pPr>
              <w:spacing w:after="20" w:before="20" w:line="254" w:lineRule="auto"/>
              <w:jc w:val="left"/>
            </w:pPr>
            <w:r>
              <w:rPr>
                <w:sz w:val="16"/>
              </w:rPr>
              <w:t>Yes (recomputed by phase 5)</w:t>
            </w:r>
          </w:p>
        </w:tc>
        <w:tc>
          <w:tcPr>
            <w:tcW w:type="dxa" w:w="2189"/>
            <w:shd w:val="clear" w:color="auto" w:fill="F2F5F9"/>
          </w:tcPr>
          <w:p>
            <w:pPr>
              <w:spacing w:after="20" w:before="20" w:line="254" w:lineRule="auto"/>
              <w:jc w:val="center"/>
            </w:pPr>
            <w:r>
              <w:rPr>
                <w:sz w:val="16"/>
              </w:rPr>
              <w:t>Yes</w:t>
            </w:r>
          </w:p>
        </w:tc>
        <w:tc>
          <w:tcPr>
            <w:tcW w:type="dxa" w:w="2606"/>
            <w:shd w:val="clear" w:color="auto" w:fill="F2F5F9"/>
          </w:tcPr>
          <w:p>
            <w:pPr>
              <w:spacing w:after="20" w:before="20" w:line="254" w:lineRule="auto"/>
              <w:jc w:val="left"/>
            </w:pPr>
            <w:r>
              <w:rPr>
                <w:sz w:val="16"/>
              </w:rPr>
              <w:t>outside top 20; feeds the Engagement lever</w:t>
            </w:r>
          </w:p>
        </w:tc>
      </w:tr>
      <w:tr>
        <w:tc>
          <w:tcPr>
            <w:tcW w:type="dxa" w:w="2045"/>
          </w:tcPr>
          <w:p>
            <w:pPr>
              <w:spacing w:after="20" w:before="20" w:line="254" w:lineRule="auto"/>
              <w:jc w:val="left"/>
            </w:pPr>
            <w:r>
              <w:rPr>
                <w:rFonts w:ascii="Consolas" w:hAnsi="Consolas" w:eastAsia="Consolas"/>
                <w:color w:val="8A2C1F"/>
                <w:sz w:val="15"/>
              </w:rPr>
              <w:t>ContractRiskFlag</w:t>
            </w:r>
          </w:p>
        </w:tc>
        <w:tc>
          <w:tcPr>
            <w:tcW w:type="dxa" w:w="2477"/>
          </w:tcPr>
          <w:p>
            <w:pPr>
              <w:spacing w:after="20" w:before="20" w:line="254" w:lineRule="auto"/>
              <w:jc w:val="center"/>
            </w:pPr>
            <w:r>
              <w:rPr>
                <w:b/>
                <w:sz w:val="16"/>
              </w:rPr>
              <w:t>No</w:t>
            </w:r>
          </w:p>
        </w:tc>
        <w:tc>
          <w:tcPr>
            <w:tcW w:type="dxa" w:w="2189"/>
          </w:tcPr>
          <w:p>
            <w:pPr>
              <w:spacing w:after="20" w:before="20" w:line="254" w:lineRule="auto"/>
              <w:jc w:val="center"/>
            </w:pPr>
            <w:r>
              <w:rPr>
                <w:b/>
                <w:sz w:val="16"/>
              </w:rPr>
              <w:t>No — excluded in round 2</w:t>
            </w:r>
          </w:p>
        </w:tc>
        <w:tc>
          <w:tcPr>
            <w:tcW w:type="dxa" w:w="2606"/>
          </w:tcPr>
          <w:p>
            <w:pPr>
              <w:spacing w:after="20" w:before="20" w:line="254" w:lineRule="auto"/>
              <w:jc w:val="left"/>
            </w:pPr>
            <w:r>
              <w:rPr>
                <w:sz w:val="16"/>
              </w:rPr>
              <w:t xml:space="preserve">duplicate of </w:t>
            </w:r>
            <w:r>
              <w:rPr>
                <w:rFonts w:ascii="Consolas" w:hAnsi="Consolas" w:eastAsia="Consolas"/>
                <w:color w:val="8A2C1F"/>
                <w:sz w:val="15"/>
              </w:rPr>
              <w:t>Contract</w:t>
            </w:r>
            <w:r>
              <w:rPr>
                <w:sz w:val="16"/>
              </w:rPr>
              <w:t xml:space="preserve"> (Section 22.2)</w:t>
            </w:r>
          </w:p>
        </w:tc>
      </w:tr>
    </w:tbl>
    <w:p>
      <w:pPr>
        <w:spacing w:before="60" w:after="200"/>
        <w:jc w:val="center"/>
      </w:pPr>
      <w:r>
        <w:rPr>
          <w:i/>
          <w:color w:val="555F6B"/>
          <w:sz w:val="17"/>
        </w:rPr>
        <w:t>Table 14: Each engineered feature before and after the merge, with its position in the phase 8 gain-importance ranking of the final model.</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The recovered features are doing real work — with one exception.</w:t>
            </w:r>
          </w:p>
          <w:p>
            <w:pPr>
              <w:spacing w:after="0"/>
              <w:jc w:val="both"/>
            </w:pPr>
            <w:r>
              <w:rPr>
                <w:rFonts w:ascii="Consolas" w:hAnsi="Consolas"/>
                <w:color w:val="8A2C1F"/>
                <w:sz w:val="18"/>
              </w:rPr>
              <w:t>TenureBand</w:t>
            </w:r>
            <w:r>
              <w:rPr>
                <w:sz w:val="19"/>
              </w:rPr>
              <w:t xml:space="preserve"> now ranks 5th by gain and </w:t>
            </w:r>
            <w:r>
              <w:rPr>
                <w:rFonts w:ascii="Consolas" w:hAnsi="Consolas"/>
                <w:color w:val="8A2C1F"/>
                <w:sz w:val="18"/>
              </w:rPr>
              <w:t>ValueTier</w:t>
            </w:r>
            <w:r>
              <w:rPr>
                <w:sz w:val="19"/>
              </w:rPr>
              <w:t xml:space="preserve"> appears in the top 20; before the correction neither could influence a prediction. </w:t>
            </w:r>
            <w:r>
              <w:rPr>
                <w:rFonts w:ascii="Consolas" w:hAnsi="Consolas"/>
                <w:color w:val="8A2C1F"/>
                <w:sz w:val="18"/>
              </w:rPr>
              <w:t>AutoPayFlag</w:t>
            </w:r>
            <w:r>
              <w:rPr>
                <w:sz w:val="19"/>
              </w:rPr>
              <w:t xml:space="preserve"> and </w:t>
            </w:r>
            <w:r>
              <w:rPr>
                <w:rFonts w:ascii="Consolas" w:hAnsi="Consolas"/>
                <w:color w:val="8A2C1F"/>
                <w:sz w:val="18"/>
              </w:rPr>
              <w:t>ServiceCount</w:t>
            </w:r>
            <w:r>
              <w:rPr>
                <w:sz w:val="19"/>
              </w:rPr>
              <w:t xml:space="preserve"> also feed the per-customer SHAP levers that phase 9 uses to choose retention actions. The exception is </w:t>
            </w:r>
            <w:r>
              <w:rPr>
                <w:rFonts w:ascii="Consolas" w:hAnsi="Consolas"/>
                <w:color w:val="8A2C1F"/>
                <w:sz w:val="18"/>
              </w:rPr>
              <w:t>ContractRiskFlag</w:t>
            </w:r>
            <w:r>
              <w:rPr>
                <w:sz w:val="19"/>
              </w:rPr>
              <w:t>. In the first revision it ranked first by gain, but it equals Contract == Month-to-month for every row, so its rank came from splitting the contract signal with an identical column. Round 2 excluded it from the model with no loss in ROC-AUC.</w:t>
            </w:r>
          </w:p>
        </w:tc>
      </w:tr>
    </w:tbl>
    <w:p>
      <w:pPr>
        <w:spacing w:after="120"/>
      </w:pPr>
    </w:p>
    <w:p>
      <w:pPr>
        <w:keepNext/>
        <w:spacing w:before="120" w:after="60"/>
        <w:jc w:val="center"/>
      </w:pPr>
      <w:r>
        <w:drawing>
          <wp:inline xmlns:a="http://schemas.openxmlformats.org/drawingml/2006/main" xmlns:pic="http://schemas.openxmlformats.org/drawingml/2006/picture">
            <wp:extent cx="5870448" cy="3827429"/>
            <wp:docPr id="3" name="Picture 3"/>
            <wp:cNvGraphicFramePr>
              <a:graphicFrameLocks noChangeAspect="1"/>
            </wp:cNvGraphicFramePr>
            <a:graphic>
              <a:graphicData uri="http://schemas.openxmlformats.org/drawingml/2006/picture">
                <pic:pic>
                  <pic:nvPicPr>
                    <pic:cNvPr id="0" name="v2_fig2_defects.png"/>
                    <pic:cNvPicPr/>
                  </pic:nvPicPr>
                  <pic:blipFill>
                    <a:blip r:embed="rId11"/>
                    <a:stretch>
                      <a:fillRect/>
                    </a:stretch>
                  </pic:blipFill>
                  <pic:spPr>
                    <a:xfrm>
                      <a:off x="0" y="0"/>
                      <a:ext cx="5870448" cy="3827429"/>
                    </a:xfrm>
                    <a:prstGeom prst="rect"/>
                  </pic:spPr>
                </pic:pic>
              </a:graphicData>
            </a:graphic>
          </wp:inline>
        </w:drawing>
      </w:r>
    </w:p>
    <w:p>
      <w:pPr>
        <w:spacing w:before="60" w:after="220"/>
        <w:jc w:val="center"/>
      </w:pPr>
      <w:r>
        <w:rPr>
          <w:i/>
          <w:color w:val="555F6B"/>
          <w:sz w:val="17"/>
        </w:rPr>
        <w:t>Figure 3: The three defects and their corrections, side by side.</w:t>
      </w:r>
    </w:p>
    <w:p>
      <w:r>
        <w:br w:type="page"/>
      </w:r>
    </w:p>
    <w:p>
      <w:pPr>
        <w:spacing w:after="0"/>
      </w:pPr>
    </w:p>
    <w:p>
      <w:pPr>
        <w:keepNext/>
        <w:spacing w:before="80" w:after="40"/>
        <w:pBdr>
          <w:bottom w:val="single" w:sz="10" w:space="3" w:color="1B355E"/>
        </w:pBdr>
      </w:pPr>
      <w:r>
        <w:rPr>
          <w:b/>
          <w:color w:val="1B355E"/>
          <w:sz w:val="30"/>
        </w:rPr>
        <w:t>10.  Consequential Corrections</w:t>
      </w:r>
    </w:p>
    <w:p>
      <w:pPr>
        <w:spacing w:after="40"/>
      </w:pPr>
    </w:p>
    <w:p>
      <w:pPr>
        <w:spacing w:after="120" w:before="0"/>
        <w:jc w:val="both"/>
      </w:pPr>
      <w:r>
        <w:rPr>
          <w:b w:val="0"/>
          <w:i w:val="0"/>
          <w:sz w:val="21"/>
        </w:rPr>
        <w:t>Two further changes were required, not because they were on the remediation list, but because correcting the three specified defects would otherwise have left the project inconsistent. Both are direct consequences of the main fixes.</w:t>
      </w:r>
    </w:p>
    <w:p>
      <w:pPr>
        <w:keepNext/>
        <w:spacing w:before="240" w:after="80"/>
      </w:pPr>
      <w:r>
        <w:rPr>
          <w:b/>
          <w:color w:val="1B355E"/>
          <w:sz w:val="25"/>
        </w:rPr>
        <w:t>10.1  Phase 9 hard-coded the model's recall</w:t>
      </w:r>
    </w:p>
    <w:p>
      <w:pPr>
        <w:spacing w:after="120" w:before="0"/>
        <w:jc w:val="both"/>
      </w:pPr>
      <w:r>
        <w:rPr>
          <w:b w:val="0"/>
          <w:i w:val="0"/>
          <w:sz w:val="21"/>
        </w:rPr>
        <w:t>Phase 9 builds the entire financial case on the model's recall, and that value was written into the file as a literal:</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MODEL_RECALL = 0.7766          # the recall measured on the old 5% hold-out</w:t>
            </w:r>
          </w:p>
          <w:p>
            <w:pPr>
              <w:spacing w:after="0" w:before="0" w:line="240" w:lineRule="auto"/>
            </w:pPr>
            <w:r>
              <w:rPr>
                <w:rFonts w:ascii="Consolas" w:hAnsi="Consolas" w:eastAsia="Consolas"/>
                <w:color w:val="1A232E"/>
                <w:sz w:val="16"/>
              </w:rPr>
              <w:t>BASELINE_CHURN_RATE = 0.2654</w:t>
            </w:r>
          </w:p>
        </w:tc>
      </w:tr>
    </w:tbl>
    <w:p>
      <w:pPr>
        <w:spacing w:before="60" w:after="180"/>
        <w:jc w:val="center"/>
      </w:pPr>
      <w:r>
        <w:rPr>
          <w:i/>
          <w:color w:val="555F6B"/>
          <w:sz w:val="17"/>
        </w:rPr>
        <w:t>Listing 13: The constants as delivered.</w:t>
      </w:r>
    </w:p>
    <w:p>
      <w:pPr>
        <w:spacing w:after="120" w:before="0"/>
        <w:jc w:val="both"/>
      </w:pPr>
      <w:r>
        <w:rPr>
          <w:b w:val="0"/>
          <w:i w:val="0"/>
          <w:sz w:val="21"/>
        </w:rPr>
        <w:t xml:space="preserve">Changing </w:t>
      </w:r>
      <w:r>
        <w:rPr>
          <w:rFonts w:ascii="Consolas" w:hAnsi="Consolas" w:eastAsia="Consolas"/>
          <w:b w:val="0"/>
          <w:i w:val="0"/>
          <w:color w:val="8A2C1F"/>
          <w:sz w:val="19"/>
        </w:rPr>
        <w:t>TEST_SIZE</w:t>
      </w:r>
      <w:r>
        <w:rPr>
          <w:b w:val="0"/>
          <w:i w:val="0"/>
          <w:sz w:val="21"/>
        </w:rPr>
        <w:t xml:space="preserve"> changes recall. Had this constant been left alone, phase 9 would have continued reporting a campaign built on 0.7766 while the model it describes actually achieves 0.8262 — a financial projection quietly describing a classifier that no longer exists. The constant is now read from the upstream artefact: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if os.path.exists(EVALUATION_FILE):</w:t>
            </w:r>
          </w:p>
          <w:p>
            <w:pPr>
              <w:spacing w:after="0" w:before="0" w:line="240" w:lineRule="auto"/>
            </w:pPr>
            <w:r>
              <w:rPr>
                <w:rFonts w:ascii="Consolas" w:hAnsi="Consolas" w:eastAsia="Consolas"/>
                <w:color w:val="1A232E"/>
                <w:sz w:val="16"/>
              </w:rPr>
              <w:t xml:space="preserve">    evaluation = pd.read_csv(EVALUATION_FILE)</w:t>
            </w:r>
          </w:p>
          <w:p>
            <w:pPr>
              <w:spacing w:after="0" w:before="0" w:line="240" w:lineRule="auto"/>
            </w:pPr>
            <w:r>
              <w:rPr>
                <w:rFonts w:ascii="Consolas" w:hAnsi="Consolas" w:eastAsia="Consolas"/>
                <w:color w:val="1A232E"/>
                <w:sz w:val="16"/>
              </w:rPr>
              <w:t xml:space="preserve">    best_row = evaluation.sort_values("ROC_AUC", ascending=False).iloc[0]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MODEL_RECALL = float(best_row["Recall"])</w:t>
            </w:r>
          </w:p>
          <w:p>
            <w:pPr>
              <w:spacing w:after="0" w:before="0" w:line="240" w:lineRule="auto"/>
            </w:pPr>
            <w:r>
              <w:rPr>
                <w:rFonts w:ascii="Consolas" w:hAnsi="Consolas" w:eastAsia="Consolas"/>
                <w:color w:val="1A232E"/>
                <w:sz w:val="16"/>
              </w:rPr>
              <w:t xml:space="preserve">    BEST_MODEL_NAME = str(best_row["Model"])</w:t>
            </w:r>
          </w:p>
          <w:p>
            <w:pPr>
              <w:spacing w:after="0" w:before="0" w:line="240" w:lineRule="auto"/>
            </w:pPr>
            <w:r>
              <w:rPr>
                <w:rFonts w:ascii="Consolas" w:hAnsi="Consolas" w:eastAsia="Consolas"/>
                <w:color w:val="1A232E"/>
                <w:sz w:val="16"/>
              </w:rPr>
              <w:t xml:space="preserve">    recall_source = f"phase 7 hold-out result for {BEST_MODEL_NAME}"</w:t>
            </w:r>
          </w:p>
          <w:p>
            <w:pPr>
              <w:spacing w:after="0" w:before="0" w:line="240" w:lineRule="auto"/>
            </w:pPr>
            <w:r>
              <w:rPr>
                <w:rFonts w:ascii="Consolas" w:hAnsi="Consolas" w:eastAsia="Consolas"/>
                <w:color w:val="1A232E"/>
                <w:sz w:val="16"/>
              </w:rPr>
              <w:t>else:</w:t>
            </w:r>
          </w:p>
          <w:p>
            <w:pPr>
              <w:spacing w:after="0" w:before="0" w:line="240" w:lineRule="auto"/>
            </w:pPr>
            <w:r>
              <w:rPr>
                <w:rFonts w:ascii="Consolas" w:hAnsi="Consolas" w:eastAsia="Consolas"/>
                <w:color w:val="1A232E"/>
                <w:sz w:val="16"/>
              </w:rPr>
              <w:t xml:space="preserve">    MODEL_RECALL = FALLBACK_MODEL_RECALL</w:t>
            </w:r>
          </w:p>
          <w:p>
            <w:pPr>
              <w:spacing w:after="0" w:before="0" w:line="240" w:lineRule="auto"/>
            </w:pPr>
            <w:r>
              <w:rPr>
                <w:rFonts w:ascii="Consolas" w:hAnsi="Consolas" w:eastAsia="Consolas"/>
                <w:color w:val="1A232E"/>
                <w:sz w:val="16"/>
              </w:rPr>
              <w:t xml:space="preserve">    recall_source = "fallback constant (phase 7 results not found)"</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if os.path.exists(CLEANED_FILE):</w:t>
            </w:r>
          </w:p>
          <w:p>
            <w:pPr>
              <w:spacing w:after="0" w:before="0" w:line="240" w:lineRule="auto"/>
            </w:pPr>
            <w:r>
              <w:rPr>
                <w:rFonts w:ascii="Consolas" w:hAnsi="Consolas" w:eastAsia="Consolas"/>
                <w:color w:val="1A232E"/>
                <w:sz w:val="16"/>
              </w:rPr>
              <w:t xml:space="preserve">    cleaned = pd.read_csv(CLEANED_FILE, usecols=["Churn"])</w:t>
            </w:r>
          </w:p>
          <w:p>
            <w:pPr>
              <w:spacing w:after="0" w:before="0" w:line="240" w:lineRule="auto"/>
            </w:pPr>
            <w:r>
              <w:rPr>
                <w:rFonts w:ascii="Consolas" w:hAnsi="Consolas" w:eastAsia="Consolas"/>
                <w:color w:val="1A232E"/>
                <w:sz w:val="16"/>
              </w:rPr>
              <w:t xml:space="preserve">    BASELINE_CHURN_RATE = float((cleaned["Churn"] == "Yes").mean())</w:t>
            </w:r>
          </w:p>
        </w:tc>
      </w:tr>
    </w:tbl>
    <w:p>
      <w:pPr>
        <w:spacing w:before="60" w:after="180"/>
        <w:jc w:val="center"/>
      </w:pPr>
      <w:r>
        <w:rPr>
          <w:i/>
          <w:color w:val="555F6B"/>
          <w:sz w:val="17"/>
        </w:rPr>
        <w:t>Listing 14: Recall and the baseline rate are now derived, with the source printed so a reader can see which was used.</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
              <w:rPr>
                <w:rFonts w:ascii="Consolas" w:hAnsi="Consolas" w:eastAsia="Consolas"/>
                <w:color w:val="E6ECF2"/>
                <w:sz w:val="16"/>
              </w:rPr>
              <w:t>1. INPUT DATA</w:t>
            </w:r>
          </w:p>
          <w:p>
            <w:pPr>
              <w:spacing w:after="0" w:before="0" w:line="240" w:lineRule="auto"/>
            </w:pPr>
            <w:r>
              <w:rPr>
                <w:rFonts w:ascii="Consolas" w:hAnsi="Consolas" w:eastAsia="Consolas"/>
                <w:color w:val="E6ECF2"/>
                <w:sz w:val="16"/>
              </w:rPr>
              <w:t>Customers loaded: 7043</w:t>
            </w:r>
          </w:p>
          <w:p>
            <w:pPr>
              <w:spacing w:after="0" w:before="0" w:line="240" w:lineRule="auto"/>
            </w:pPr>
            <w:r>
              <w:rPr>
                <w:rFonts w:ascii="Consolas" w:hAnsi="Consolas" w:eastAsia="Consolas"/>
                <w:color w:val="E6ECF2"/>
                <w:sz w:val="16"/>
              </w:rPr>
              <w:t>Model recall: 0.8262 (phase 7 hold-out result for Tuned XGBoost)</w:t>
            </w:r>
          </w:p>
          <w:p>
            <w:pPr>
              <w:spacing w:after="0" w:before="0" w:line="240" w:lineRule="auto"/>
            </w:pPr>
            <w:r>
              <w:rPr>
                <w:rFonts w:ascii="Consolas" w:hAnsi="Consolas" w:eastAsia="Consolas"/>
                <w:color w:val="E6ECF2"/>
                <w:sz w:val="16"/>
              </w:rPr>
              <w:t>Baseline churn rate: 0.2654 (measured on the cleaned dataset)</w:t>
            </w:r>
          </w:p>
        </w:tc>
      </w:tr>
    </w:tbl>
    <w:p>
      <w:pPr>
        <w:spacing w:before="60" w:after="180"/>
        <w:jc w:val="center"/>
      </w:pPr>
      <w:r>
        <w:rPr>
          <w:i/>
          <w:color w:val="555F6B"/>
          <w:sz w:val="17"/>
        </w:rPr>
        <w:t>Listing 15: Phase 9 now states where each figure came from.</w:t>
      </w:r>
    </w:p>
    <w:p>
      <w:pPr>
        <w:keepNext/>
        <w:spacing w:before="240" w:after="80"/>
      </w:pPr>
      <w:r>
        <w:rPr>
          <w:b/>
          <w:color w:val="1B355E"/>
          <w:sz w:val="25"/>
        </w:rPr>
        <w:t>10.2  The dashboard reconstructed segments with a different rule</w:t>
      </w:r>
    </w:p>
    <w:p>
      <w:pPr>
        <w:spacing w:after="120" w:before="0"/>
        <w:jc w:val="both"/>
      </w:pPr>
      <w:r>
        <w:rPr>
          <w:b w:val="0"/>
          <w:i w:val="0"/>
          <w:sz w:val="21"/>
        </w:rPr>
        <w:t>This was a genuine train/serve mismatch, and it existed because of defect 2. Since the training-time segment label was defined using churn — which an incoming customer does not have — the dashboard could not reproduce it, so it approximated with a hand-written rule: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assign_customer_segment(dataframe):        # as delivered</w:t>
            </w:r>
          </w:p>
          <w:p>
            <w:pPr>
              <w:spacing w:after="0" w:before="0" w:line="240" w:lineRule="auto"/>
            </w:pPr>
            <w:r>
              <w:rPr>
                <w:rFonts w:ascii="Consolas" w:hAnsi="Consolas" w:eastAsia="Consolas"/>
                <w:color w:val="1A232E"/>
                <w:sz w:val="16"/>
              </w:rPr>
              <w:t xml:space="preserve">    def segment_customer(row):</w:t>
            </w:r>
          </w:p>
          <w:p>
            <w:pPr>
              <w:spacing w:after="0" w:before="0" w:line="240" w:lineRule="auto"/>
            </w:pPr>
            <w:r>
              <w:rPr>
                <w:rFonts w:ascii="Consolas" w:hAnsi="Consolas" w:eastAsia="Consolas"/>
                <w:color w:val="1A232E"/>
                <w:sz w:val="16"/>
              </w:rPr>
              <w:t xml:space="preserve">        if row["tenure"] &lt;= 20 and row["MonthlyCharges"] &gt;= 65:</w:t>
            </w:r>
          </w:p>
          <w:p>
            <w:pPr>
              <w:spacing w:after="0" w:before="0" w:line="240" w:lineRule="auto"/>
            </w:pPr>
            <w:r>
              <w:rPr>
                <w:rFonts w:ascii="Consolas" w:hAnsi="Consolas" w:eastAsia="Consolas"/>
                <w:color w:val="1A232E"/>
                <w:sz w:val="16"/>
              </w:rPr>
              <w:t xml:space="preserve">            return "New &amp; Fragile 2"</w:t>
            </w:r>
          </w:p>
          <w:p>
            <w:pPr>
              <w:spacing w:after="0" w:before="0" w:line="240" w:lineRule="auto"/>
            </w:pPr>
            <w:r>
              <w:rPr>
                <w:rFonts w:ascii="Consolas" w:hAnsi="Consolas" w:eastAsia="Consolas"/>
                <w:color w:val="1A232E"/>
                <w:sz w:val="16"/>
              </w:rPr>
              <w:t xml:space="preserve">        if row["tenure"] &lt;= 20 and row["MonthlyCharges"] &lt; 65:</w:t>
            </w:r>
          </w:p>
          <w:p>
            <w:pPr>
              <w:spacing w:after="0" w:before="0" w:line="240" w:lineRule="auto"/>
            </w:pPr>
            <w:r>
              <w:rPr>
                <w:rFonts w:ascii="Consolas" w:hAnsi="Consolas" w:eastAsia="Consolas"/>
                <w:color w:val="1A232E"/>
                <w:sz w:val="16"/>
              </w:rPr>
              <w:t xml:space="preserve">            return "New &amp; Fragile"</w:t>
            </w:r>
          </w:p>
          <w:p>
            <w:pPr>
              <w:spacing w:after="0" w:before="0" w:line="240" w:lineRule="auto"/>
            </w:pPr>
            <w:r>
              <w:rPr>
                <w:rFonts w:ascii="Consolas" w:hAnsi="Consolas" w:eastAsia="Consolas"/>
                <w:color w:val="1A232E"/>
                <w:sz w:val="16"/>
              </w:rPr>
              <w:t xml:space="preserve">        if row["tenure"] &gt;= 45 and row["MonthlyCharges"] &gt;= 65 and \</w:t>
            </w:r>
          </w:p>
          <w:p>
            <w:pPr>
              <w:spacing w:after="0" w:before="0" w:line="240" w:lineRule="auto"/>
            </w:pPr>
            <w:r>
              <w:rPr>
                <w:rFonts w:ascii="Consolas" w:hAnsi="Consolas" w:eastAsia="Consolas"/>
                <w:color w:val="1A232E"/>
                <w:sz w:val="16"/>
              </w:rPr>
              <w:t xml:space="preserve">           row["ServiceCount"] &gt;= 2:</w:t>
            </w:r>
          </w:p>
          <w:p>
            <w:pPr>
              <w:spacing w:after="0" w:before="0" w:line="240" w:lineRule="auto"/>
            </w:pPr>
            <w:r>
              <w:rPr>
                <w:rFonts w:ascii="Consolas" w:hAnsi="Consolas" w:eastAsia="Consolas"/>
                <w:color w:val="1A232E"/>
                <w:sz w:val="16"/>
              </w:rPr>
              <w:t xml:space="preserve">            return "High-Value Loyal"</w:t>
            </w:r>
          </w:p>
          <w:p>
            <w:pPr>
              <w:spacing w:after="0" w:before="0" w:line="240" w:lineRule="auto"/>
            </w:pPr>
            <w:r>
              <w:rPr>
                <w:rFonts w:ascii="Consolas" w:hAnsi="Consolas" w:eastAsia="Consolas"/>
                <w:color w:val="1A232E"/>
                <w:sz w:val="16"/>
              </w:rPr>
              <w:t xml:space="preserve">        return "Low-Value Price-Sensitive"</w:t>
            </w:r>
          </w:p>
        </w:tc>
      </w:tr>
    </w:tbl>
    <w:p>
      <w:pPr>
        <w:spacing w:before="60" w:after="180"/>
        <w:jc w:val="center"/>
      </w:pPr>
      <w:r>
        <w:rPr>
          <w:i/>
          <w:color w:val="555F6B"/>
          <w:sz w:val="17"/>
        </w:rPr>
        <w:t>Listing 16: The dashboard's approximation of a feature it could not reproduce.</w:t>
      </w:r>
    </w:p>
    <w:p>
      <w:pPr>
        <w:spacing w:after="120" w:before="0"/>
        <w:jc w:val="both"/>
      </w:pPr>
      <w:r>
        <w:rPr>
          <w:b w:val="0"/>
          <w:i w:val="0"/>
          <w:sz w:val="21"/>
        </w:rPr>
        <w:t>Hard thresholds at tenure 20 and charges 65 do not reproduce K-Means boundaries in a standardised three-dimensional space. An uploaded customer could therefore be scored carrying a segment the model had never associated with their behaviour.</w:t>
      </w:r>
    </w:p>
    <w:p>
      <w:pPr>
        <w:spacing w:after="120" w:before="0"/>
        <w:jc w:val="both"/>
      </w:pPr>
      <w:r>
        <w:rPr>
          <w:b w:val="0"/>
          <w:i w:val="0"/>
          <w:sz w:val="21"/>
        </w:rPr>
        <w:t>The correction persists the fitted segmentation model in phase 5 and has the dashboard use it: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 phase 5 -- persist what was actually fitted</w:t>
            </w:r>
          </w:p>
          <w:p>
            <w:pPr>
              <w:spacing w:after="0" w:before="0" w:line="240" w:lineRule="auto"/>
            </w:pPr>
            <w:r>
              <w:rPr>
                <w:rFonts w:ascii="Consolas" w:hAnsi="Consolas" w:eastAsia="Consolas"/>
                <w:color w:val="1A232E"/>
                <w:sz w:val="16"/>
              </w:rPr>
              <w:t>segmentation_artifacts = {</w:t>
            </w:r>
          </w:p>
          <w:p>
            <w:pPr>
              <w:spacing w:after="0" w:before="0" w:line="240" w:lineRule="auto"/>
            </w:pPr>
            <w:r>
              <w:rPr>
                <w:rFonts w:ascii="Consolas" w:hAnsi="Consolas" w:eastAsia="Consolas"/>
                <w:color w:val="1A232E"/>
                <w:sz w:val="16"/>
              </w:rPr>
              <w:t xml:space="preserve">    "scaler": scaler,</w:t>
            </w:r>
          </w:p>
          <w:p>
            <w:pPr>
              <w:spacing w:after="0" w:before="0" w:line="240" w:lineRule="auto"/>
            </w:pPr>
            <w:r>
              <w:rPr>
                <w:rFonts w:ascii="Consolas" w:hAnsi="Consolas" w:eastAsia="Consolas"/>
                <w:color w:val="1A232E"/>
                <w:sz w:val="16"/>
              </w:rPr>
              <w:t xml:space="preserve">    "kmeans": final_kmeans,</w:t>
            </w:r>
          </w:p>
          <w:p>
            <w:pPr>
              <w:spacing w:after="0" w:before="0" w:line="240" w:lineRule="auto"/>
            </w:pPr>
            <w:r>
              <w:rPr>
                <w:rFonts w:ascii="Consolas" w:hAnsi="Consolas" w:eastAsia="Consolas"/>
                <w:color w:val="1A232E"/>
                <w:sz w:val="16"/>
              </w:rPr>
              <w:t xml:space="preserve">    "segment_names": segment_names,</w:t>
            </w:r>
          </w:p>
          <w:p>
            <w:pPr>
              <w:spacing w:after="0" w:before="0" w:line="240" w:lineRule="auto"/>
            </w:pPr>
            <w:r>
              <w:rPr>
                <w:rFonts w:ascii="Consolas" w:hAnsi="Consolas" w:eastAsia="Consolas"/>
                <w:color w:val="1A232E"/>
                <w:sz w:val="16"/>
              </w:rPr>
              <w:t xml:space="preserve">    "segmentation_columns": SEGMENTATION_COLUMNS,</w:t>
            </w:r>
          </w:p>
          <w:p>
            <w:pPr>
              <w:spacing w:after="0" w:before="0" w:line="240" w:lineRule="auto"/>
            </w:pPr>
            <w:r>
              <w:rPr>
                <w:rFonts w:ascii="Consolas" w:hAnsi="Consolas" w:eastAsia="Consolas"/>
                <w:color w:val="1A232E"/>
                <w:sz w:val="16"/>
              </w:rPr>
              <w:t xml:space="preserve">    "optimal_k": OPTIMAL_K,</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t>joblib.dump(segmentation_artifacts, SEGMENTATION_MODEL_FILE)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churn_features.py -- assign clusters to new data with the trained centroids</w:t>
            </w:r>
          </w:p>
          <w:p>
            <w:pPr>
              <w:spacing w:after="0" w:before="0" w:line="240" w:lineRule="auto"/>
            </w:pPr>
            <w:r>
              <w:rPr>
                <w:rFonts w:ascii="Consolas" w:hAnsi="Consolas" w:eastAsia="Consolas"/>
                <w:color w:val="1A232E"/>
                <w:sz w:val="16"/>
              </w:rPr>
              <w:t>def assign_clusters(df, segmentation_artifacts):</w:t>
            </w:r>
          </w:p>
          <w:p>
            <w:pPr>
              <w:spacing w:after="0" w:before="0" w:line="240" w:lineRule="auto"/>
            </w:pPr>
            <w:r>
              <w:rPr>
                <w:rFonts w:ascii="Consolas" w:hAnsi="Consolas" w:eastAsia="Consolas"/>
                <w:color w:val="1A232E"/>
                <w:sz w:val="16"/>
              </w:rPr>
              <w:t xml:space="preserve">    scaled = segmentation_artifacts["scaler"].transform(df[SEGMENTATION_COLUMNS])</w:t>
            </w:r>
          </w:p>
          <w:p>
            <w:pPr>
              <w:spacing w:after="0" w:before="0" w:line="240" w:lineRule="auto"/>
            </w:pPr>
            <w:r>
              <w:rPr>
                <w:rFonts w:ascii="Consolas" w:hAnsi="Consolas" w:eastAsia="Consolas"/>
                <w:color w:val="1A232E"/>
                <w:sz w:val="16"/>
              </w:rPr>
              <w:t xml:space="preserve">    df["Cluster"] = segmentation_artifacts["kmeans"].predict(scaled)</w:t>
            </w:r>
          </w:p>
          <w:p>
            <w:pPr>
              <w:spacing w:after="0" w:before="0" w:line="240" w:lineRule="auto"/>
            </w:pPr>
            <w:r>
              <w:rPr>
                <w:rFonts w:ascii="Consolas" w:hAnsi="Consolas" w:eastAsia="Consolas"/>
                <w:color w:val="1A232E"/>
                <w:sz w:val="16"/>
              </w:rPr>
              <w:t xml:space="preserve">    df["CustomerSegment"] = df["Cluster"].map(segmentation_artifacts["segment_names"])</w:t>
            </w:r>
          </w:p>
          <w:p>
            <w:pPr>
              <w:spacing w:after="0" w:before="0" w:line="240" w:lineRule="auto"/>
            </w:pPr>
            <w:r>
              <w:rPr>
                <w:rFonts w:ascii="Consolas" w:hAnsi="Consolas" w:eastAsia="Consolas"/>
                <w:color w:val="1A232E"/>
                <w:sz w:val="16"/>
              </w:rPr>
              <w:t xml:space="preserve">    return df</w:t>
            </w:r>
          </w:p>
        </w:tc>
      </w:tr>
    </w:tbl>
    <w:p>
      <w:pPr>
        <w:spacing w:before="60" w:after="180"/>
        <w:jc w:val="center"/>
      </w:pPr>
      <w:r>
        <w:rPr>
          <w:i/>
          <w:color w:val="555F6B"/>
          <w:sz w:val="17"/>
        </w:rPr>
        <w:t>Listing 17: The corrected serving path uses the trained model rather than a rule of thumb.</w:t>
      </w:r>
    </w:p>
    <w:p>
      <w:pPr>
        <w:spacing w:after="120" w:before="0"/>
        <w:jc w:val="both"/>
      </w:pPr>
      <w:r>
        <w:rPr>
          <w:b w:val="0"/>
          <w:i w:val="0"/>
          <w:sz w:val="21"/>
        </w:rPr>
        <w:t xml:space="preserve">The same principle applies to </w:t>
      </w:r>
      <w:r>
        <w:rPr>
          <w:rFonts w:ascii="Consolas" w:hAnsi="Consolas" w:eastAsia="Consolas"/>
          <w:b w:val="0"/>
          <w:i w:val="0"/>
          <w:color w:val="8A2C1F"/>
          <w:sz w:val="19"/>
        </w:rPr>
        <w:t>ValueTier</w:t>
      </w:r>
      <w:r>
        <w:rPr>
          <w:b w:val="0"/>
          <w:i w:val="0"/>
          <w:sz w:val="21"/>
        </w:rPr>
        <w:t>, whose quartile boundaries are learned from the training distribution. Phase 4 now persists those edges and the dashboard reuses them, so an uploaded customer is placed in the tier the training data defines rather than a tier recomputed from whatever batch they happen to arrive in.</w:t>
      </w:r>
    </w:p>
    <w:p>
      <w:pPr>
        <w:keepNext/>
        <w:spacing w:before="240" w:after="80"/>
      </w:pPr>
      <w:r>
        <w:rPr>
          <w:b/>
          <w:color w:val="1B355E"/>
          <w:sz w:val="25"/>
        </w:rPr>
        <w:t>10.3  Verification of the serving path</w:t>
      </w:r>
    </w:p>
    <w:p>
      <w:pPr>
        <w:spacing w:after="120" w:before="0"/>
        <w:jc w:val="both"/>
      </w:pPr>
      <w:r>
        <w:rPr>
          <w:b w:val="0"/>
          <w:i w:val="0"/>
          <w:sz w:val="21"/>
        </w:rPr>
        <w:t>The dashboard was started and its scoring path exercised against the retrained model. Every model input is reconstructed from raw columns with no gaps.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
              <w:rPr>
                <w:rFonts w:ascii="Consolas" w:hAnsi="Consolas" w:eastAsia="Consolas"/>
                <w:color w:val="E6ECF2"/>
                <w:sz w:val="16"/>
              </w:rPr>
              <w:t>Model expects 26 features | ContractRiskFlag in inputs? False | CustomerSegment? False</w:t>
            </w:r>
          </w:p>
          <w:p>
            <w:pPr>
              <w:spacing w:after="0" w:before="0" w:line="240" w:lineRule="auto"/>
            </w:pPr>
            <w:r>
              <w:rPr>
                <w:rFonts w:ascii="Consolas" w:hAnsi="Consolas" w:eastAsia="Consolas"/>
                <w:color w:val="E6ECF2"/>
                <w:sz w:val="16"/>
              </w:rPr>
              <w:t>Engineered features the model uses: ['ServiceCount', 'Cluster', 'TenureBand',</w:t>
            </w:r>
          </w:p>
          <w:p>
            <w:pPr>
              <w:spacing w:after="0" w:before="0" w:line="240" w:lineRule="auto"/>
            </w:pPr>
            <w:r>
              <w:rPr>
                <w:rFonts w:ascii="Consolas" w:hAnsi="Consolas" w:eastAsia="Consolas"/>
                <w:color w:val="E6ECF2"/>
                <w:sz w:val="16"/>
              </w:rPr>
              <w:t xml:space="preserve">                                    'ARPU', 'ChargeRatio', 'ValueTier', 'AutoPayFlag']</w:t>
            </w:r>
          </w:p>
          <w:p>
            <w:pPr>
              <w:spacing w:after="0" w:before="0" w:line="240" w:lineRule="auto"/>
            </w:pPr>
            <w:r>
              <w:rPr>
                <w:rFonts w:ascii="Consolas" w:hAnsi="Consolas" w:eastAsia="Consolas"/>
                <w:color w:val="E6ECF2"/>
                <w:sz w:val="16"/>
              </w:rPr>
            </w:r>
          </w:p>
          <w:p>
            <w:pPr>
              <w:spacing w:after="0" w:before="0" w:line="240" w:lineRule="auto"/>
            </w:pPr>
            <w:r>
              <w:rPr>
                <w:rFonts w:ascii="Consolas" w:hAnsi="Consolas" w:eastAsia="Consolas"/>
                <w:color w:val="E6ECF2"/>
                <w:sz w:val="16"/>
              </w:rPr>
              <w:t>Missing model inputs after serving-path build: NONE</w:t>
            </w:r>
          </w:p>
          <w:p>
            <w:pPr>
              <w:spacing w:after="0" w:before="0" w:line="240" w:lineRule="auto"/>
            </w:pPr>
            <w:r>
              <w:rPr>
                <w:rFonts w:ascii="Consolas" w:hAnsi="Consolas" w:eastAsia="Consolas"/>
                <w:color w:val="E6ECF2"/>
                <w:sz w:val="16"/>
              </w:rPr>
              <w:t>BATCH SCORING OK - scored 200 customers</w:t>
            </w:r>
          </w:p>
          <w:p>
            <w:pPr>
              <w:spacing w:after="0" w:before="0" w:line="240" w:lineRule="auto"/>
            </w:pPr>
            <w:r>
              <w:rPr>
                <w:rFonts w:ascii="Consolas" w:hAnsi="Consolas" w:eastAsia="Consolas"/>
                <w:color w:val="E6ECF2"/>
                <w:sz w:val="16"/>
              </w:rPr>
              <w:t>probability range: 0.0251 to 0.7443 | mean 0.2656</w:t>
            </w:r>
          </w:p>
        </w:tc>
      </w:tr>
    </w:tbl>
    <w:p>
      <w:pPr>
        <w:spacing w:before="60" w:after="180"/>
        <w:jc w:val="center"/>
      </w:pPr>
      <w:r>
        <w:rPr>
          <w:i/>
          <w:color w:val="555F6B"/>
          <w:sz w:val="17"/>
        </w:rPr>
        <w:t>Listing 18: Serving-path verification. The mean predicted probability of 0.2656 against an observed base rate of 0.2654 is independent evidence that calibration is sound.</w:t>
      </w:r>
    </w:p>
    <w:p>
      <w:r>
        <w:br w:type="page"/>
      </w:r>
    </w:p>
    <w:p>
      <w:pPr>
        <w:spacing w:after="0"/>
      </w:pPr>
    </w:p>
    <w:p>
      <w:pPr>
        <w:keepNext/>
        <w:spacing w:before="80" w:after="40"/>
        <w:pBdr>
          <w:bottom w:val="single" w:sz="10" w:space="3" w:color="1B355E"/>
        </w:pBdr>
      </w:pPr>
      <w:r>
        <w:rPr>
          <w:b/>
          <w:color w:val="1B355E"/>
          <w:sz w:val="30"/>
        </w:rPr>
        <w:t>11.  Phase 1 — Data Collection and Understanding</w:t>
      </w:r>
    </w:p>
    <w:p>
      <w:pPr>
        <w:spacing w:after="40"/>
      </w:pPr>
    </w:p>
    <w:p>
      <w:pPr>
        <w:keepNext/>
        <w:spacing w:before="240" w:after="80"/>
      </w:pPr>
      <w:r>
        <w:rPr>
          <w:b/>
          <w:color w:val="1B355E"/>
          <w:sz w:val="25"/>
        </w:rPr>
        <w:t>11.1  Purpose</w:t>
      </w:r>
    </w:p>
    <w:p>
      <w:pPr>
        <w:spacing w:after="120" w:before="0"/>
        <w:jc w:val="both"/>
      </w:pPr>
      <w:r>
        <w:rPr>
          <w:b w:val="0"/>
          <w:i w:val="0"/>
          <w:sz w:val="21"/>
        </w:rPr>
        <w:t>Phase 1 performs no transformation. It establishes ground truth about the raw file before any cleaning decision is taken: how large the dataset is, what type each column holds, where values are missing, and what the baseline churn rate is. It writes nothing to disk. This phase was not modified during remediation.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center"/>
            </w:pPr>
            <w:r>
              <w:rPr>
                <w:rFonts w:ascii="Consolas" w:hAnsi="Consolas" w:eastAsia="Consolas"/>
                <w:color w:val="8A2C1F"/>
                <w:sz w:val="16"/>
              </w:rPr>
              <w:t>data/Customer-Churn.csv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center"/>
            </w:pPr>
            <w:r>
              <w:rPr>
                <w:sz w:val="17"/>
              </w:rPr>
              <w:t>console report only</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97</w:t>
            </w:r>
          </w:p>
        </w:tc>
      </w:tr>
      <w:tr>
        <w:tc>
          <w:tcPr>
            <w:tcW w:type="dxa" w:w="2232"/>
            <w:shd w:val="clear" w:color="auto" w:fill="F2F5F9"/>
          </w:tcPr>
          <w:p>
            <w:pPr>
              <w:spacing w:after="20" w:before="20" w:line="254" w:lineRule="auto"/>
              <w:jc w:val="left"/>
            </w:pPr>
            <w:r>
              <w:rPr>
                <w:sz w:val="17"/>
              </w:rPr>
              <w:t>Status</w:t>
            </w:r>
          </w:p>
        </w:tc>
        <w:tc>
          <w:tcPr>
            <w:tcW w:type="dxa" w:w="7085"/>
            <w:shd w:val="clear" w:color="auto" w:fill="F2F5F9"/>
          </w:tcPr>
          <w:p>
            <w:pPr>
              <w:spacing w:after="20" w:before="20" w:line="254" w:lineRule="auto"/>
              <w:jc w:val="center"/>
            </w:pPr>
            <w:r>
              <w:rPr>
                <w:b/>
                <w:sz w:val="17"/>
              </w:rPr>
              <w:t>Unchanged by remediation</w:t>
            </w:r>
          </w:p>
        </w:tc>
      </w:tr>
    </w:tbl>
    <w:p>
      <w:pPr>
        <w:spacing w:before="60" w:after="200"/>
        <w:jc w:val="center"/>
      </w:pPr>
      <w:r>
        <w:rPr>
          <w:i/>
          <w:color w:val="555F6B"/>
          <w:sz w:val="17"/>
        </w:rPr>
        <w:t>Table 15: Phase 1 interface summary.</w:t>
      </w:r>
    </w:p>
    <w:p>
      <w:pPr>
        <w:keepNext/>
        <w:spacing w:before="240" w:after="80"/>
      </w:pPr>
      <w:r>
        <w:rPr>
          <w:b/>
          <w:color w:val="1B355E"/>
          <w:sz w:val="25"/>
        </w:rPr>
        <w:t>11.2  Code walk-through</w:t>
      </w:r>
    </w:p>
    <w:p>
      <w:pPr>
        <w:keepNext/>
        <w:spacing w:before="200" w:after="60"/>
      </w:pPr>
      <w:r>
        <w:rPr>
          <w:b/>
          <w:color w:val="0B5C7A"/>
          <w:sz w:val="22"/>
        </w:rPr>
        <w:t>The TotalCharges quality check</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total_charges_numeric = pd.to_numeric(df["TotalCharges"], errors="coerce")</w:t>
            </w:r>
          </w:p>
          <w:p>
            <w:pPr>
              <w:spacing w:after="0" w:before="0" w:line="240" w:lineRule="auto"/>
            </w:pPr>
            <w:r>
              <w:rPr>
                <w:rFonts w:ascii="Consolas" w:hAnsi="Consolas" w:eastAsia="Consolas"/>
                <w:color w:val="1A232E"/>
                <w:sz w:val="16"/>
              </w:rPr>
              <w:t>invalid_total_charges = total_charges_numeric.isna().sum()</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if invalid_total_charges &gt; 0:</w:t>
            </w:r>
          </w:p>
          <w:p>
            <w:pPr>
              <w:spacing w:after="0" w:before="0" w:line="240" w:lineRule="auto"/>
            </w:pPr>
            <w:r>
              <w:rPr>
                <w:rFonts w:ascii="Consolas" w:hAnsi="Consolas" w:eastAsia="Consolas"/>
                <w:color w:val="1A232E"/>
                <w:sz w:val="16"/>
              </w:rPr>
              <w:t xml:space="preserve">    print(df.loc[</w:t>
            </w:r>
          </w:p>
          <w:p>
            <w:pPr>
              <w:spacing w:after="0" w:before="0" w:line="240" w:lineRule="auto"/>
            </w:pPr>
            <w:r>
              <w:rPr>
                <w:rFonts w:ascii="Consolas" w:hAnsi="Consolas" w:eastAsia="Consolas"/>
                <w:color w:val="1A232E"/>
                <w:sz w:val="16"/>
              </w:rPr>
              <w:t xml:space="preserve">        total_charges_numeric.isna(),</w:t>
            </w:r>
          </w:p>
          <w:p>
            <w:pPr>
              <w:spacing w:after="0" w:before="0" w:line="240" w:lineRule="auto"/>
            </w:pPr>
            <w:r>
              <w:rPr>
                <w:rFonts w:ascii="Consolas" w:hAnsi="Consolas" w:eastAsia="Consolas"/>
                <w:color w:val="1A232E"/>
                <w:sz w:val="16"/>
              </w:rPr>
              <w:t xml:space="preserve">        [ID_COLUMN, "tenure", "MonthlyCharges", "TotalCharges"]</w:t>
            </w:r>
          </w:p>
          <w:p>
            <w:pPr>
              <w:spacing w:after="0" w:before="0" w:line="240" w:lineRule="auto"/>
            </w:pPr>
            <w:r>
              <w:rPr>
                <w:rFonts w:ascii="Consolas" w:hAnsi="Consolas" w:eastAsia="Consolas"/>
                <w:color w:val="1A232E"/>
                <w:sz w:val="16"/>
              </w:rPr>
              <w:t xml:space="preserve">    ].head().to_string(index=False))</w:t>
            </w:r>
          </w:p>
        </w:tc>
      </w:tr>
    </w:tbl>
    <w:p>
      <w:pPr>
        <w:spacing w:after="80"/>
      </w:pPr>
    </w:p>
    <w:p>
      <w:pPr>
        <w:spacing w:after="120" w:before="0"/>
        <w:jc w:val="both"/>
      </w:pPr>
      <w:r>
        <w:rPr>
          <w:b w:val="0"/>
          <w:i w:val="0"/>
          <w:sz w:val="21"/>
        </w:rPr>
        <w:t xml:space="preserve">This is the most consequential block in phase 1. TotalCharges is stored as text because eleven rows contain a single space rather than a number, and one non-numeric entry forces the whole column to object dtype. The </w:t>
      </w:r>
      <w:r>
        <w:rPr>
          <w:rFonts w:ascii="Consolas" w:hAnsi="Consolas" w:eastAsia="Consolas"/>
          <w:b w:val="0"/>
          <w:i w:val="0"/>
          <w:color w:val="8A2C1F"/>
          <w:sz w:val="19"/>
        </w:rPr>
        <w:t>errors="coerce"</w:t>
      </w:r>
      <w:r>
        <w:rPr>
          <w:b w:val="0"/>
          <w:i w:val="0"/>
          <w:sz w:val="21"/>
        </w:rPr>
        <w:t xml:space="preserve"> argument converts those entries to NaN instead of raising, so they can be counted. Crucially, the script then prints the tenure of each affected row — which is what reveals that all eleven are zero-tenure customers, justifying the targeted imputation in phase 2 rather than a blind median fill.</w:t>
      </w:r>
    </w:p>
    <w:p>
      <w:pPr>
        <w:keepNext/>
        <w:spacing w:before="200" w:after="60"/>
      </w:pPr>
      <w:r>
        <w:rPr>
          <w:b/>
          <w:color w:val="0B5C7A"/>
          <w:sz w:val="22"/>
        </w:rPr>
        <w:t>Baseline churn rate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churn_rate = (df[TARGET_COLUMN] == "Yes").mean() * 100</w:t>
            </w:r>
          </w:p>
          <w:p>
            <w:pPr>
              <w:spacing w:after="0" w:before="0" w:line="240" w:lineRule="auto"/>
            </w:pPr>
            <w:r>
              <w:rPr>
                <w:rFonts w:ascii="Consolas" w:hAnsi="Consolas" w:eastAsia="Consolas"/>
                <w:color w:val="1A232E"/>
                <w:sz w:val="16"/>
              </w:rPr>
              <w:t>print(f"\nBaseline churn rate: {churn_rate:.2f}%")</w:t>
            </w:r>
          </w:p>
        </w:tc>
      </w:tr>
    </w:tbl>
    <w:p>
      <w:pPr>
        <w:spacing w:after="80"/>
      </w:pPr>
    </w:p>
    <w:p>
      <w:pPr>
        <w:spacing w:after="120" w:before="0"/>
        <w:jc w:val="both"/>
      </w:pPr>
      <w:r>
        <w:rPr>
          <w:b w:val="0"/>
          <w:i w:val="0"/>
          <w:sz w:val="21"/>
        </w:rPr>
        <w:t>The idiom is worth noting: the comparison produces a boolean Series, and because Python treats True as 1, taking its mean yields the proportion directly.</w:t>
      </w:r>
    </w:p>
    <w:p>
      <w:pPr>
        <w:keepNext/>
        <w:spacing w:before="240" w:after="80"/>
      </w:pPr>
      <w:r>
        <w:rPr>
          <w:b/>
          <w:color w:val="1B355E"/>
          <w:sz w:val="25"/>
        </w:rPr>
        <w:t>11.3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872"/>
        <w:gridCol w:w="2764"/>
        <w:gridCol w:w="4680"/>
      </w:tblGrid>
      <w:tr>
        <w:tc>
          <w:tcPr>
            <w:tcW w:type="dxa" w:w="1872"/>
            <w:shd w:val="clear" w:color="auto" w:fill="1B355E"/>
          </w:tcPr>
          <w:p>
            <w:pPr>
              <w:spacing w:after="20" w:before="20"/>
              <w:jc w:val="center"/>
            </w:pPr>
            <w:r>
              <w:rPr>
                <w:b/>
                <w:color w:val="FFFFFF"/>
                <w:sz w:val="16"/>
              </w:rPr>
              <w:t>Diagnostic</w:t>
            </w:r>
          </w:p>
        </w:tc>
        <w:tc>
          <w:tcPr>
            <w:tcW w:type="dxa" w:w="2765"/>
            <w:shd w:val="clear" w:color="auto" w:fill="1B355E"/>
          </w:tcPr>
          <w:p>
            <w:pPr>
              <w:spacing w:after="20" w:before="20"/>
              <w:jc w:val="center"/>
            </w:pPr>
            <w:r>
              <w:rPr>
                <w:b/>
                <w:color w:val="FFFFFF"/>
                <w:sz w:val="16"/>
              </w:rPr>
              <w:t>Measured result</w:t>
            </w:r>
          </w:p>
        </w:tc>
        <w:tc>
          <w:tcPr>
            <w:tcW w:type="dxa" w:w="4680"/>
            <w:shd w:val="clear" w:color="auto" w:fill="1B355E"/>
          </w:tcPr>
          <w:p>
            <w:pPr>
              <w:spacing w:after="20" w:before="20"/>
              <w:jc w:val="center"/>
            </w:pPr>
            <w:r>
              <w:rPr>
                <w:b/>
                <w:color w:val="FFFFFF"/>
                <w:sz w:val="16"/>
              </w:rPr>
              <w:t>Consequence</w:t>
            </w:r>
          </w:p>
        </w:tc>
      </w:tr>
      <w:tr>
        <w:tc>
          <w:tcPr>
            <w:tcW w:type="dxa" w:w="1872"/>
          </w:tcPr>
          <w:p>
            <w:pPr>
              <w:spacing w:after="20" w:before="20" w:line="254" w:lineRule="auto"/>
              <w:jc w:val="left"/>
            </w:pPr>
            <w:r>
              <w:rPr>
                <w:sz w:val="16"/>
              </w:rPr>
              <w:t>Dataset shape</w:t>
            </w:r>
          </w:p>
        </w:tc>
        <w:tc>
          <w:tcPr>
            <w:tcW w:type="dxa" w:w="2765"/>
          </w:tcPr>
          <w:p>
            <w:pPr>
              <w:spacing w:after="20" w:before="20" w:line="254" w:lineRule="auto"/>
              <w:jc w:val="center"/>
            </w:pPr>
            <w:r>
              <w:rPr>
                <w:sz w:val="16"/>
              </w:rPr>
              <w:t>7 043 × 21</w:t>
            </w:r>
          </w:p>
        </w:tc>
        <w:tc>
          <w:tcPr>
            <w:tcW w:type="dxa" w:w="4680"/>
          </w:tcPr>
          <w:p>
            <w:pPr>
              <w:spacing w:after="20" w:before="20" w:line="254" w:lineRule="auto"/>
              <w:jc w:val="center"/>
            </w:pPr>
            <w:r>
              <w:rPr>
                <w:sz w:val="16"/>
              </w:rPr>
              <w:t>no sampling needed</w:t>
            </w:r>
          </w:p>
        </w:tc>
      </w:tr>
      <w:tr>
        <w:tc>
          <w:tcPr>
            <w:tcW w:type="dxa" w:w="1872"/>
            <w:shd w:val="clear" w:color="auto" w:fill="F2F5F9"/>
          </w:tcPr>
          <w:p>
            <w:pPr>
              <w:spacing w:after="20" w:before="20" w:line="254" w:lineRule="auto"/>
              <w:jc w:val="left"/>
            </w:pPr>
            <w:r>
              <w:rPr>
                <w:sz w:val="16"/>
              </w:rPr>
              <w:t>Explicit null values</w:t>
            </w:r>
          </w:p>
        </w:tc>
        <w:tc>
          <w:tcPr>
            <w:tcW w:type="dxa" w:w="2765"/>
            <w:shd w:val="clear" w:color="auto" w:fill="F2F5F9"/>
          </w:tcPr>
          <w:p>
            <w:pPr>
              <w:spacing w:after="20" w:before="20" w:line="254" w:lineRule="auto"/>
              <w:jc w:val="center"/>
            </w:pPr>
            <w:r>
              <w:rPr>
                <w:sz w:val="16"/>
              </w:rPr>
              <w:t>0</w:t>
            </w:r>
          </w:p>
        </w:tc>
        <w:tc>
          <w:tcPr>
            <w:tcW w:type="dxa" w:w="4680"/>
            <w:shd w:val="clear" w:color="auto" w:fill="F2F5F9"/>
          </w:tcPr>
          <w:p>
            <w:pPr>
              <w:spacing w:after="20" w:before="20" w:line="254" w:lineRule="auto"/>
              <w:jc w:val="left"/>
            </w:pPr>
            <w:r>
              <w:rPr>
                <w:sz w:val="16"/>
              </w:rPr>
              <w:t>no general imputation required</w:t>
            </w:r>
          </w:p>
        </w:tc>
      </w:tr>
      <w:tr>
        <w:tc>
          <w:tcPr>
            <w:tcW w:type="dxa" w:w="1872"/>
          </w:tcPr>
          <w:p>
            <w:pPr>
              <w:spacing w:after="20" w:before="20" w:line="254" w:lineRule="auto"/>
              <w:jc w:val="left"/>
            </w:pPr>
            <w:r>
              <w:rPr>
                <w:sz w:val="16"/>
              </w:rPr>
              <w:t>Object-typed columns</w:t>
            </w:r>
          </w:p>
        </w:tc>
        <w:tc>
          <w:tcPr>
            <w:tcW w:type="dxa" w:w="2765"/>
          </w:tcPr>
          <w:p>
            <w:pPr>
              <w:spacing w:after="20" w:before="20" w:line="254" w:lineRule="auto"/>
              <w:jc w:val="center"/>
            </w:pPr>
            <w:r>
              <w:rPr>
                <w:sz w:val="16"/>
              </w:rPr>
              <w:t>18 of 21</w:t>
            </w:r>
          </w:p>
        </w:tc>
        <w:tc>
          <w:tcPr>
            <w:tcW w:type="dxa" w:w="4680"/>
          </w:tcPr>
          <w:p>
            <w:pPr>
              <w:spacing w:after="20" w:before="20" w:line="254" w:lineRule="auto"/>
              <w:jc w:val="left"/>
            </w:pPr>
            <w:r>
              <w:rPr>
                <w:sz w:val="16"/>
              </w:rPr>
              <w:t>one-hot encoding needed</w:t>
            </w:r>
          </w:p>
        </w:tc>
      </w:tr>
      <w:tr>
        <w:tc>
          <w:tcPr>
            <w:tcW w:type="dxa" w:w="1872"/>
            <w:shd w:val="clear" w:color="auto" w:fill="F2F5F9"/>
          </w:tcPr>
          <w:p>
            <w:pPr>
              <w:spacing w:after="20" w:before="20" w:line="254" w:lineRule="auto"/>
              <w:jc w:val="left"/>
            </w:pPr>
            <w:r>
              <w:rPr>
                <w:rFonts w:ascii="Consolas" w:hAnsi="Consolas" w:eastAsia="Consolas"/>
                <w:color w:val="8A2C1F"/>
                <w:sz w:val="15"/>
              </w:rPr>
              <w:t>TotalCharges</w:t>
            </w:r>
            <w:r>
              <w:rPr>
                <w:sz w:val="16"/>
              </w:rPr>
              <w:t xml:space="preserve"> dtype</w:t>
            </w:r>
          </w:p>
        </w:tc>
        <w:tc>
          <w:tcPr>
            <w:tcW w:type="dxa" w:w="2765"/>
            <w:shd w:val="clear" w:color="auto" w:fill="F2F5F9"/>
          </w:tcPr>
          <w:p>
            <w:pPr>
              <w:spacing w:after="20" w:before="20" w:line="254" w:lineRule="auto"/>
              <w:jc w:val="center"/>
            </w:pPr>
            <w:r>
              <w:rPr>
                <w:rFonts w:ascii="Consolas" w:hAnsi="Consolas" w:eastAsia="Consolas"/>
                <w:color w:val="8A2C1F"/>
                <w:sz w:val="15"/>
              </w:rPr>
              <w:t>object</w:t>
            </w:r>
            <w:r>
              <w:rPr>
                <w:sz w:val="16"/>
              </w:rPr>
              <w:t xml:space="preserve"> (should be numeric)</w:t>
            </w:r>
          </w:p>
        </w:tc>
        <w:tc>
          <w:tcPr>
            <w:tcW w:type="dxa" w:w="4680"/>
            <w:shd w:val="clear" w:color="auto" w:fill="F2F5F9"/>
          </w:tcPr>
          <w:p>
            <w:pPr>
              <w:spacing w:after="20" w:before="20" w:line="254" w:lineRule="auto"/>
              <w:jc w:val="left"/>
            </w:pPr>
            <w:r>
              <w:rPr>
                <w:sz w:val="16"/>
              </w:rPr>
              <w:t>numeric cast required in phase 2</w:t>
            </w:r>
          </w:p>
        </w:tc>
      </w:tr>
      <w:tr>
        <w:tc>
          <w:tcPr>
            <w:tcW w:type="dxa" w:w="1872"/>
          </w:tcPr>
          <w:p>
            <w:pPr>
              <w:spacing w:after="20" w:before="20" w:line="254" w:lineRule="auto"/>
              <w:jc w:val="left"/>
            </w:pPr>
            <w:r>
              <w:rPr>
                <w:sz w:val="16"/>
              </w:rPr>
              <w:t xml:space="preserve">Blank </w:t>
            </w:r>
            <w:r>
              <w:rPr>
                <w:rFonts w:ascii="Consolas" w:hAnsi="Consolas" w:eastAsia="Consolas"/>
                <w:color w:val="8A2C1F"/>
                <w:sz w:val="15"/>
              </w:rPr>
              <w:t>TotalCharges</w:t>
            </w:r>
          </w:p>
        </w:tc>
        <w:tc>
          <w:tcPr>
            <w:tcW w:type="dxa" w:w="2765"/>
          </w:tcPr>
          <w:p>
            <w:pPr>
              <w:spacing w:after="20" w:before="20" w:line="254" w:lineRule="auto"/>
              <w:jc w:val="center"/>
            </w:pPr>
            <w:r>
              <w:rPr>
                <w:sz w:val="16"/>
              </w:rPr>
              <w:t xml:space="preserve">11 rows, all with </w:t>
            </w:r>
            <w:r>
              <w:rPr>
                <w:rFonts w:ascii="Consolas" w:hAnsi="Consolas" w:eastAsia="Consolas"/>
                <w:color w:val="8A2C1F"/>
                <w:sz w:val="15"/>
              </w:rPr>
              <w:t>tenure = 0</w:t>
            </w:r>
          </w:p>
        </w:tc>
        <w:tc>
          <w:tcPr>
            <w:tcW w:type="dxa" w:w="4680"/>
          </w:tcPr>
          <w:p>
            <w:pPr>
              <w:spacing w:after="20" w:before="20" w:line="254" w:lineRule="auto"/>
              <w:jc w:val="left"/>
            </w:pPr>
            <w:r>
              <w:rPr>
                <w:sz w:val="16"/>
              </w:rPr>
              <w:t>targeted fill with 0.0, not median</w:t>
            </w:r>
          </w:p>
        </w:tc>
      </w:tr>
      <w:tr>
        <w:tc>
          <w:tcPr>
            <w:tcW w:type="dxa" w:w="1872"/>
            <w:shd w:val="clear" w:color="auto" w:fill="F2F5F9"/>
          </w:tcPr>
          <w:p>
            <w:pPr>
              <w:spacing w:after="20" w:before="20" w:line="254" w:lineRule="auto"/>
              <w:jc w:val="left"/>
            </w:pPr>
            <w:r>
              <w:rPr>
                <w:sz w:val="16"/>
              </w:rPr>
              <w:t>Churn distribution</w:t>
            </w:r>
          </w:p>
        </w:tc>
        <w:tc>
          <w:tcPr>
            <w:tcW w:type="dxa" w:w="2765"/>
            <w:shd w:val="clear" w:color="auto" w:fill="F2F5F9"/>
          </w:tcPr>
          <w:p>
            <w:pPr>
              <w:spacing w:after="20" w:before="20" w:line="254" w:lineRule="auto"/>
              <w:jc w:val="center"/>
            </w:pPr>
            <w:r>
              <w:rPr>
                <w:sz w:val="16"/>
              </w:rPr>
              <w:t>5 174 No / 1 869 Yes</w:t>
            </w:r>
          </w:p>
        </w:tc>
        <w:tc>
          <w:tcPr>
            <w:tcW w:type="dxa" w:w="4680"/>
            <w:shd w:val="clear" w:color="auto" w:fill="F2F5F9"/>
          </w:tcPr>
          <w:p>
            <w:pPr>
              <w:spacing w:after="20" w:before="20" w:line="254" w:lineRule="auto"/>
              <w:jc w:val="left"/>
            </w:pPr>
            <w:r>
              <w:rPr>
                <w:sz w:val="16"/>
              </w:rPr>
              <w:t>class weighting required</w:t>
            </w:r>
          </w:p>
        </w:tc>
      </w:tr>
      <w:tr>
        <w:tc>
          <w:tcPr>
            <w:tcW w:type="dxa" w:w="1872"/>
          </w:tcPr>
          <w:p>
            <w:pPr>
              <w:spacing w:after="20" w:before="20" w:line="254" w:lineRule="auto"/>
              <w:jc w:val="left"/>
            </w:pPr>
            <w:r>
              <w:rPr>
                <w:sz w:val="16"/>
              </w:rPr>
              <w:t>Baseline churn rate</w:t>
            </w:r>
          </w:p>
        </w:tc>
        <w:tc>
          <w:tcPr>
            <w:tcW w:type="dxa" w:w="2765"/>
          </w:tcPr>
          <w:p>
            <w:pPr>
              <w:spacing w:after="20" w:before="20" w:line="254" w:lineRule="auto"/>
              <w:jc w:val="center"/>
            </w:pPr>
            <w:r>
              <w:rPr>
                <w:b/>
                <w:sz w:val="16"/>
              </w:rPr>
              <w:t>26.54 %</w:t>
            </w:r>
          </w:p>
        </w:tc>
        <w:tc>
          <w:tcPr>
            <w:tcW w:type="dxa" w:w="4680"/>
          </w:tcPr>
          <w:p>
            <w:pPr>
              <w:spacing w:after="20" w:before="20" w:line="254" w:lineRule="auto"/>
              <w:jc w:val="left"/>
            </w:pPr>
            <w:r>
              <w:rPr>
                <w:sz w:val="16"/>
              </w:rPr>
              <w:t>accuracy floor is 73.46 %</w:t>
            </w:r>
          </w:p>
        </w:tc>
      </w:tr>
    </w:tbl>
    <w:p>
      <w:pPr>
        <w:spacing w:before="60" w:after="200"/>
        <w:jc w:val="center"/>
      </w:pPr>
      <w:r>
        <w:rPr>
          <w:i/>
          <w:color w:val="555F6B"/>
          <w:sz w:val="17"/>
        </w:rPr>
        <w:t>Table 16: Phase 1 profiling results.</w:t>
      </w:r>
    </w:p>
    <w:p>
      <w:pPr>
        <w:spacing w:after="0"/>
      </w:pPr>
    </w:p>
    <w:p>
      <w:pPr>
        <w:keepNext/>
        <w:spacing w:before="80" w:after="40"/>
        <w:pBdr>
          <w:bottom w:val="single" w:sz="10" w:space="3" w:color="1B355E"/>
        </w:pBdr>
      </w:pPr>
      <w:r>
        <w:rPr>
          <w:b/>
          <w:color w:val="1B355E"/>
          <w:sz w:val="30"/>
        </w:rPr>
        <w:t>12.  Phase 2 — Data Cleaning</w:t>
      </w:r>
    </w:p>
    <w:p>
      <w:pPr>
        <w:spacing w:after="40"/>
      </w:pPr>
    </w:p>
    <w:p>
      <w:pPr>
        <w:keepNext/>
        <w:spacing w:before="240" w:after="80"/>
      </w:pPr>
      <w:r>
        <w:rPr>
          <w:b/>
          <w:color w:val="1B355E"/>
          <w:sz w:val="25"/>
        </w:rPr>
        <w:t>12.1  Purpose</w:t>
      </w:r>
    </w:p>
    <w:p>
      <w:pPr>
        <w:spacing w:after="120" w:before="0"/>
        <w:jc w:val="both"/>
      </w:pPr>
      <w:r>
        <w:rPr>
          <w:b w:val="0"/>
          <w:i w:val="0"/>
          <w:sz w:val="21"/>
        </w:rPr>
        <w:t>Phase 2 converts the raw file into a validated analytical dataset: it repairs TotalCharges, resolves missing values with domain reasoning, removes duplicates, validates numeric ranges, caps outliers and standardises redundant categorical labels. Unchanged by remediation.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center"/>
            </w:pPr>
            <w:r>
              <w:rPr>
                <w:rFonts w:ascii="Consolas" w:hAnsi="Consolas" w:eastAsia="Consolas"/>
                <w:color w:val="8A2C1F"/>
                <w:sz w:val="16"/>
              </w:rPr>
              <w:t>data/Customer-Churn.csv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center"/>
            </w:pPr>
            <w:r>
              <w:rPr>
                <w:rFonts w:ascii="Consolas" w:hAnsi="Consolas" w:eastAsia="Consolas"/>
                <w:color w:val="8A2C1F"/>
                <w:sz w:val="16"/>
              </w:rPr>
              <w:t>data/Customer-Churn-Cleaned.csv</w:t>
            </w:r>
            <w:r>
              <w:rPr>
                <w:sz w:val="17"/>
              </w:rPr>
              <w:t xml:space="preserve"> — 7 043 × 21</w:t>
            </w:r>
          </w:p>
        </w:tc>
      </w:tr>
      <w:tr>
        <w:tc>
          <w:tcPr>
            <w:tcW w:type="dxa" w:w="2232"/>
          </w:tcPr>
          <w:p>
            <w:pPr>
              <w:spacing w:after="20" w:before="20" w:line="254" w:lineRule="auto"/>
              <w:jc w:val="left"/>
            </w:pPr>
            <w:r>
              <w:rPr>
                <w:sz w:val="17"/>
              </w:rPr>
              <w:t>Rows removed</w:t>
            </w:r>
          </w:p>
        </w:tc>
        <w:tc>
          <w:tcPr>
            <w:tcW w:type="dxa" w:w="7085"/>
          </w:tcPr>
          <w:p>
            <w:pPr>
              <w:spacing w:after="20" w:before="20" w:line="254" w:lineRule="auto"/>
              <w:jc w:val="center"/>
            </w:pPr>
            <w:r>
              <w:rPr>
                <w:sz w:val="17"/>
              </w:rPr>
              <w:t>0</w:t>
            </w:r>
          </w:p>
        </w:tc>
      </w:tr>
      <w:tr>
        <w:tc>
          <w:tcPr>
            <w:tcW w:type="dxa" w:w="2232"/>
            <w:shd w:val="clear" w:color="auto" w:fill="F2F5F9"/>
          </w:tcPr>
          <w:p>
            <w:pPr>
              <w:spacing w:after="20" w:before="20" w:line="254" w:lineRule="auto"/>
              <w:jc w:val="left"/>
            </w:pPr>
            <w:r>
              <w:rPr>
                <w:sz w:val="17"/>
              </w:rPr>
              <w:t>Status</w:t>
            </w:r>
          </w:p>
        </w:tc>
        <w:tc>
          <w:tcPr>
            <w:tcW w:type="dxa" w:w="7085"/>
            <w:shd w:val="clear" w:color="auto" w:fill="F2F5F9"/>
          </w:tcPr>
          <w:p>
            <w:pPr>
              <w:spacing w:after="20" w:before="20" w:line="254" w:lineRule="auto"/>
              <w:jc w:val="center"/>
            </w:pPr>
            <w:r>
              <w:rPr>
                <w:b/>
                <w:sz w:val="17"/>
              </w:rPr>
              <w:t>Unchanged by remediation</w:t>
            </w:r>
          </w:p>
        </w:tc>
      </w:tr>
    </w:tbl>
    <w:p>
      <w:pPr>
        <w:spacing w:before="60" w:after="200"/>
        <w:jc w:val="center"/>
      </w:pPr>
      <w:r>
        <w:rPr>
          <w:i/>
          <w:color w:val="555F6B"/>
          <w:sz w:val="17"/>
        </w:rPr>
        <w:t>Table 17: Phase 2 interface summary.</w:t>
      </w:r>
    </w:p>
    <w:p>
      <w:pPr>
        <w:keepNext/>
        <w:spacing w:before="240" w:after="80"/>
      </w:pPr>
      <w:r>
        <w:rPr>
          <w:b/>
          <w:color w:val="1B355E"/>
          <w:sz w:val="25"/>
        </w:rPr>
        <w:t>12.2  Code walk-through</w:t>
      </w:r>
    </w:p>
    <w:p>
      <w:pPr>
        <w:keepNext/>
        <w:spacing w:before="200" w:after="60"/>
      </w:pPr>
      <w:r>
        <w:rPr>
          <w:b/>
          <w:color w:val="0B5C7A"/>
          <w:sz w:val="22"/>
        </w:rPr>
        <w:t>Whitespace normalisation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 = df.replace(r"^\s*$", pd.NA, regex=True)</w:t>
            </w:r>
          </w:p>
        </w:tc>
      </w:tr>
    </w:tbl>
    <w:p>
      <w:pPr>
        <w:spacing w:after="80"/>
      </w:pPr>
    </w:p>
    <w:p>
      <w:pPr>
        <w:spacing w:after="120" w:before="0"/>
        <w:jc w:val="both"/>
      </w:pPr>
      <w:r>
        <w:rPr>
          <w:b w:val="0"/>
          <w:i w:val="0"/>
          <w:sz w:val="21"/>
        </w:rPr>
        <w:t xml:space="preserve">A single regular expression applied across the frame. It matters because pandas does not treat a space character as missing: without this line </w:t>
      </w:r>
      <w:r>
        <w:rPr>
          <w:rFonts w:ascii="Consolas" w:hAnsi="Consolas" w:eastAsia="Consolas"/>
          <w:b w:val="0"/>
          <w:i w:val="0"/>
          <w:color w:val="8A2C1F"/>
          <w:sz w:val="19"/>
        </w:rPr>
        <w:t>isna()</w:t>
      </w:r>
      <w:r>
        <w:rPr>
          <w:b w:val="0"/>
          <w:i w:val="0"/>
          <w:sz w:val="21"/>
        </w:rPr>
        <w:t xml:space="preserve"> reports zero missing values while eleven cells are in fact empty, and every subsequent missing-value check returns a false clean bill of health.</w:t>
      </w:r>
    </w:p>
    <w:p>
      <w:pPr>
        <w:keepNext/>
        <w:spacing w:before="200" w:after="60"/>
      </w:pPr>
      <w:r>
        <w:rPr>
          <w:b/>
          <w:color w:val="0B5C7A"/>
          <w:sz w:val="22"/>
        </w:rPr>
        <w:t>Domain-driven imputation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df["TotalCharges"] = pd.to_numeric(df["TotalCharges"], errors="coerce")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For newly joined customers with tenure 0, TotalCharges should be 0</w:t>
            </w:r>
          </w:p>
          <w:p>
            <w:pPr>
              <w:spacing w:after="0" w:before="0" w:line="240" w:lineRule="auto"/>
            </w:pPr>
            <w:r>
              <w:rPr>
                <w:rFonts w:ascii="Consolas" w:hAnsi="Consolas" w:eastAsia="Consolas"/>
                <w:color w:val="1A232E"/>
                <w:sz w:val="16"/>
              </w:rPr>
              <w:t>df.loc[(df["tenure"] == 0) &amp; (df["TotalCharges"].isna()), "TotalCharges"] = 0.0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remaining_missing = df["TotalCharges"].isna().sum()</w:t>
            </w:r>
          </w:p>
          <w:p>
            <w:pPr>
              <w:spacing w:after="0" w:before="0" w:line="240" w:lineRule="auto"/>
            </w:pPr>
            <w:r>
              <w:rPr>
                <w:rFonts w:ascii="Consolas" w:hAnsi="Consolas" w:eastAsia="Consolas"/>
                <w:color w:val="1A232E"/>
                <w:sz w:val="16"/>
              </w:rPr>
              <w:t>if remaining_missing &gt; 0:</w:t>
            </w:r>
          </w:p>
          <w:p>
            <w:pPr>
              <w:spacing w:after="0" w:before="0" w:line="240" w:lineRule="auto"/>
            </w:pPr>
            <w:r>
              <w:rPr>
                <w:rFonts w:ascii="Consolas" w:hAnsi="Consolas" w:eastAsia="Consolas"/>
                <w:color w:val="1A232E"/>
                <w:sz w:val="16"/>
              </w:rPr>
              <w:t xml:space="preserve">    df["TotalCharges"] = df["TotalCharges"].fillna(df["TotalCharges"].median())</w:t>
            </w:r>
          </w:p>
        </w:tc>
      </w:tr>
    </w:tbl>
    <w:p>
      <w:pPr>
        <w:spacing w:after="80"/>
      </w:pPr>
    </w:p>
    <w:p>
      <w:pPr>
        <w:spacing w:after="120" w:before="0"/>
        <w:jc w:val="both"/>
      </w:pPr>
      <w:r>
        <w:rPr>
          <w:b w:val="0"/>
          <w:i w:val="0"/>
          <w:sz w:val="21"/>
        </w:rPr>
        <w:t>This is the most defensible decision in the cleaning stage. The naive treatment is a median fill, which here would assign about 1 395 units of accumulated revenue to customers who joined this month and have been billed nothing — a fabrication that would distort the ARPU and ChargeRatio features and corrupt the revenue reasoning the whole project rests on. Because phase 1 established that all eleven blanks belong to zero-tenure customers, the correct value is known to be zero. The median branch remains as a defensive fallback and never executes against this data.</w:t>
      </w:r>
    </w:p>
    <w:p>
      <w:pPr>
        <w:keepNext/>
        <w:spacing w:before="200" w:after="60"/>
      </w:pPr>
      <w:r>
        <w:rPr>
          <w:b/>
          <w:color w:val="0B5C7A"/>
          <w:sz w:val="22"/>
        </w:rPr>
        <w:t>Outlier capping by interquartile range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for column in ["tenure", "MonthlyCharges", "TotalCharges"]:</w:t>
            </w:r>
          </w:p>
          <w:p>
            <w:pPr>
              <w:spacing w:after="0" w:before="0" w:line="240" w:lineRule="auto"/>
            </w:pPr>
            <w:r>
              <w:rPr>
                <w:rFonts w:ascii="Consolas" w:hAnsi="Consolas" w:eastAsia="Consolas"/>
                <w:color w:val="1A232E"/>
                <w:sz w:val="16"/>
              </w:rPr>
              <w:t xml:space="preserve">    q1, q3 = df[column].quantile(0.25), df[column].quantile(0.75)</w:t>
            </w:r>
          </w:p>
          <w:p>
            <w:pPr>
              <w:spacing w:after="0" w:before="0" w:line="240" w:lineRule="auto"/>
            </w:pPr>
            <w:r>
              <w:rPr>
                <w:rFonts w:ascii="Consolas" w:hAnsi="Consolas" w:eastAsia="Consolas"/>
                <w:color w:val="1A232E"/>
                <w:sz w:val="16"/>
              </w:rPr>
              <w:t xml:space="preserve">    iqr = q3 - q1</w:t>
            </w:r>
          </w:p>
          <w:p>
            <w:pPr>
              <w:spacing w:after="0" w:before="0" w:line="240" w:lineRule="auto"/>
            </w:pPr>
            <w:r>
              <w:rPr>
                <w:rFonts w:ascii="Consolas" w:hAnsi="Consolas" w:eastAsia="Consolas"/>
                <w:color w:val="1A232E"/>
                <w:sz w:val="16"/>
              </w:rPr>
              <w:t xml:space="preserve">    lower_bound, upper_bound = q1 - (1.5 * iqr), q3 + (1.5 * iqr)</w:t>
            </w:r>
          </w:p>
          <w:p>
            <w:pPr>
              <w:spacing w:after="0" w:before="0" w:line="240" w:lineRule="auto"/>
            </w:pPr>
            <w:r>
              <w:rPr>
                <w:rFonts w:ascii="Consolas" w:hAnsi="Consolas" w:eastAsia="Consolas"/>
                <w:color w:val="1A232E"/>
                <w:sz w:val="16"/>
              </w:rPr>
              <w:t xml:space="preserve">    df[column] = df[column].clip(lower=lower_bound, upper=upper_bound)</w:t>
            </w:r>
          </w:p>
        </w:tc>
      </w:tr>
    </w:tbl>
    <w:p>
      <w:pPr>
        <w:spacing w:after="80"/>
      </w:pPr>
    </w:p>
    <w:p>
      <w:pPr>
        <w:spacing w:after="120" w:before="0"/>
        <w:jc w:val="both"/>
      </w:pPr>
      <w:r>
        <w:rPr>
          <w:b w:val="0"/>
          <w:i w:val="0"/>
          <w:sz w:val="21"/>
        </w:rPr>
        <w:t>Tukey's rule, applied as capping rather than deletion so the record and its label are preserved. Executed against this dataset it caps nothing at all — all three columns are bounded by their own business rules and the measured outlier count is zero in every case. The step is protective rather than corrective.</w:t>
      </w:r>
    </w:p>
    <w:p>
      <w:pPr>
        <w:keepNext/>
        <w:spacing w:before="240" w:after="80"/>
      </w:pPr>
      <w:r>
        <w:rPr>
          <w:b/>
          <w:color w:val="1B355E"/>
          <w:sz w:val="25"/>
        </w:rPr>
        <w:t>12.3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096"/>
        <w:gridCol w:w="2232"/>
        <w:gridCol w:w="3988"/>
      </w:tblGrid>
      <w:tr>
        <w:tc>
          <w:tcPr>
            <w:tcW w:type="dxa" w:w="3096"/>
            <w:shd w:val="clear" w:color="auto" w:fill="1B355E"/>
          </w:tcPr>
          <w:p>
            <w:pPr>
              <w:spacing w:after="20" w:before="20"/>
              <w:jc w:val="center"/>
            </w:pPr>
            <w:r>
              <w:rPr>
                <w:b/>
                <w:color w:val="FFFFFF"/>
                <w:sz w:val="16"/>
              </w:rPr>
              <w:t>Operation</w:t>
            </w:r>
          </w:p>
        </w:tc>
        <w:tc>
          <w:tcPr>
            <w:tcW w:type="dxa" w:w="2232"/>
            <w:shd w:val="clear" w:color="auto" w:fill="1B355E"/>
          </w:tcPr>
          <w:p>
            <w:pPr>
              <w:spacing w:after="20" w:before="20"/>
              <w:jc w:val="center"/>
            </w:pPr>
            <w:r>
              <w:rPr>
                <w:b/>
                <w:color w:val="FFFFFF"/>
                <w:sz w:val="16"/>
              </w:rPr>
              <w:t>Records affected</w:t>
            </w:r>
          </w:p>
        </w:tc>
        <w:tc>
          <w:tcPr>
            <w:tcW w:type="dxa" w:w="3989"/>
            <w:shd w:val="clear" w:color="auto" w:fill="1B355E"/>
          </w:tcPr>
          <w:p>
            <w:pPr>
              <w:spacing w:after="20" w:before="20"/>
              <w:jc w:val="center"/>
            </w:pPr>
            <w:r>
              <w:rPr>
                <w:b/>
                <w:color w:val="FFFFFF"/>
                <w:sz w:val="16"/>
              </w:rPr>
              <w:t>Outcome</w:t>
            </w:r>
          </w:p>
        </w:tc>
      </w:tr>
      <w:tr>
        <w:tc>
          <w:tcPr>
            <w:tcW w:type="dxa" w:w="3096"/>
          </w:tcPr>
          <w:p>
            <w:pPr>
              <w:spacing w:after="20" w:before="20" w:line="254" w:lineRule="auto"/>
              <w:jc w:val="left"/>
            </w:pPr>
            <w:r>
              <w:rPr>
                <w:sz w:val="16"/>
              </w:rPr>
              <w:t>Whitespace → null conversion</w:t>
            </w:r>
          </w:p>
        </w:tc>
        <w:tc>
          <w:tcPr>
            <w:tcW w:type="dxa" w:w="2232"/>
          </w:tcPr>
          <w:p>
            <w:pPr>
              <w:spacing w:after="20" w:before="20" w:line="254" w:lineRule="auto"/>
              <w:jc w:val="center"/>
            </w:pPr>
            <w:r>
              <w:rPr>
                <w:sz w:val="16"/>
              </w:rPr>
              <w:t>11 cells</w:t>
            </w:r>
          </w:p>
        </w:tc>
        <w:tc>
          <w:tcPr>
            <w:tcW w:type="dxa" w:w="3989"/>
          </w:tcPr>
          <w:p>
            <w:pPr>
              <w:spacing w:after="20" w:before="20" w:line="254" w:lineRule="auto"/>
              <w:jc w:val="center"/>
            </w:pPr>
            <w:r>
              <w:rPr>
                <w:sz w:val="16"/>
              </w:rPr>
              <w:t>blanks made detectable</w:t>
            </w:r>
          </w:p>
        </w:tc>
      </w:tr>
      <w:tr>
        <w:tc>
          <w:tcPr>
            <w:tcW w:type="dxa" w:w="3096"/>
            <w:shd w:val="clear" w:color="auto" w:fill="F2F5F9"/>
          </w:tcPr>
          <w:p>
            <w:pPr>
              <w:spacing w:after="20" w:before="20" w:line="254" w:lineRule="auto"/>
              <w:jc w:val="left"/>
            </w:pPr>
            <w:r>
              <w:rPr>
                <w:sz w:val="16"/>
              </w:rPr>
              <w:t xml:space="preserve">Numeric cast of </w:t>
            </w:r>
            <w:r>
              <w:rPr>
                <w:rFonts w:ascii="Consolas" w:hAnsi="Consolas" w:eastAsia="Consolas"/>
                <w:color w:val="8A2C1F"/>
                <w:sz w:val="15"/>
              </w:rPr>
              <w:t>TotalCharges</w:t>
            </w:r>
          </w:p>
        </w:tc>
        <w:tc>
          <w:tcPr>
            <w:tcW w:type="dxa" w:w="2232"/>
            <w:shd w:val="clear" w:color="auto" w:fill="F2F5F9"/>
          </w:tcPr>
          <w:p>
            <w:pPr>
              <w:spacing w:after="20" w:before="20" w:line="254" w:lineRule="auto"/>
              <w:jc w:val="center"/>
            </w:pPr>
            <w:r>
              <w:rPr>
                <w:sz w:val="16"/>
              </w:rPr>
              <w:t>7 043 rows</w:t>
            </w:r>
          </w:p>
        </w:tc>
        <w:tc>
          <w:tcPr>
            <w:tcW w:type="dxa" w:w="3989"/>
            <w:shd w:val="clear" w:color="auto" w:fill="F2F5F9"/>
          </w:tcPr>
          <w:p>
            <w:pPr>
              <w:spacing w:after="20" w:before="20" w:line="254" w:lineRule="auto"/>
              <w:jc w:val="center"/>
            </w:pPr>
            <w:r>
              <w:rPr>
                <w:rFonts w:ascii="Consolas" w:hAnsi="Consolas" w:eastAsia="Consolas"/>
                <w:color w:val="8A2C1F"/>
                <w:sz w:val="15"/>
              </w:rPr>
              <w:t>object</w:t>
            </w:r>
            <w:r>
              <w:rPr>
                <w:sz w:val="16"/>
              </w:rPr>
              <w:t xml:space="preserve"> → </w:t>
            </w:r>
            <w:r>
              <w:rPr>
                <w:rFonts w:ascii="Consolas" w:hAnsi="Consolas" w:eastAsia="Consolas"/>
                <w:color w:val="8A2C1F"/>
                <w:sz w:val="15"/>
              </w:rPr>
              <w:t>float64</w:t>
            </w:r>
          </w:p>
        </w:tc>
      </w:tr>
      <w:tr>
        <w:tc>
          <w:tcPr>
            <w:tcW w:type="dxa" w:w="3096"/>
          </w:tcPr>
          <w:p>
            <w:pPr>
              <w:spacing w:after="20" w:before="20" w:line="254" w:lineRule="auto"/>
              <w:jc w:val="left"/>
            </w:pPr>
            <w:r>
              <w:rPr>
                <w:sz w:val="16"/>
              </w:rPr>
              <w:t>Zero-tenure imputation</w:t>
            </w:r>
          </w:p>
        </w:tc>
        <w:tc>
          <w:tcPr>
            <w:tcW w:type="dxa" w:w="2232"/>
          </w:tcPr>
          <w:p>
            <w:pPr>
              <w:spacing w:after="20" w:before="20" w:line="254" w:lineRule="auto"/>
              <w:jc w:val="center"/>
            </w:pPr>
            <w:r>
              <w:rPr>
                <w:sz w:val="16"/>
              </w:rPr>
              <w:t>11 rows</w:t>
            </w:r>
          </w:p>
        </w:tc>
        <w:tc>
          <w:tcPr>
            <w:tcW w:type="dxa" w:w="3989"/>
          </w:tcPr>
          <w:p>
            <w:pPr>
              <w:spacing w:after="20" w:before="20" w:line="254" w:lineRule="auto"/>
              <w:jc w:val="center"/>
            </w:pPr>
            <w:r>
              <w:rPr>
                <w:sz w:val="16"/>
              </w:rPr>
              <w:t>set to 0.0</w:t>
            </w:r>
          </w:p>
        </w:tc>
      </w:tr>
      <w:tr>
        <w:tc>
          <w:tcPr>
            <w:tcW w:type="dxa" w:w="3096"/>
            <w:shd w:val="clear" w:color="auto" w:fill="F2F5F9"/>
          </w:tcPr>
          <w:p>
            <w:pPr>
              <w:spacing w:after="20" w:before="20" w:line="254" w:lineRule="auto"/>
              <w:jc w:val="left"/>
            </w:pPr>
            <w:r>
              <w:rPr>
                <w:sz w:val="16"/>
              </w:rPr>
              <w:t>Median fallback fill</w:t>
            </w:r>
          </w:p>
        </w:tc>
        <w:tc>
          <w:tcPr>
            <w:tcW w:type="dxa" w:w="2232"/>
            <w:shd w:val="clear" w:color="auto" w:fill="F2F5F9"/>
          </w:tcPr>
          <w:p>
            <w:pPr>
              <w:spacing w:after="20" w:before="20" w:line="254" w:lineRule="auto"/>
              <w:jc w:val="center"/>
            </w:pPr>
            <w:r>
              <w:rPr>
                <w:sz w:val="16"/>
              </w:rPr>
              <w:t>0 rows</w:t>
            </w:r>
          </w:p>
        </w:tc>
        <w:tc>
          <w:tcPr>
            <w:tcW w:type="dxa" w:w="3989"/>
            <w:shd w:val="clear" w:color="auto" w:fill="F2F5F9"/>
          </w:tcPr>
          <w:p>
            <w:pPr>
              <w:spacing w:after="20" w:before="20" w:line="254" w:lineRule="auto"/>
              <w:jc w:val="center"/>
            </w:pPr>
            <w:r>
              <w:rPr>
                <w:sz w:val="16"/>
              </w:rPr>
              <w:t>branch not reached</w:t>
            </w:r>
          </w:p>
        </w:tc>
      </w:tr>
      <w:tr>
        <w:tc>
          <w:tcPr>
            <w:tcW w:type="dxa" w:w="3096"/>
          </w:tcPr>
          <w:p>
            <w:pPr>
              <w:spacing w:after="20" w:before="20" w:line="254" w:lineRule="auto"/>
              <w:jc w:val="left"/>
            </w:pPr>
            <w:r>
              <w:rPr>
                <w:sz w:val="16"/>
              </w:rPr>
              <w:t>Duplicate removal</w:t>
            </w:r>
          </w:p>
        </w:tc>
        <w:tc>
          <w:tcPr>
            <w:tcW w:type="dxa" w:w="2232"/>
          </w:tcPr>
          <w:p>
            <w:pPr>
              <w:spacing w:after="20" w:before="20" w:line="254" w:lineRule="auto"/>
              <w:jc w:val="center"/>
            </w:pPr>
            <w:r>
              <w:rPr>
                <w:sz w:val="16"/>
              </w:rPr>
              <w:t>0 rows</w:t>
            </w:r>
          </w:p>
        </w:tc>
        <w:tc>
          <w:tcPr>
            <w:tcW w:type="dxa" w:w="3989"/>
          </w:tcPr>
          <w:p>
            <w:pPr>
              <w:spacing w:after="20" w:before="20" w:line="254" w:lineRule="auto"/>
              <w:jc w:val="center"/>
            </w:pPr>
            <w:r>
              <w:rPr>
                <w:sz w:val="16"/>
              </w:rPr>
              <w:t>dataset already unique</w:t>
            </w:r>
          </w:p>
        </w:tc>
      </w:tr>
      <w:tr>
        <w:tc>
          <w:tcPr>
            <w:tcW w:type="dxa" w:w="3096"/>
            <w:shd w:val="clear" w:color="auto" w:fill="F2F5F9"/>
          </w:tcPr>
          <w:p>
            <w:pPr>
              <w:spacing w:after="20" w:before="20" w:line="254" w:lineRule="auto"/>
              <w:jc w:val="left"/>
            </w:pPr>
            <w:r>
              <w:rPr>
                <w:sz w:val="16"/>
              </w:rPr>
              <w:t>Range validation</w:t>
            </w:r>
          </w:p>
        </w:tc>
        <w:tc>
          <w:tcPr>
            <w:tcW w:type="dxa" w:w="2232"/>
            <w:shd w:val="clear" w:color="auto" w:fill="F2F5F9"/>
          </w:tcPr>
          <w:p>
            <w:pPr>
              <w:spacing w:after="20" w:before="20" w:line="254" w:lineRule="auto"/>
              <w:jc w:val="center"/>
            </w:pPr>
            <w:r>
              <w:rPr>
                <w:sz w:val="16"/>
              </w:rPr>
              <w:t>0 violations</w:t>
            </w:r>
          </w:p>
        </w:tc>
        <w:tc>
          <w:tcPr>
            <w:tcW w:type="dxa" w:w="3989"/>
            <w:shd w:val="clear" w:color="auto" w:fill="F2F5F9"/>
          </w:tcPr>
          <w:p>
            <w:pPr>
              <w:spacing w:after="20" w:before="20" w:line="254" w:lineRule="auto"/>
              <w:jc w:val="center"/>
            </w:pPr>
            <w:r>
              <w:rPr>
                <w:sz w:val="16"/>
              </w:rPr>
              <w:t>all values plausible</w:t>
            </w:r>
          </w:p>
        </w:tc>
      </w:tr>
      <w:tr>
        <w:tc>
          <w:tcPr>
            <w:tcW w:type="dxa" w:w="3096"/>
          </w:tcPr>
          <w:p>
            <w:pPr>
              <w:spacing w:after="20" w:before="20" w:line="254" w:lineRule="auto"/>
              <w:jc w:val="left"/>
            </w:pPr>
            <w:r>
              <w:rPr>
                <w:sz w:val="16"/>
              </w:rPr>
              <w:t>IQR capping</w:t>
            </w:r>
          </w:p>
        </w:tc>
        <w:tc>
          <w:tcPr>
            <w:tcW w:type="dxa" w:w="2232"/>
          </w:tcPr>
          <w:p>
            <w:pPr>
              <w:spacing w:after="20" w:before="20" w:line="254" w:lineRule="auto"/>
              <w:jc w:val="center"/>
            </w:pPr>
            <w:r>
              <w:rPr>
                <w:sz w:val="16"/>
              </w:rPr>
              <w:t>0 values</w:t>
            </w:r>
          </w:p>
        </w:tc>
        <w:tc>
          <w:tcPr>
            <w:tcW w:type="dxa" w:w="3989"/>
          </w:tcPr>
          <w:p>
            <w:pPr>
              <w:spacing w:after="20" w:before="20" w:line="254" w:lineRule="auto"/>
              <w:jc w:val="left"/>
            </w:pPr>
            <w:r>
              <w:rPr>
                <w:sz w:val="16"/>
              </w:rPr>
              <w:t>no extreme values present</w:t>
            </w:r>
          </w:p>
        </w:tc>
      </w:tr>
      <w:tr>
        <w:tc>
          <w:tcPr>
            <w:tcW w:type="dxa" w:w="3096"/>
            <w:shd w:val="clear" w:color="auto" w:fill="F2F5F9"/>
          </w:tcPr>
          <w:p>
            <w:pPr>
              <w:spacing w:after="20" w:before="20" w:line="254" w:lineRule="auto"/>
              <w:jc w:val="left"/>
            </w:pPr>
            <w:r>
              <w:rPr>
                <w:sz w:val="16"/>
              </w:rPr>
              <w:t>Label standardisation</w:t>
            </w:r>
          </w:p>
        </w:tc>
        <w:tc>
          <w:tcPr>
            <w:tcW w:type="dxa" w:w="2232"/>
            <w:shd w:val="clear" w:color="auto" w:fill="F2F5F9"/>
          </w:tcPr>
          <w:p>
            <w:pPr>
              <w:spacing w:after="20" w:before="20" w:line="254" w:lineRule="auto"/>
              <w:jc w:val="center"/>
            </w:pPr>
            <w:r>
              <w:rPr>
                <w:sz w:val="16"/>
              </w:rPr>
              <w:t>7 columns</w:t>
            </w:r>
          </w:p>
        </w:tc>
        <w:tc>
          <w:tcPr>
            <w:tcW w:type="dxa" w:w="3989"/>
            <w:shd w:val="clear" w:color="auto" w:fill="F2F5F9"/>
          </w:tcPr>
          <w:p>
            <w:pPr>
              <w:spacing w:after="20" w:before="20" w:line="254" w:lineRule="auto"/>
              <w:jc w:val="center"/>
            </w:pPr>
            <w:r>
              <w:rPr>
                <w:sz w:val="16"/>
              </w:rPr>
              <w:t>3 levels reduced to 2</w:t>
            </w:r>
          </w:p>
        </w:tc>
      </w:tr>
    </w:tbl>
    <w:p>
      <w:pPr>
        <w:spacing w:before="60" w:after="200"/>
        <w:jc w:val="center"/>
      </w:pPr>
      <w:r>
        <w:rPr>
          <w:i/>
          <w:color w:val="555F6B"/>
          <w:sz w:val="17"/>
        </w:rPr>
        <w:t>Table 18: Every cleaning operation with its measured effect.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04"/>
        <w:gridCol w:w="1368"/>
        <w:gridCol w:w="1468"/>
        <w:gridCol w:w="1368"/>
        <w:gridCol w:w="1368"/>
        <w:gridCol w:w="1440"/>
      </w:tblGrid>
      <w:tr>
        <w:tc>
          <w:tcPr>
            <w:tcW w:type="dxa" w:w="2304"/>
            <w:shd w:val="clear" w:color="auto" w:fill="1B355E"/>
          </w:tcPr>
          <w:p>
            <w:pPr>
              <w:spacing w:after="20" w:before="20"/>
              <w:jc w:val="center"/>
            </w:pPr>
            <w:r>
              <w:rPr>
                <w:b/>
                <w:color w:val="FFFFFF"/>
                <w:sz w:val="17"/>
              </w:rPr>
              <w:t>Column</w:t>
            </w:r>
          </w:p>
        </w:tc>
        <w:tc>
          <w:tcPr>
            <w:tcW w:type="dxa" w:w="1368"/>
            <w:shd w:val="clear" w:color="auto" w:fill="1B355E"/>
          </w:tcPr>
          <w:p>
            <w:pPr>
              <w:spacing w:after="20" w:before="20"/>
              <w:jc w:val="center"/>
            </w:pPr>
            <w:r>
              <w:rPr>
                <w:b/>
                <w:color w:val="FFFFFF"/>
                <w:sz w:val="17"/>
              </w:rPr>
              <w:t>Min</w:t>
            </w:r>
          </w:p>
        </w:tc>
        <w:tc>
          <w:tcPr>
            <w:tcW w:type="dxa" w:w="1469"/>
            <w:shd w:val="clear" w:color="auto" w:fill="1B355E"/>
          </w:tcPr>
          <w:p>
            <w:pPr>
              <w:spacing w:after="20" w:before="20"/>
              <w:jc w:val="center"/>
            </w:pPr>
            <w:r>
              <w:rPr>
                <w:b/>
                <w:color w:val="FFFFFF"/>
                <w:sz w:val="17"/>
              </w:rPr>
              <w:t>Max</w:t>
            </w:r>
          </w:p>
        </w:tc>
        <w:tc>
          <w:tcPr>
            <w:tcW w:type="dxa" w:w="1368"/>
            <w:shd w:val="clear" w:color="auto" w:fill="1B355E"/>
          </w:tcPr>
          <w:p>
            <w:pPr>
              <w:spacing w:after="20" w:before="20"/>
              <w:jc w:val="center"/>
            </w:pPr>
            <w:r>
              <w:rPr>
                <w:b/>
                <w:color w:val="FFFFFF"/>
                <w:sz w:val="17"/>
              </w:rPr>
              <w:t>Mean</w:t>
            </w:r>
          </w:p>
        </w:tc>
        <w:tc>
          <w:tcPr>
            <w:tcW w:type="dxa" w:w="1368"/>
            <w:shd w:val="clear" w:color="auto" w:fill="1B355E"/>
          </w:tcPr>
          <w:p>
            <w:pPr>
              <w:spacing w:after="20" w:before="20"/>
              <w:jc w:val="center"/>
            </w:pPr>
            <w:r>
              <w:rPr>
                <w:b/>
                <w:color w:val="FFFFFF"/>
                <w:sz w:val="17"/>
              </w:rPr>
              <w:t>Median</w:t>
            </w:r>
          </w:p>
        </w:tc>
        <w:tc>
          <w:tcPr>
            <w:tcW w:type="dxa" w:w="1440"/>
            <w:shd w:val="clear" w:color="auto" w:fill="1B355E"/>
          </w:tcPr>
          <w:p>
            <w:pPr>
              <w:spacing w:after="20" w:before="20"/>
              <w:jc w:val="center"/>
            </w:pPr>
            <w:r>
              <w:rPr>
                <w:b/>
                <w:color w:val="FFFFFF"/>
                <w:sz w:val="17"/>
              </w:rPr>
              <w:t>Std dev</w:t>
            </w:r>
          </w:p>
        </w:tc>
      </w:tr>
      <w:tr>
        <w:tc>
          <w:tcPr>
            <w:tcW w:type="dxa" w:w="2304"/>
          </w:tcPr>
          <w:p>
            <w:pPr>
              <w:spacing w:after="20" w:before="20" w:line="254" w:lineRule="auto"/>
              <w:jc w:val="left"/>
            </w:pPr>
            <w:r>
              <w:rPr>
                <w:rFonts w:ascii="Consolas" w:hAnsi="Consolas" w:eastAsia="Consolas"/>
                <w:color w:val="8A2C1F"/>
                <w:sz w:val="16"/>
              </w:rPr>
              <w:t>tenure</w:t>
            </w:r>
            <w:r>
              <w:rPr>
                <w:sz w:val="17"/>
              </w:rPr>
              <w:t xml:space="preserve"> (months)</w:t>
            </w:r>
          </w:p>
        </w:tc>
        <w:tc>
          <w:tcPr>
            <w:tcW w:type="dxa" w:w="1368"/>
          </w:tcPr>
          <w:p>
            <w:pPr>
              <w:spacing w:after="20" w:before="20" w:line="254" w:lineRule="auto"/>
              <w:jc w:val="center"/>
            </w:pPr>
            <w:r>
              <w:rPr>
                <w:sz w:val="17"/>
              </w:rPr>
              <w:t>0.00</w:t>
            </w:r>
          </w:p>
        </w:tc>
        <w:tc>
          <w:tcPr>
            <w:tcW w:type="dxa" w:w="1469"/>
          </w:tcPr>
          <w:p>
            <w:pPr>
              <w:spacing w:after="20" w:before="20" w:line="254" w:lineRule="auto"/>
              <w:jc w:val="center"/>
            </w:pPr>
            <w:r>
              <w:rPr>
                <w:sz w:val="17"/>
              </w:rPr>
              <w:t>72.00</w:t>
            </w:r>
          </w:p>
        </w:tc>
        <w:tc>
          <w:tcPr>
            <w:tcW w:type="dxa" w:w="1368"/>
          </w:tcPr>
          <w:p>
            <w:pPr>
              <w:spacing w:after="20" w:before="20" w:line="254" w:lineRule="auto"/>
              <w:jc w:val="center"/>
            </w:pPr>
            <w:r>
              <w:rPr>
                <w:sz w:val="17"/>
              </w:rPr>
              <w:t>32.37</w:t>
            </w:r>
          </w:p>
        </w:tc>
        <w:tc>
          <w:tcPr>
            <w:tcW w:type="dxa" w:w="1368"/>
          </w:tcPr>
          <w:p>
            <w:pPr>
              <w:spacing w:after="20" w:before="20" w:line="254" w:lineRule="auto"/>
              <w:jc w:val="center"/>
            </w:pPr>
            <w:r>
              <w:rPr>
                <w:sz w:val="17"/>
              </w:rPr>
              <w:t>29.00</w:t>
            </w:r>
          </w:p>
        </w:tc>
        <w:tc>
          <w:tcPr>
            <w:tcW w:type="dxa" w:w="1440"/>
          </w:tcPr>
          <w:p>
            <w:pPr>
              <w:spacing w:after="20" w:before="20" w:line="254" w:lineRule="auto"/>
              <w:jc w:val="center"/>
            </w:pPr>
            <w:r>
              <w:rPr>
                <w:sz w:val="17"/>
              </w:rPr>
              <w:t>24.56</w:t>
            </w:r>
          </w:p>
        </w:tc>
      </w:tr>
      <w:tr>
        <w:tc>
          <w:tcPr>
            <w:tcW w:type="dxa" w:w="2304"/>
            <w:shd w:val="clear" w:color="auto" w:fill="F2F5F9"/>
          </w:tcPr>
          <w:p>
            <w:pPr>
              <w:spacing w:after="20" w:before="20" w:line="254" w:lineRule="auto"/>
              <w:jc w:val="left"/>
            </w:pPr>
            <w:r>
              <w:rPr>
                <w:rFonts w:ascii="Consolas" w:hAnsi="Consolas" w:eastAsia="Consolas"/>
                <w:color w:val="8A2C1F"/>
                <w:sz w:val="16"/>
              </w:rPr>
              <w:t>MonthlyCharges</w:t>
            </w:r>
          </w:p>
        </w:tc>
        <w:tc>
          <w:tcPr>
            <w:tcW w:type="dxa" w:w="1368"/>
            <w:shd w:val="clear" w:color="auto" w:fill="F2F5F9"/>
          </w:tcPr>
          <w:p>
            <w:pPr>
              <w:spacing w:after="20" w:before="20" w:line="254" w:lineRule="auto"/>
              <w:jc w:val="center"/>
            </w:pPr>
            <w:r>
              <w:rPr>
                <w:sz w:val="17"/>
              </w:rPr>
              <w:t>18.25</w:t>
            </w:r>
          </w:p>
        </w:tc>
        <w:tc>
          <w:tcPr>
            <w:tcW w:type="dxa" w:w="1469"/>
            <w:shd w:val="clear" w:color="auto" w:fill="F2F5F9"/>
          </w:tcPr>
          <w:p>
            <w:pPr>
              <w:spacing w:after="20" w:before="20" w:line="254" w:lineRule="auto"/>
              <w:jc w:val="center"/>
            </w:pPr>
            <w:r>
              <w:rPr>
                <w:sz w:val="17"/>
              </w:rPr>
              <w:t>118.75</w:t>
            </w:r>
          </w:p>
        </w:tc>
        <w:tc>
          <w:tcPr>
            <w:tcW w:type="dxa" w:w="1368"/>
            <w:shd w:val="clear" w:color="auto" w:fill="F2F5F9"/>
          </w:tcPr>
          <w:p>
            <w:pPr>
              <w:spacing w:after="20" w:before="20" w:line="254" w:lineRule="auto"/>
              <w:jc w:val="center"/>
            </w:pPr>
            <w:r>
              <w:rPr>
                <w:sz w:val="17"/>
              </w:rPr>
              <w:t>64.76</w:t>
            </w:r>
          </w:p>
        </w:tc>
        <w:tc>
          <w:tcPr>
            <w:tcW w:type="dxa" w:w="1368"/>
            <w:shd w:val="clear" w:color="auto" w:fill="F2F5F9"/>
          </w:tcPr>
          <w:p>
            <w:pPr>
              <w:spacing w:after="20" w:before="20" w:line="254" w:lineRule="auto"/>
              <w:jc w:val="center"/>
            </w:pPr>
            <w:r>
              <w:rPr>
                <w:sz w:val="17"/>
              </w:rPr>
              <w:t>70.35</w:t>
            </w:r>
          </w:p>
        </w:tc>
        <w:tc>
          <w:tcPr>
            <w:tcW w:type="dxa" w:w="1440"/>
            <w:shd w:val="clear" w:color="auto" w:fill="F2F5F9"/>
          </w:tcPr>
          <w:p>
            <w:pPr>
              <w:spacing w:after="20" w:before="20" w:line="254" w:lineRule="auto"/>
              <w:jc w:val="center"/>
            </w:pPr>
            <w:r>
              <w:rPr>
                <w:sz w:val="17"/>
              </w:rPr>
              <w:t>30.09</w:t>
            </w:r>
          </w:p>
        </w:tc>
      </w:tr>
      <w:tr>
        <w:tc>
          <w:tcPr>
            <w:tcW w:type="dxa" w:w="2304"/>
          </w:tcPr>
          <w:p>
            <w:pPr>
              <w:spacing w:after="20" w:before="20" w:line="254" w:lineRule="auto"/>
              <w:jc w:val="left"/>
            </w:pPr>
            <w:r>
              <w:rPr>
                <w:rFonts w:ascii="Consolas" w:hAnsi="Consolas" w:eastAsia="Consolas"/>
                <w:color w:val="8A2C1F"/>
                <w:sz w:val="16"/>
              </w:rPr>
              <w:t>TotalCharges</w:t>
            </w:r>
          </w:p>
        </w:tc>
        <w:tc>
          <w:tcPr>
            <w:tcW w:type="dxa" w:w="1368"/>
          </w:tcPr>
          <w:p>
            <w:pPr>
              <w:spacing w:after="20" w:before="20" w:line="254" w:lineRule="auto"/>
              <w:jc w:val="center"/>
            </w:pPr>
            <w:r>
              <w:rPr>
                <w:sz w:val="17"/>
              </w:rPr>
              <w:t>0.00</w:t>
            </w:r>
          </w:p>
        </w:tc>
        <w:tc>
          <w:tcPr>
            <w:tcW w:type="dxa" w:w="1469"/>
          </w:tcPr>
          <w:p>
            <w:pPr>
              <w:spacing w:after="20" w:before="20" w:line="254" w:lineRule="auto"/>
              <w:jc w:val="center"/>
            </w:pPr>
            <w:r>
              <w:rPr>
                <w:sz w:val="17"/>
              </w:rPr>
              <w:t>8 684.80</w:t>
            </w:r>
          </w:p>
        </w:tc>
        <w:tc>
          <w:tcPr>
            <w:tcW w:type="dxa" w:w="1368"/>
          </w:tcPr>
          <w:p>
            <w:pPr>
              <w:spacing w:after="20" w:before="20" w:line="254" w:lineRule="auto"/>
              <w:jc w:val="center"/>
            </w:pPr>
            <w:r>
              <w:rPr>
                <w:sz w:val="17"/>
              </w:rPr>
              <w:t>2 279.73</w:t>
            </w:r>
          </w:p>
        </w:tc>
        <w:tc>
          <w:tcPr>
            <w:tcW w:type="dxa" w:w="1368"/>
          </w:tcPr>
          <w:p>
            <w:pPr>
              <w:spacing w:after="20" w:before="20" w:line="254" w:lineRule="auto"/>
              <w:jc w:val="center"/>
            </w:pPr>
            <w:r>
              <w:rPr>
                <w:sz w:val="17"/>
              </w:rPr>
              <w:t>1 394.55</w:t>
            </w:r>
          </w:p>
        </w:tc>
        <w:tc>
          <w:tcPr>
            <w:tcW w:type="dxa" w:w="1440"/>
          </w:tcPr>
          <w:p>
            <w:pPr>
              <w:spacing w:after="20" w:before="20" w:line="254" w:lineRule="auto"/>
              <w:jc w:val="center"/>
            </w:pPr>
            <w:r>
              <w:rPr>
                <w:sz w:val="17"/>
              </w:rPr>
              <w:t>2 266.79</w:t>
            </w:r>
          </w:p>
        </w:tc>
      </w:tr>
    </w:tbl>
    <w:p>
      <w:pPr>
        <w:spacing w:before="60" w:after="200"/>
        <w:jc w:val="center"/>
      </w:pPr>
      <w:r>
        <w:rPr>
          <w:i/>
          <w:color w:val="555F6B"/>
          <w:sz w:val="17"/>
        </w:rPr>
        <w:t>Table 19: Descriptive statistics after cleaning. All 7 043 records retained.</w:t>
      </w:r>
    </w:p>
    <w:p>
      <w:r>
        <w:br w:type="page"/>
      </w:r>
    </w:p>
    <w:p>
      <w:pPr>
        <w:spacing w:after="0"/>
      </w:pPr>
    </w:p>
    <w:p>
      <w:pPr>
        <w:keepNext/>
        <w:spacing w:before="80" w:after="40"/>
        <w:pBdr>
          <w:bottom w:val="single" w:sz="10" w:space="3" w:color="1B355E"/>
        </w:pBdr>
      </w:pPr>
      <w:r>
        <w:rPr>
          <w:b/>
          <w:color w:val="1B355E"/>
          <w:sz w:val="30"/>
        </w:rPr>
        <w:t>13.  Phase 3 — Exploratory Data Analysis</w:t>
      </w:r>
    </w:p>
    <w:p>
      <w:pPr>
        <w:spacing w:after="40"/>
      </w:pPr>
    </w:p>
    <w:p>
      <w:pPr>
        <w:keepNext/>
        <w:spacing w:before="240" w:after="80"/>
      </w:pPr>
      <w:r>
        <w:rPr>
          <w:b/>
          <w:color w:val="1B355E"/>
          <w:sz w:val="25"/>
        </w:rPr>
        <w:t>13.1  Purpose</w:t>
      </w:r>
    </w:p>
    <w:p>
      <w:pPr>
        <w:spacing w:after="120" w:before="0"/>
        <w:jc w:val="both"/>
      </w:pPr>
      <w:r>
        <w:rPr>
          <w:b w:val="0"/>
          <w:i w:val="0"/>
          <w:sz w:val="21"/>
        </w:rPr>
        <w:t>Phase 3 answers the question that determines whether the modelling effort is worthwhile: does churn concentrate in identifiable groups? It works through univariate distributions, bivariate churn-rate profiling, correlation structure and tenure cohorts, writing nine charts. Unchanged by remediation.</w:t>
      </w:r>
    </w:p>
    <w:p>
      <w:pPr>
        <w:keepNext/>
        <w:spacing w:before="240" w:after="80"/>
      </w:pPr>
      <w:r>
        <w:rPr>
          <w:b/>
          <w:color w:val="1B355E"/>
          <w:sz w:val="25"/>
        </w:rPr>
        <w:t>13.2  The reusable churn-rate routine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create_churn_rate_chart(column, title, filename, order=None):</w:t>
            </w:r>
          </w:p>
          <w:p>
            <w:pPr>
              <w:spacing w:after="0" w:before="0" w:line="240" w:lineRule="auto"/>
            </w:pPr>
            <w:r>
              <w:rPr>
                <w:rFonts w:ascii="Consolas" w:hAnsi="Consolas" w:eastAsia="Consolas"/>
                <w:color w:val="1A232E"/>
                <w:sz w:val="16"/>
              </w:rPr>
              <w:t xml:space="preserve">    summary = (df.groupby(column, observed=False)["ChurnFlag"]</w:t>
            </w:r>
          </w:p>
          <w:p>
            <w:pPr>
              <w:spacing w:after="0" w:before="0" w:line="240" w:lineRule="auto"/>
            </w:pPr>
            <w:r>
              <w:rPr>
                <w:rFonts w:ascii="Consolas" w:hAnsi="Consolas" w:eastAsia="Consolas"/>
                <w:color w:val="1A232E"/>
                <w:sz w:val="16"/>
              </w:rPr>
              <w:t xml:space="preserve">                 .agg(["mean", "count"]).reset_index())</w:t>
            </w:r>
          </w:p>
          <w:p>
            <w:pPr>
              <w:spacing w:after="0" w:before="0" w:line="240" w:lineRule="auto"/>
            </w:pPr>
            <w:r>
              <w:rPr>
                <w:rFonts w:ascii="Consolas" w:hAnsi="Consolas" w:eastAsia="Consolas"/>
                <w:color w:val="1A232E"/>
                <w:sz w:val="16"/>
              </w:rPr>
              <w:t xml:space="preserve">    summary["ChurnRate"] = (summary["mean"] * 100).round(2)</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ax = sns.barplot(data=summary, x=column, y="ChurnRate",</w:t>
            </w:r>
          </w:p>
          <w:p>
            <w:pPr>
              <w:spacing w:after="0" w:before="0" w:line="240" w:lineRule="auto"/>
            </w:pPr>
            <w:r>
              <w:rPr>
                <w:rFonts w:ascii="Consolas" w:hAnsi="Consolas" w:eastAsia="Consolas"/>
                <w:color w:val="1A232E"/>
                <w:sz w:val="16"/>
              </w:rPr>
              <w:t xml:space="preserve">                     order=order, color="teal")</w:t>
            </w:r>
          </w:p>
          <w:p>
            <w:pPr>
              <w:spacing w:after="0" w:before="0" w:line="240" w:lineRule="auto"/>
            </w:pPr>
            <w:r>
              <w:rPr>
                <w:rFonts w:ascii="Consolas" w:hAnsi="Consolas" w:eastAsia="Consolas"/>
                <w:color w:val="1A232E"/>
                <w:sz w:val="16"/>
              </w:rPr>
              <w:t xml:space="preserve">    for container in ax.containers:</w:t>
            </w:r>
          </w:p>
          <w:p>
            <w:pPr>
              <w:spacing w:after="0" w:before="0" w:line="240" w:lineRule="auto"/>
            </w:pPr>
            <w:r>
              <w:rPr>
                <w:rFonts w:ascii="Consolas" w:hAnsi="Consolas" w:eastAsia="Consolas"/>
                <w:color w:val="1A232E"/>
                <w:sz w:val="16"/>
              </w:rPr>
              <w:t xml:space="preserve">        ax.bar_label(container, fmt="%.1f%%", padding=3)</w:t>
            </w:r>
          </w:p>
        </w:tc>
      </w:tr>
    </w:tbl>
    <w:p>
      <w:pPr>
        <w:spacing w:after="80"/>
      </w:pPr>
    </w:p>
    <w:p>
      <w:pPr>
        <w:spacing w:after="120" w:before="0"/>
        <w:jc w:val="both"/>
      </w:pPr>
      <w:r>
        <w:rPr>
          <w:b w:val="0"/>
          <w:i w:val="0"/>
          <w:sz w:val="21"/>
        </w:rPr>
        <w:t xml:space="preserve">Five of the nine charts come from this one function. It aggregates both the mean and the count in a single pass — the count matters, because a 60 % churn rate over twelve customers is noise while the same rate over two thousand is a finding — and annotates each bar with its exact value. Mapping churn to a 0/1 integer is what makes a churn rate an arithmetic mean, so any </w:t>
      </w:r>
      <w:r>
        <w:rPr>
          <w:rFonts w:ascii="Consolas" w:hAnsi="Consolas" w:eastAsia="Consolas"/>
          <w:b w:val="0"/>
          <w:i w:val="0"/>
          <w:color w:val="8A2C1F"/>
          <w:sz w:val="19"/>
        </w:rPr>
        <w:t>groupby(...).mean()</w:t>
      </w:r>
      <w:r>
        <w:rPr>
          <w:b w:val="0"/>
          <w:i w:val="0"/>
          <w:sz w:val="21"/>
        </w:rPr>
        <w:t xml:space="preserve"> returns a rate directly.</w:t>
      </w:r>
    </w:p>
    <w:p>
      <w:pPr>
        <w:keepNext/>
        <w:spacing w:before="240" w:after="80"/>
      </w:pPr>
      <w:r>
        <w:rPr>
          <w:b/>
          <w:color w:val="1B355E"/>
          <w:sz w:val="25"/>
        </w:rPr>
        <w:t>13.3  Results: univariate distributions</w:t>
      </w:r>
    </w:p>
    <w:p>
      <w:pPr>
        <w:keepNext/>
        <w:spacing w:before="120" w:after="60"/>
        <w:jc w:val="center"/>
      </w:pPr>
      <w:r>
        <w:drawing>
          <wp:inline xmlns:a="http://schemas.openxmlformats.org/drawingml/2006/main" xmlns:pic="http://schemas.openxmlformats.org/drawingml/2006/picture">
            <wp:extent cx="5760720" cy="4094970"/>
            <wp:docPr id="4" name="Picture 4"/>
            <wp:cNvGraphicFramePr>
              <a:graphicFrameLocks noChangeAspect="1"/>
            </wp:cNvGraphicFramePr>
            <a:graphic>
              <a:graphicData uri="http://schemas.openxmlformats.org/drawingml/2006/picture">
                <pic:pic>
                  <pic:nvPicPr>
                    <pic:cNvPr id="0" name="phase3_univariate_analysis.png"/>
                    <pic:cNvPicPr/>
                  </pic:nvPicPr>
                  <pic:blipFill>
                    <a:blip r:embed="rId12"/>
                    <a:stretch>
                      <a:fillRect/>
                    </a:stretch>
                  </pic:blipFill>
                  <pic:spPr>
                    <a:xfrm>
                      <a:off x="0" y="0"/>
                      <a:ext cx="5760720" cy="4094970"/>
                    </a:xfrm>
                    <a:prstGeom prst="rect"/>
                  </pic:spPr>
                </pic:pic>
              </a:graphicData>
            </a:graphic>
          </wp:inline>
        </w:drawing>
      </w:r>
    </w:p>
    <w:p>
      <w:pPr>
        <w:spacing w:before="60" w:after="220"/>
        <w:jc w:val="center"/>
      </w:pPr>
      <w:r>
        <w:rPr>
          <w:i/>
          <w:color w:val="555F6B"/>
          <w:sz w:val="17"/>
        </w:rPr>
        <w:t>Figure 4: Univariate distributions: churn balance, tenure, monthly charges and contract type.</w:t>
      </w:r>
    </w:p>
    <w:p>
      <w:pPr>
        <w:spacing w:after="120" w:before="0"/>
        <w:jc w:val="both"/>
      </w:pPr>
      <w:r>
        <w:rPr>
          <w:b w:val="0"/>
          <w:i w:val="0"/>
          <w:sz w:val="21"/>
        </w:rPr>
        <w:t>Three shapes drive the rest of the analysis. Tenure is strongly bimodal — a large mass of very new customers and a second peak at the 72-month ceiling. Monthly charges are bimodal too, separating a low-cost phone-only population near 20 from a bundled population above 70. And month-to-month is by a wide margin the most common contract, which matters because it is also by far the riskiest.</w:t>
      </w:r>
    </w:p>
    <w:p>
      <w:r>
        <w:br w:type="page"/>
      </w:r>
    </w:p>
    <w:p>
      <w:pPr>
        <w:keepNext/>
        <w:spacing w:before="240" w:after="80"/>
      </w:pPr>
      <w:r>
        <w:rPr>
          <w:b/>
          <w:color w:val="1B355E"/>
          <w:sz w:val="25"/>
        </w:rPr>
        <w:t>13.4  Results: churn rate by attribute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612"/>
        <w:gridCol w:w="2476"/>
        <w:gridCol w:w="1296"/>
        <w:gridCol w:w="1512"/>
        <w:gridCol w:w="2419"/>
      </w:tblGrid>
      <w:tr>
        <w:tc>
          <w:tcPr>
            <w:tcW w:type="dxa" w:w="1613"/>
            <w:shd w:val="clear" w:color="auto" w:fill="1B355E"/>
          </w:tcPr>
          <w:p>
            <w:pPr>
              <w:spacing w:after="20" w:before="20"/>
              <w:jc w:val="center"/>
            </w:pPr>
            <w:r>
              <w:rPr>
                <w:b/>
                <w:color w:val="FFFFFF"/>
                <w:sz w:val="15"/>
              </w:rPr>
              <w:t>Attribute</w:t>
            </w:r>
          </w:p>
        </w:tc>
        <w:tc>
          <w:tcPr>
            <w:tcW w:type="dxa" w:w="2477"/>
            <w:shd w:val="clear" w:color="auto" w:fill="1B355E"/>
          </w:tcPr>
          <w:p>
            <w:pPr>
              <w:spacing w:after="20" w:before="20"/>
              <w:jc w:val="center"/>
            </w:pPr>
            <w:r>
              <w:rPr>
                <w:b/>
                <w:color w:val="FFFFFF"/>
                <w:sz w:val="15"/>
              </w:rPr>
              <w:t>Level</w:t>
            </w:r>
          </w:p>
        </w:tc>
        <w:tc>
          <w:tcPr>
            <w:tcW w:type="dxa" w:w="1296"/>
            <w:shd w:val="clear" w:color="auto" w:fill="1B355E"/>
          </w:tcPr>
          <w:p>
            <w:pPr>
              <w:spacing w:after="20" w:before="20"/>
              <w:jc w:val="center"/>
            </w:pPr>
            <w:r>
              <w:rPr>
                <w:b/>
                <w:color w:val="FFFFFF"/>
                <w:sz w:val="15"/>
              </w:rPr>
              <w:t>Customers</w:t>
            </w:r>
          </w:p>
        </w:tc>
        <w:tc>
          <w:tcPr>
            <w:tcW w:type="dxa" w:w="1512"/>
            <w:shd w:val="clear" w:color="auto" w:fill="1B355E"/>
          </w:tcPr>
          <w:p>
            <w:pPr>
              <w:spacing w:after="20" w:before="20"/>
              <w:jc w:val="center"/>
            </w:pPr>
            <w:r>
              <w:rPr>
                <w:b/>
                <w:color w:val="FFFFFF"/>
                <w:sz w:val="15"/>
              </w:rPr>
              <w:t>Churn rate</w:t>
            </w:r>
          </w:p>
        </w:tc>
        <w:tc>
          <w:tcPr>
            <w:tcW w:type="dxa" w:w="2419"/>
            <w:shd w:val="clear" w:color="auto" w:fill="1B355E"/>
          </w:tcPr>
          <w:p>
            <w:pPr>
              <w:spacing w:after="20" w:before="20"/>
              <w:jc w:val="center"/>
            </w:pPr>
            <w:r>
              <w:rPr>
                <w:b/>
                <w:color w:val="FFFFFF"/>
                <w:sz w:val="15"/>
              </w:rPr>
              <w:t>Lift vs 26.54 % base</w:t>
            </w:r>
          </w:p>
        </w:tc>
      </w:tr>
      <w:tr>
        <w:tc>
          <w:tcPr>
            <w:tcW w:type="dxa" w:w="1613"/>
          </w:tcPr>
          <w:p>
            <w:pPr>
              <w:spacing w:after="20" w:before="20" w:line="254" w:lineRule="auto"/>
              <w:jc w:val="left"/>
            </w:pPr>
            <w:r>
              <w:rPr>
                <w:sz w:val="15"/>
              </w:rPr>
              <w:t>Contract</w:t>
            </w:r>
          </w:p>
        </w:tc>
        <w:tc>
          <w:tcPr>
            <w:tcW w:type="dxa" w:w="2477"/>
          </w:tcPr>
          <w:p>
            <w:pPr>
              <w:spacing w:after="20" w:before="20" w:line="254" w:lineRule="auto"/>
              <w:jc w:val="center"/>
            </w:pPr>
            <w:r>
              <w:rPr>
                <w:sz w:val="15"/>
              </w:rPr>
              <w:t>Month-to-month</w:t>
            </w:r>
          </w:p>
        </w:tc>
        <w:tc>
          <w:tcPr>
            <w:tcW w:type="dxa" w:w="1296"/>
          </w:tcPr>
          <w:p>
            <w:pPr>
              <w:spacing w:after="20" w:before="20" w:line="254" w:lineRule="auto"/>
              <w:jc w:val="center"/>
            </w:pPr>
            <w:r>
              <w:rPr>
                <w:sz w:val="15"/>
              </w:rPr>
              <w:t>3 875</w:t>
            </w:r>
          </w:p>
        </w:tc>
        <w:tc>
          <w:tcPr>
            <w:tcW w:type="dxa" w:w="1512"/>
          </w:tcPr>
          <w:p>
            <w:pPr>
              <w:spacing w:after="20" w:before="20" w:line="254" w:lineRule="auto"/>
              <w:jc w:val="center"/>
            </w:pPr>
            <w:r>
              <w:rPr>
                <w:b/>
                <w:sz w:val="15"/>
              </w:rPr>
              <w:t>42.71 %</w:t>
            </w:r>
          </w:p>
        </w:tc>
        <w:tc>
          <w:tcPr>
            <w:tcW w:type="dxa" w:w="2419"/>
          </w:tcPr>
          <w:p>
            <w:pPr>
              <w:spacing w:after="20" w:before="20" w:line="254" w:lineRule="auto"/>
              <w:jc w:val="center"/>
            </w:pPr>
            <w:r>
              <w:rPr>
                <w:sz w:val="15"/>
              </w:rPr>
              <w:t>+16.17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One year</w:t>
            </w:r>
          </w:p>
        </w:tc>
        <w:tc>
          <w:tcPr>
            <w:tcW w:type="dxa" w:w="1296"/>
            <w:shd w:val="clear" w:color="auto" w:fill="F2F5F9"/>
          </w:tcPr>
          <w:p>
            <w:pPr>
              <w:spacing w:after="20" w:before="20" w:line="254" w:lineRule="auto"/>
              <w:jc w:val="center"/>
            </w:pPr>
            <w:r>
              <w:rPr>
                <w:sz w:val="15"/>
              </w:rPr>
              <w:t>1 473</w:t>
            </w:r>
          </w:p>
        </w:tc>
        <w:tc>
          <w:tcPr>
            <w:tcW w:type="dxa" w:w="1512"/>
            <w:shd w:val="clear" w:color="auto" w:fill="F2F5F9"/>
          </w:tcPr>
          <w:p>
            <w:pPr>
              <w:spacing w:after="20" w:before="20" w:line="254" w:lineRule="auto"/>
              <w:jc w:val="center"/>
            </w:pPr>
            <w:r>
              <w:rPr>
                <w:sz w:val="15"/>
              </w:rPr>
              <w:t>11.27 %</w:t>
            </w:r>
          </w:p>
        </w:tc>
        <w:tc>
          <w:tcPr>
            <w:tcW w:type="dxa" w:w="2419"/>
            <w:shd w:val="clear" w:color="auto" w:fill="F2F5F9"/>
          </w:tcPr>
          <w:p>
            <w:pPr>
              <w:spacing w:after="20" w:before="20" w:line="254" w:lineRule="auto"/>
              <w:jc w:val="center"/>
            </w:pPr>
            <w:r>
              <w:rPr>
                <w:sz w:val="15"/>
              </w:rPr>
              <w:t>−15.27 pp</w:t>
            </w:r>
          </w:p>
        </w:tc>
      </w:tr>
      <w:tr>
        <w:tc>
          <w:tcPr>
            <w:tcW w:type="dxa" w:w="1613"/>
          </w:tcPr>
          <w:p>
            <w:pPr>
              <w:spacing w:after="20" w:before="20" w:line="254" w:lineRule="auto"/>
              <w:jc w:val="left"/>
            </w:pPr>
            <w:r>
              <w:rPr>
                <w:sz w:val="15"/>
              </w:rPr>
            </w:r>
          </w:p>
        </w:tc>
        <w:tc>
          <w:tcPr>
            <w:tcW w:type="dxa" w:w="2477"/>
          </w:tcPr>
          <w:p>
            <w:pPr>
              <w:spacing w:after="20" w:before="20" w:line="254" w:lineRule="auto"/>
              <w:jc w:val="center"/>
            </w:pPr>
            <w:r>
              <w:rPr>
                <w:sz w:val="15"/>
              </w:rPr>
              <w:t>Two year</w:t>
            </w:r>
          </w:p>
        </w:tc>
        <w:tc>
          <w:tcPr>
            <w:tcW w:type="dxa" w:w="1296"/>
          </w:tcPr>
          <w:p>
            <w:pPr>
              <w:spacing w:after="20" w:before="20" w:line="254" w:lineRule="auto"/>
              <w:jc w:val="center"/>
            </w:pPr>
            <w:r>
              <w:rPr>
                <w:sz w:val="15"/>
              </w:rPr>
              <w:t>1 695</w:t>
            </w:r>
          </w:p>
        </w:tc>
        <w:tc>
          <w:tcPr>
            <w:tcW w:type="dxa" w:w="1512"/>
          </w:tcPr>
          <w:p>
            <w:pPr>
              <w:spacing w:after="20" w:before="20" w:line="254" w:lineRule="auto"/>
              <w:jc w:val="center"/>
            </w:pPr>
            <w:r>
              <w:rPr>
                <w:b/>
                <w:sz w:val="15"/>
              </w:rPr>
              <w:t>2.83 %</w:t>
            </w:r>
          </w:p>
        </w:tc>
        <w:tc>
          <w:tcPr>
            <w:tcW w:type="dxa" w:w="2419"/>
          </w:tcPr>
          <w:p>
            <w:pPr>
              <w:spacing w:after="20" w:before="20" w:line="254" w:lineRule="auto"/>
              <w:jc w:val="center"/>
            </w:pPr>
            <w:r>
              <w:rPr>
                <w:sz w:val="15"/>
              </w:rPr>
              <w:t>−23.71 pp</w:t>
            </w:r>
          </w:p>
        </w:tc>
      </w:tr>
      <w:tr>
        <w:tc>
          <w:tcPr>
            <w:tcW w:type="dxa" w:w="1613"/>
            <w:shd w:val="clear" w:color="auto" w:fill="F2F5F9"/>
          </w:tcPr>
          <w:p>
            <w:pPr>
              <w:spacing w:after="20" w:before="20" w:line="254" w:lineRule="auto"/>
              <w:jc w:val="left"/>
            </w:pPr>
            <w:r>
              <w:rPr>
                <w:sz w:val="15"/>
              </w:rPr>
              <w:t>Payment method</w:t>
            </w:r>
          </w:p>
        </w:tc>
        <w:tc>
          <w:tcPr>
            <w:tcW w:type="dxa" w:w="2477"/>
            <w:shd w:val="clear" w:color="auto" w:fill="F2F5F9"/>
          </w:tcPr>
          <w:p>
            <w:pPr>
              <w:spacing w:after="20" w:before="20" w:line="254" w:lineRule="auto"/>
              <w:jc w:val="center"/>
            </w:pPr>
            <w:r>
              <w:rPr>
                <w:sz w:val="15"/>
              </w:rPr>
              <w:t>Electronic check</w:t>
            </w:r>
          </w:p>
        </w:tc>
        <w:tc>
          <w:tcPr>
            <w:tcW w:type="dxa" w:w="1296"/>
            <w:shd w:val="clear" w:color="auto" w:fill="F2F5F9"/>
          </w:tcPr>
          <w:p>
            <w:pPr>
              <w:spacing w:after="20" w:before="20" w:line="254" w:lineRule="auto"/>
              <w:jc w:val="center"/>
            </w:pPr>
            <w:r>
              <w:rPr>
                <w:sz w:val="15"/>
              </w:rPr>
              <w:t>2 365</w:t>
            </w:r>
          </w:p>
        </w:tc>
        <w:tc>
          <w:tcPr>
            <w:tcW w:type="dxa" w:w="1512"/>
            <w:shd w:val="clear" w:color="auto" w:fill="F2F5F9"/>
          </w:tcPr>
          <w:p>
            <w:pPr>
              <w:spacing w:after="20" w:before="20" w:line="254" w:lineRule="auto"/>
              <w:jc w:val="center"/>
            </w:pPr>
            <w:r>
              <w:rPr>
                <w:b/>
                <w:sz w:val="15"/>
              </w:rPr>
              <w:t>45.29 %</w:t>
            </w:r>
          </w:p>
        </w:tc>
        <w:tc>
          <w:tcPr>
            <w:tcW w:type="dxa" w:w="2419"/>
            <w:shd w:val="clear" w:color="auto" w:fill="F2F5F9"/>
          </w:tcPr>
          <w:p>
            <w:pPr>
              <w:spacing w:after="20" w:before="20" w:line="254" w:lineRule="auto"/>
              <w:jc w:val="center"/>
            </w:pPr>
            <w:r>
              <w:rPr>
                <w:sz w:val="15"/>
              </w:rPr>
              <w:t>+18.75 pp</w:t>
            </w:r>
          </w:p>
        </w:tc>
      </w:tr>
      <w:tr>
        <w:tc>
          <w:tcPr>
            <w:tcW w:type="dxa" w:w="1613"/>
          </w:tcPr>
          <w:p>
            <w:pPr>
              <w:spacing w:after="20" w:before="20" w:line="254" w:lineRule="auto"/>
              <w:jc w:val="left"/>
            </w:pPr>
            <w:r>
              <w:rPr>
                <w:sz w:val="15"/>
              </w:rPr>
            </w:r>
          </w:p>
        </w:tc>
        <w:tc>
          <w:tcPr>
            <w:tcW w:type="dxa" w:w="2477"/>
          </w:tcPr>
          <w:p>
            <w:pPr>
              <w:spacing w:after="20" w:before="20" w:line="254" w:lineRule="auto"/>
              <w:jc w:val="center"/>
            </w:pPr>
            <w:r>
              <w:rPr>
                <w:sz w:val="15"/>
              </w:rPr>
              <w:t>Mailed check</w:t>
            </w:r>
          </w:p>
        </w:tc>
        <w:tc>
          <w:tcPr>
            <w:tcW w:type="dxa" w:w="1296"/>
          </w:tcPr>
          <w:p>
            <w:pPr>
              <w:spacing w:after="20" w:before="20" w:line="254" w:lineRule="auto"/>
              <w:jc w:val="center"/>
            </w:pPr>
            <w:r>
              <w:rPr>
                <w:sz w:val="15"/>
              </w:rPr>
              <w:t>1 612</w:t>
            </w:r>
          </w:p>
        </w:tc>
        <w:tc>
          <w:tcPr>
            <w:tcW w:type="dxa" w:w="1512"/>
          </w:tcPr>
          <w:p>
            <w:pPr>
              <w:spacing w:after="20" w:before="20" w:line="254" w:lineRule="auto"/>
              <w:jc w:val="center"/>
            </w:pPr>
            <w:r>
              <w:rPr>
                <w:sz w:val="15"/>
              </w:rPr>
              <w:t>19.11 %</w:t>
            </w:r>
          </w:p>
        </w:tc>
        <w:tc>
          <w:tcPr>
            <w:tcW w:type="dxa" w:w="2419"/>
          </w:tcPr>
          <w:p>
            <w:pPr>
              <w:spacing w:after="20" w:before="20" w:line="254" w:lineRule="auto"/>
              <w:jc w:val="center"/>
            </w:pPr>
            <w:r>
              <w:rPr>
                <w:sz w:val="15"/>
              </w:rPr>
              <w:t>−7.43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left"/>
            </w:pPr>
            <w:r>
              <w:rPr>
                <w:sz w:val="15"/>
              </w:rPr>
              <w:t>Bank transfer (automatic)</w:t>
            </w:r>
          </w:p>
        </w:tc>
        <w:tc>
          <w:tcPr>
            <w:tcW w:type="dxa" w:w="1296"/>
            <w:shd w:val="clear" w:color="auto" w:fill="F2F5F9"/>
          </w:tcPr>
          <w:p>
            <w:pPr>
              <w:spacing w:after="20" w:before="20" w:line="254" w:lineRule="auto"/>
              <w:jc w:val="center"/>
            </w:pPr>
            <w:r>
              <w:rPr>
                <w:sz w:val="15"/>
              </w:rPr>
              <w:t>1 544</w:t>
            </w:r>
          </w:p>
        </w:tc>
        <w:tc>
          <w:tcPr>
            <w:tcW w:type="dxa" w:w="1512"/>
            <w:shd w:val="clear" w:color="auto" w:fill="F2F5F9"/>
          </w:tcPr>
          <w:p>
            <w:pPr>
              <w:spacing w:after="20" w:before="20" w:line="254" w:lineRule="auto"/>
              <w:jc w:val="center"/>
            </w:pPr>
            <w:r>
              <w:rPr>
                <w:sz w:val="15"/>
              </w:rPr>
              <w:t>16.71 %</w:t>
            </w:r>
          </w:p>
        </w:tc>
        <w:tc>
          <w:tcPr>
            <w:tcW w:type="dxa" w:w="2419"/>
            <w:shd w:val="clear" w:color="auto" w:fill="F2F5F9"/>
          </w:tcPr>
          <w:p>
            <w:pPr>
              <w:spacing w:after="20" w:before="20" w:line="254" w:lineRule="auto"/>
              <w:jc w:val="center"/>
            </w:pPr>
            <w:r>
              <w:rPr>
                <w:sz w:val="15"/>
              </w:rPr>
              <w:t>−9.83 pp</w:t>
            </w:r>
          </w:p>
        </w:tc>
      </w:tr>
      <w:tr>
        <w:tc>
          <w:tcPr>
            <w:tcW w:type="dxa" w:w="1613"/>
          </w:tcPr>
          <w:p>
            <w:pPr>
              <w:spacing w:after="20" w:before="20" w:line="254" w:lineRule="auto"/>
              <w:jc w:val="left"/>
            </w:pPr>
            <w:r>
              <w:rPr>
                <w:sz w:val="15"/>
              </w:rPr>
            </w:r>
          </w:p>
        </w:tc>
        <w:tc>
          <w:tcPr>
            <w:tcW w:type="dxa" w:w="2477"/>
          </w:tcPr>
          <w:p>
            <w:pPr>
              <w:spacing w:after="20" w:before="20" w:line="254" w:lineRule="auto"/>
              <w:jc w:val="left"/>
            </w:pPr>
            <w:r>
              <w:rPr>
                <w:sz w:val="15"/>
              </w:rPr>
              <w:t>Credit card (automatic)</w:t>
            </w:r>
          </w:p>
        </w:tc>
        <w:tc>
          <w:tcPr>
            <w:tcW w:type="dxa" w:w="1296"/>
          </w:tcPr>
          <w:p>
            <w:pPr>
              <w:spacing w:after="20" w:before="20" w:line="254" w:lineRule="auto"/>
              <w:jc w:val="center"/>
            </w:pPr>
            <w:r>
              <w:rPr>
                <w:sz w:val="15"/>
              </w:rPr>
              <w:t>1 522</w:t>
            </w:r>
          </w:p>
        </w:tc>
        <w:tc>
          <w:tcPr>
            <w:tcW w:type="dxa" w:w="1512"/>
          </w:tcPr>
          <w:p>
            <w:pPr>
              <w:spacing w:after="20" w:before="20" w:line="254" w:lineRule="auto"/>
              <w:jc w:val="center"/>
            </w:pPr>
            <w:r>
              <w:rPr>
                <w:sz w:val="15"/>
              </w:rPr>
              <w:t>15.24 %</w:t>
            </w:r>
          </w:p>
        </w:tc>
        <w:tc>
          <w:tcPr>
            <w:tcW w:type="dxa" w:w="2419"/>
          </w:tcPr>
          <w:p>
            <w:pPr>
              <w:spacing w:after="20" w:before="20" w:line="254" w:lineRule="auto"/>
              <w:jc w:val="center"/>
            </w:pPr>
            <w:r>
              <w:rPr>
                <w:sz w:val="15"/>
              </w:rPr>
              <w:t>−11.30 pp</w:t>
            </w:r>
          </w:p>
        </w:tc>
      </w:tr>
      <w:tr>
        <w:tc>
          <w:tcPr>
            <w:tcW w:type="dxa" w:w="1613"/>
            <w:shd w:val="clear" w:color="auto" w:fill="F2F5F9"/>
          </w:tcPr>
          <w:p>
            <w:pPr>
              <w:spacing w:after="20" w:before="20" w:line="254" w:lineRule="auto"/>
              <w:jc w:val="left"/>
            </w:pPr>
            <w:r>
              <w:rPr>
                <w:sz w:val="15"/>
              </w:rPr>
              <w:t>Internet service</w:t>
            </w:r>
          </w:p>
        </w:tc>
        <w:tc>
          <w:tcPr>
            <w:tcW w:type="dxa" w:w="2477"/>
            <w:shd w:val="clear" w:color="auto" w:fill="F2F5F9"/>
          </w:tcPr>
          <w:p>
            <w:pPr>
              <w:spacing w:after="20" w:before="20" w:line="254" w:lineRule="auto"/>
              <w:jc w:val="center"/>
            </w:pPr>
            <w:r>
              <w:rPr>
                <w:sz w:val="15"/>
              </w:rPr>
              <w:t>Fiber optic</w:t>
            </w:r>
          </w:p>
        </w:tc>
        <w:tc>
          <w:tcPr>
            <w:tcW w:type="dxa" w:w="1296"/>
            <w:shd w:val="clear" w:color="auto" w:fill="F2F5F9"/>
          </w:tcPr>
          <w:p>
            <w:pPr>
              <w:spacing w:after="20" w:before="20" w:line="254" w:lineRule="auto"/>
              <w:jc w:val="center"/>
            </w:pPr>
            <w:r>
              <w:rPr>
                <w:sz w:val="15"/>
              </w:rPr>
              <w:t>3 096</w:t>
            </w:r>
          </w:p>
        </w:tc>
        <w:tc>
          <w:tcPr>
            <w:tcW w:type="dxa" w:w="1512"/>
            <w:shd w:val="clear" w:color="auto" w:fill="F2F5F9"/>
          </w:tcPr>
          <w:p>
            <w:pPr>
              <w:spacing w:after="20" w:before="20" w:line="254" w:lineRule="auto"/>
              <w:jc w:val="center"/>
            </w:pPr>
            <w:r>
              <w:rPr>
                <w:b/>
                <w:sz w:val="15"/>
              </w:rPr>
              <w:t>41.89 %</w:t>
            </w:r>
          </w:p>
        </w:tc>
        <w:tc>
          <w:tcPr>
            <w:tcW w:type="dxa" w:w="2419"/>
            <w:shd w:val="clear" w:color="auto" w:fill="F2F5F9"/>
          </w:tcPr>
          <w:p>
            <w:pPr>
              <w:spacing w:after="20" w:before="20" w:line="254" w:lineRule="auto"/>
              <w:jc w:val="center"/>
            </w:pPr>
            <w:r>
              <w:rPr>
                <w:sz w:val="15"/>
              </w:rPr>
              <w:t>+15.35 pp</w:t>
            </w:r>
          </w:p>
        </w:tc>
      </w:tr>
      <w:tr>
        <w:tc>
          <w:tcPr>
            <w:tcW w:type="dxa" w:w="1613"/>
          </w:tcPr>
          <w:p>
            <w:pPr>
              <w:spacing w:after="20" w:before="20" w:line="254" w:lineRule="auto"/>
              <w:jc w:val="left"/>
            </w:pPr>
            <w:r>
              <w:rPr>
                <w:sz w:val="15"/>
              </w:rPr>
            </w:r>
          </w:p>
        </w:tc>
        <w:tc>
          <w:tcPr>
            <w:tcW w:type="dxa" w:w="2477"/>
          </w:tcPr>
          <w:p>
            <w:pPr>
              <w:spacing w:after="20" w:before="20" w:line="254" w:lineRule="auto"/>
              <w:jc w:val="center"/>
            </w:pPr>
            <w:r>
              <w:rPr>
                <w:sz w:val="15"/>
              </w:rPr>
              <w:t>DSL</w:t>
            </w:r>
          </w:p>
        </w:tc>
        <w:tc>
          <w:tcPr>
            <w:tcW w:type="dxa" w:w="1296"/>
          </w:tcPr>
          <w:p>
            <w:pPr>
              <w:spacing w:after="20" w:before="20" w:line="254" w:lineRule="auto"/>
              <w:jc w:val="center"/>
            </w:pPr>
            <w:r>
              <w:rPr>
                <w:sz w:val="15"/>
              </w:rPr>
              <w:t>2 421</w:t>
            </w:r>
          </w:p>
        </w:tc>
        <w:tc>
          <w:tcPr>
            <w:tcW w:type="dxa" w:w="1512"/>
          </w:tcPr>
          <w:p>
            <w:pPr>
              <w:spacing w:after="20" w:before="20" w:line="254" w:lineRule="auto"/>
              <w:jc w:val="center"/>
            </w:pPr>
            <w:r>
              <w:rPr>
                <w:sz w:val="15"/>
              </w:rPr>
              <w:t>18.96 %</w:t>
            </w:r>
          </w:p>
        </w:tc>
        <w:tc>
          <w:tcPr>
            <w:tcW w:type="dxa" w:w="2419"/>
          </w:tcPr>
          <w:p>
            <w:pPr>
              <w:spacing w:after="20" w:before="20" w:line="254" w:lineRule="auto"/>
              <w:jc w:val="center"/>
            </w:pPr>
            <w:r>
              <w:rPr>
                <w:sz w:val="15"/>
              </w:rPr>
              <w:t>−7.58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No internet</w:t>
            </w:r>
          </w:p>
        </w:tc>
        <w:tc>
          <w:tcPr>
            <w:tcW w:type="dxa" w:w="1296"/>
            <w:shd w:val="clear" w:color="auto" w:fill="F2F5F9"/>
          </w:tcPr>
          <w:p>
            <w:pPr>
              <w:spacing w:after="20" w:before="20" w:line="254" w:lineRule="auto"/>
              <w:jc w:val="center"/>
            </w:pPr>
            <w:r>
              <w:rPr>
                <w:sz w:val="15"/>
              </w:rPr>
              <w:t>1 526</w:t>
            </w:r>
          </w:p>
        </w:tc>
        <w:tc>
          <w:tcPr>
            <w:tcW w:type="dxa" w:w="1512"/>
            <w:shd w:val="clear" w:color="auto" w:fill="F2F5F9"/>
          </w:tcPr>
          <w:p>
            <w:pPr>
              <w:spacing w:after="20" w:before="20" w:line="254" w:lineRule="auto"/>
              <w:jc w:val="center"/>
            </w:pPr>
            <w:r>
              <w:rPr>
                <w:sz w:val="15"/>
              </w:rPr>
              <w:t>7.40 %</w:t>
            </w:r>
          </w:p>
        </w:tc>
        <w:tc>
          <w:tcPr>
            <w:tcW w:type="dxa" w:w="2419"/>
            <w:shd w:val="clear" w:color="auto" w:fill="F2F5F9"/>
          </w:tcPr>
          <w:p>
            <w:pPr>
              <w:spacing w:after="20" w:before="20" w:line="254" w:lineRule="auto"/>
              <w:jc w:val="center"/>
            </w:pPr>
            <w:r>
              <w:rPr>
                <w:sz w:val="15"/>
              </w:rPr>
              <w:t>−19.14 pp</w:t>
            </w:r>
          </w:p>
        </w:tc>
      </w:tr>
      <w:tr>
        <w:tc>
          <w:tcPr>
            <w:tcW w:type="dxa" w:w="1613"/>
          </w:tcPr>
          <w:p>
            <w:pPr>
              <w:spacing w:after="20" w:before="20" w:line="254" w:lineRule="auto"/>
              <w:jc w:val="left"/>
            </w:pPr>
            <w:r>
              <w:rPr>
                <w:sz w:val="15"/>
              </w:rPr>
              <w:t>Tech support</w:t>
            </w:r>
          </w:p>
        </w:tc>
        <w:tc>
          <w:tcPr>
            <w:tcW w:type="dxa" w:w="2477"/>
          </w:tcPr>
          <w:p>
            <w:pPr>
              <w:spacing w:after="20" w:before="20" w:line="254" w:lineRule="auto"/>
              <w:jc w:val="center"/>
            </w:pPr>
            <w:r>
              <w:rPr>
                <w:sz w:val="15"/>
              </w:rPr>
              <w:t>No</w:t>
            </w:r>
          </w:p>
        </w:tc>
        <w:tc>
          <w:tcPr>
            <w:tcW w:type="dxa" w:w="1296"/>
          </w:tcPr>
          <w:p>
            <w:pPr>
              <w:spacing w:after="20" w:before="20" w:line="254" w:lineRule="auto"/>
              <w:jc w:val="center"/>
            </w:pPr>
            <w:r>
              <w:rPr>
                <w:sz w:val="15"/>
              </w:rPr>
              <w:t>4 999</w:t>
            </w:r>
          </w:p>
        </w:tc>
        <w:tc>
          <w:tcPr>
            <w:tcW w:type="dxa" w:w="1512"/>
          </w:tcPr>
          <w:p>
            <w:pPr>
              <w:spacing w:after="20" w:before="20" w:line="254" w:lineRule="auto"/>
              <w:jc w:val="center"/>
            </w:pPr>
            <w:r>
              <w:rPr>
                <w:sz w:val="15"/>
              </w:rPr>
              <w:t>31.19 %</w:t>
            </w:r>
          </w:p>
        </w:tc>
        <w:tc>
          <w:tcPr>
            <w:tcW w:type="dxa" w:w="2419"/>
          </w:tcPr>
          <w:p>
            <w:pPr>
              <w:spacing w:after="20" w:before="20" w:line="254" w:lineRule="auto"/>
              <w:jc w:val="center"/>
            </w:pPr>
            <w:r>
              <w:rPr>
                <w:sz w:val="15"/>
              </w:rPr>
              <w:t>+4.65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Yes</w:t>
            </w:r>
          </w:p>
        </w:tc>
        <w:tc>
          <w:tcPr>
            <w:tcW w:type="dxa" w:w="1296"/>
            <w:shd w:val="clear" w:color="auto" w:fill="F2F5F9"/>
          </w:tcPr>
          <w:p>
            <w:pPr>
              <w:spacing w:after="20" w:before="20" w:line="254" w:lineRule="auto"/>
              <w:jc w:val="center"/>
            </w:pPr>
            <w:r>
              <w:rPr>
                <w:sz w:val="15"/>
              </w:rPr>
              <w:t>2 044</w:t>
            </w:r>
          </w:p>
        </w:tc>
        <w:tc>
          <w:tcPr>
            <w:tcW w:type="dxa" w:w="1512"/>
            <w:shd w:val="clear" w:color="auto" w:fill="F2F5F9"/>
          </w:tcPr>
          <w:p>
            <w:pPr>
              <w:spacing w:after="20" w:before="20" w:line="254" w:lineRule="auto"/>
              <w:jc w:val="center"/>
            </w:pPr>
            <w:r>
              <w:rPr>
                <w:sz w:val="15"/>
              </w:rPr>
              <w:t>15.17 %</w:t>
            </w:r>
          </w:p>
        </w:tc>
        <w:tc>
          <w:tcPr>
            <w:tcW w:type="dxa" w:w="2419"/>
            <w:shd w:val="clear" w:color="auto" w:fill="F2F5F9"/>
          </w:tcPr>
          <w:p>
            <w:pPr>
              <w:spacing w:after="20" w:before="20" w:line="254" w:lineRule="auto"/>
              <w:jc w:val="center"/>
            </w:pPr>
            <w:r>
              <w:rPr>
                <w:sz w:val="15"/>
              </w:rPr>
              <w:t>−11.37 pp</w:t>
            </w:r>
          </w:p>
        </w:tc>
      </w:tr>
      <w:tr>
        <w:tc>
          <w:tcPr>
            <w:tcW w:type="dxa" w:w="1613"/>
          </w:tcPr>
          <w:p>
            <w:pPr>
              <w:spacing w:after="20" w:before="20" w:line="254" w:lineRule="auto"/>
              <w:jc w:val="left"/>
            </w:pPr>
            <w:r>
              <w:rPr>
                <w:sz w:val="15"/>
              </w:rPr>
              <w:t>Online security</w:t>
            </w:r>
          </w:p>
        </w:tc>
        <w:tc>
          <w:tcPr>
            <w:tcW w:type="dxa" w:w="2477"/>
          </w:tcPr>
          <w:p>
            <w:pPr>
              <w:spacing w:after="20" w:before="20" w:line="254" w:lineRule="auto"/>
              <w:jc w:val="center"/>
            </w:pPr>
            <w:r>
              <w:rPr>
                <w:sz w:val="15"/>
              </w:rPr>
              <w:t>No</w:t>
            </w:r>
          </w:p>
        </w:tc>
        <w:tc>
          <w:tcPr>
            <w:tcW w:type="dxa" w:w="1296"/>
          </w:tcPr>
          <w:p>
            <w:pPr>
              <w:spacing w:after="20" w:before="20" w:line="254" w:lineRule="auto"/>
              <w:jc w:val="center"/>
            </w:pPr>
            <w:r>
              <w:rPr>
                <w:sz w:val="15"/>
              </w:rPr>
              <w:t>5 024</w:t>
            </w:r>
          </w:p>
        </w:tc>
        <w:tc>
          <w:tcPr>
            <w:tcW w:type="dxa" w:w="1512"/>
          </w:tcPr>
          <w:p>
            <w:pPr>
              <w:spacing w:after="20" w:before="20" w:line="254" w:lineRule="auto"/>
              <w:jc w:val="center"/>
            </w:pPr>
            <w:r>
              <w:rPr>
                <w:sz w:val="15"/>
              </w:rPr>
              <w:t>31.33 %</w:t>
            </w:r>
          </w:p>
        </w:tc>
        <w:tc>
          <w:tcPr>
            <w:tcW w:type="dxa" w:w="2419"/>
          </w:tcPr>
          <w:p>
            <w:pPr>
              <w:spacing w:after="20" w:before="20" w:line="254" w:lineRule="auto"/>
              <w:jc w:val="center"/>
            </w:pPr>
            <w:r>
              <w:rPr>
                <w:sz w:val="15"/>
              </w:rPr>
              <w:t>+4.79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Yes</w:t>
            </w:r>
          </w:p>
        </w:tc>
        <w:tc>
          <w:tcPr>
            <w:tcW w:type="dxa" w:w="1296"/>
            <w:shd w:val="clear" w:color="auto" w:fill="F2F5F9"/>
          </w:tcPr>
          <w:p>
            <w:pPr>
              <w:spacing w:after="20" w:before="20" w:line="254" w:lineRule="auto"/>
              <w:jc w:val="center"/>
            </w:pPr>
            <w:r>
              <w:rPr>
                <w:sz w:val="15"/>
              </w:rPr>
              <w:t>2 019</w:t>
            </w:r>
          </w:p>
        </w:tc>
        <w:tc>
          <w:tcPr>
            <w:tcW w:type="dxa" w:w="1512"/>
            <w:shd w:val="clear" w:color="auto" w:fill="F2F5F9"/>
          </w:tcPr>
          <w:p>
            <w:pPr>
              <w:spacing w:after="20" w:before="20" w:line="254" w:lineRule="auto"/>
              <w:jc w:val="center"/>
            </w:pPr>
            <w:r>
              <w:rPr>
                <w:sz w:val="15"/>
              </w:rPr>
              <w:t>14.61 %</w:t>
            </w:r>
          </w:p>
        </w:tc>
        <w:tc>
          <w:tcPr>
            <w:tcW w:type="dxa" w:w="2419"/>
            <w:shd w:val="clear" w:color="auto" w:fill="F2F5F9"/>
          </w:tcPr>
          <w:p>
            <w:pPr>
              <w:spacing w:after="20" w:before="20" w:line="254" w:lineRule="auto"/>
              <w:jc w:val="center"/>
            </w:pPr>
            <w:r>
              <w:rPr>
                <w:sz w:val="15"/>
              </w:rPr>
              <w:t>−11.93 pp</w:t>
            </w:r>
          </w:p>
        </w:tc>
      </w:tr>
      <w:tr>
        <w:tc>
          <w:tcPr>
            <w:tcW w:type="dxa" w:w="1613"/>
          </w:tcPr>
          <w:p>
            <w:pPr>
              <w:spacing w:after="20" w:before="20" w:line="254" w:lineRule="auto"/>
              <w:jc w:val="left"/>
            </w:pPr>
            <w:r>
              <w:rPr>
                <w:sz w:val="15"/>
              </w:rPr>
              <w:t>Senior citizen</w:t>
            </w:r>
          </w:p>
        </w:tc>
        <w:tc>
          <w:tcPr>
            <w:tcW w:type="dxa" w:w="2477"/>
          </w:tcPr>
          <w:p>
            <w:pPr>
              <w:spacing w:after="20" w:before="20" w:line="254" w:lineRule="auto"/>
              <w:jc w:val="center"/>
            </w:pPr>
            <w:r>
              <w:rPr>
                <w:sz w:val="15"/>
              </w:rPr>
              <w:t>Yes</w:t>
            </w:r>
          </w:p>
        </w:tc>
        <w:tc>
          <w:tcPr>
            <w:tcW w:type="dxa" w:w="1296"/>
          </w:tcPr>
          <w:p>
            <w:pPr>
              <w:spacing w:after="20" w:before="20" w:line="254" w:lineRule="auto"/>
              <w:jc w:val="center"/>
            </w:pPr>
            <w:r>
              <w:rPr>
                <w:sz w:val="15"/>
              </w:rPr>
              <w:t>1 142</w:t>
            </w:r>
          </w:p>
        </w:tc>
        <w:tc>
          <w:tcPr>
            <w:tcW w:type="dxa" w:w="1512"/>
          </w:tcPr>
          <w:p>
            <w:pPr>
              <w:spacing w:after="20" w:before="20" w:line="254" w:lineRule="auto"/>
              <w:jc w:val="center"/>
            </w:pPr>
            <w:r>
              <w:rPr>
                <w:sz w:val="15"/>
              </w:rPr>
              <w:t>41.68 %</w:t>
            </w:r>
          </w:p>
        </w:tc>
        <w:tc>
          <w:tcPr>
            <w:tcW w:type="dxa" w:w="2419"/>
          </w:tcPr>
          <w:p>
            <w:pPr>
              <w:spacing w:after="20" w:before="20" w:line="254" w:lineRule="auto"/>
              <w:jc w:val="center"/>
            </w:pPr>
            <w:r>
              <w:rPr>
                <w:sz w:val="15"/>
              </w:rPr>
              <w:t>+15.14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No</w:t>
            </w:r>
          </w:p>
        </w:tc>
        <w:tc>
          <w:tcPr>
            <w:tcW w:type="dxa" w:w="1296"/>
            <w:shd w:val="clear" w:color="auto" w:fill="F2F5F9"/>
          </w:tcPr>
          <w:p>
            <w:pPr>
              <w:spacing w:after="20" w:before="20" w:line="254" w:lineRule="auto"/>
              <w:jc w:val="center"/>
            </w:pPr>
            <w:r>
              <w:rPr>
                <w:sz w:val="15"/>
              </w:rPr>
              <w:t>5 901</w:t>
            </w:r>
          </w:p>
        </w:tc>
        <w:tc>
          <w:tcPr>
            <w:tcW w:type="dxa" w:w="1512"/>
            <w:shd w:val="clear" w:color="auto" w:fill="F2F5F9"/>
          </w:tcPr>
          <w:p>
            <w:pPr>
              <w:spacing w:after="20" w:before="20" w:line="254" w:lineRule="auto"/>
              <w:jc w:val="center"/>
            </w:pPr>
            <w:r>
              <w:rPr>
                <w:sz w:val="15"/>
              </w:rPr>
              <w:t>23.61 %</w:t>
            </w:r>
          </w:p>
        </w:tc>
        <w:tc>
          <w:tcPr>
            <w:tcW w:type="dxa" w:w="2419"/>
            <w:shd w:val="clear" w:color="auto" w:fill="F2F5F9"/>
          </w:tcPr>
          <w:p>
            <w:pPr>
              <w:spacing w:after="20" w:before="20" w:line="254" w:lineRule="auto"/>
              <w:jc w:val="center"/>
            </w:pPr>
            <w:r>
              <w:rPr>
                <w:sz w:val="15"/>
              </w:rPr>
              <w:t>−2.93 pp</w:t>
            </w:r>
          </w:p>
        </w:tc>
      </w:tr>
      <w:tr>
        <w:tc>
          <w:tcPr>
            <w:tcW w:type="dxa" w:w="1613"/>
          </w:tcPr>
          <w:p>
            <w:pPr>
              <w:spacing w:after="20" w:before="20" w:line="254" w:lineRule="auto"/>
              <w:jc w:val="left"/>
            </w:pPr>
            <w:r>
              <w:rPr>
                <w:sz w:val="15"/>
              </w:rPr>
              <w:t>Paperless billing</w:t>
            </w:r>
          </w:p>
        </w:tc>
        <w:tc>
          <w:tcPr>
            <w:tcW w:type="dxa" w:w="2477"/>
          </w:tcPr>
          <w:p>
            <w:pPr>
              <w:spacing w:after="20" w:before="20" w:line="254" w:lineRule="auto"/>
              <w:jc w:val="center"/>
            </w:pPr>
            <w:r>
              <w:rPr>
                <w:sz w:val="15"/>
              </w:rPr>
              <w:t>Yes</w:t>
            </w:r>
          </w:p>
        </w:tc>
        <w:tc>
          <w:tcPr>
            <w:tcW w:type="dxa" w:w="1296"/>
          </w:tcPr>
          <w:p>
            <w:pPr>
              <w:spacing w:after="20" w:before="20" w:line="254" w:lineRule="auto"/>
              <w:jc w:val="center"/>
            </w:pPr>
            <w:r>
              <w:rPr>
                <w:sz w:val="15"/>
              </w:rPr>
              <w:t>4 171</w:t>
            </w:r>
          </w:p>
        </w:tc>
        <w:tc>
          <w:tcPr>
            <w:tcW w:type="dxa" w:w="1512"/>
          </w:tcPr>
          <w:p>
            <w:pPr>
              <w:spacing w:after="20" w:before="20" w:line="254" w:lineRule="auto"/>
              <w:jc w:val="center"/>
            </w:pPr>
            <w:r>
              <w:rPr>
                <w:sz w:val="15"/>
              </w:rPr>
              <w:t>33.57 %</w:t>
            </w:r>
          </w:p>
        </w:tc>
        <w:tc>
          <w:tcPr>
            <w:tcW w:type="dxa" w:w="2419"/>
          </w:tcPr>
          <w:p>
            <w:pPr>
              <w:spacing w:after="20" w:before="20" w:line="254" w:lineRule="auto"/>
              <w:jc w:val="center"/>
            </w:pPr>
            <w:r>
              <w:rPr>
                <w:sz w:val="15"/>
              </w:rPr>
              <w:t>+7.03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No</w:t>
            </w:r>
          </w:p>
        </w:tc>
        <w:tc>
          <w:tcPr>
            <w:tcW w:type="dxa" w:w="1296"/>
            <w:shd w:val="clear" w:color="auto" w:fill="F2F5F9"/>
          </w:tcPr>
          <w:p>
            <w:pPr>
              <w:spacing w:after="20" w:before="20" w:line="254" w:lineRule="auto"/>
              <w:jc w:val="center"/>
            </w:pPr>
            <w:r>
              <w:rPr>
                <w:sz w:val="15"/>
              </w:rPr>
              <w:t>2 872</w:t>
            </w:r>
          </w:p>
        </w:tc>
        <w:tc>
          <w:tcPr>
            <w:tcW w:type="dxa" w:w="1512"/>
            <w:shd w:val="clear" w:color="auto" w:fill="F2F5F9"/>
          </w:tcPr>
          <w:p>
            <w:pPr>
              <w:spacing w:after="20" w:before="20" w:line="254" w:lineRule="auto"/>
              <w:jc w:val="center"/>
            </w:pPr>
            <w:r>
              <w:rPr>
                <w:sz w:val="15"/>
              </w:rPr>
              <w:t>16.33 %</w:t>
            </w:r>
          </w:p>
        </w:tc>
        <w:tc>
          <w:tcPr>
            <w:tcW w:type="dxa" w:w="2419"/>
            <w:shd w:val="clear" w:color="auto" w:fill="F2F5F9"/>
          </w:tcPr>
          <w:p>
            <w:pPr>
              <w:spacing w:after="20" w:before="20" w:line="254" w:lineRule="auto"/>
              <w:jc w:val="center"/>
            </w:pPr>
            <w:r>
              <w:rPr>
                <w:sz w:val="15"/>
              </w:rPr>
              <w:t>−10.21 pp</w:t>
            </w:r>
          </w:p>
        </w:tc>
      </w:tr>
      <w:tr>
        <w:tc>
          <w:tcPr>
            <w:tcW w:type="dxa" w:w="1613"/>
          </w:tcPr>
          <w:p>
            <w:pPr>
              <w:spacing w:after="20" w:before="20" w:line="254" w:lineRule="auto"/>
              <w:jc w:val="left"/>
            </w:pPr>
            <w:r>
              <w:rPr>
                <w:sz w:val="15"/>
              </w:rPr>
              <w:t>Dependents</w:t>
            </w:r>
          </w:p>
        </w:tc>
        <w:tc>
          <w:tcPr>
            <w:tcW w:type="dxa" w:w="2477"/>
          </w:tcPr>
          <w:p>
            <w:pPr>
              <w:spacing w:after="20" w:before="20" w:line="254" w:lineRule="auto"/>
              <w:jc w:val="center"/>
            </w:pPr>
            <w:r>
              <w:rPr>
                <w:sz w:val="15"/>
              </w:rPr>
              <w:t>No</w:t>
            </w:r>
          </w:p>
        </w:tc>
        <w:tc>
          <w:tcPr>
            <w:tcW w:type="dxa" w:w="1296"/>
          </w:tcPr>
          <w:p>
            <w:pPr>
              <w:spacing w:after="20" w:before="20" w:line="254" w:lineRule="auto"/>
              <w:jc w:val="center"/>
            </w:pPr>
            <w:r>
              <w:rPr>
                <w:sz w:val="15"/>
              </w:rPr>
              <w:t>4 933</w:t>
            </w:r>
          </w:p>
        </w:tc>
        <w:tc>
          <w:tcPr>
            <w:tcW w:type="dxa" w:w="1512"/>
          </w:tcPr>
          <w:p>
            <w:pPr>
              <w:spacing w:after="20" w:before="20" w:line="254" w:lineRule="auto"/>
              <w:jc w:val="center"/>
            </w:pPr>
            <w:r>
              <w:rPr>
                <w:sz w:val="15"/>
              </w:rPr>
              <w:t>31.28 %</w:t>
            </w:r>
          </w:p>
        </w:tc>
        <w:tc>
          <w:tcPr>
            <w:tcW w:type="dxa" w:w="2419"/>
          </w:tcPr>
          <w:p>
            <w:pPr>
              <w:spacing w:after="20" w:before="20" w:line="254" w:lineRule="auto"/>
              <w:jc w:val="center"/>
            </w:pPr>
            <w:r>
              <w:rPr>
                <w:sz w:val="15"/>
              </w:rPr>
              <w:t>+4.74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Yes</w:t>
            </w:r>
          </w:p>
        </w:tc>
        <w:tc>
          <w:tcPr>
            <w:tcW w:type="dxa" w:w="1296"/>
            <w:shd w:val="clear" w:color="auto" w:fill="F2F5F9"/>
          </w:tcPr>
          <w:p>
            <w:pPr>
              <w:spacing w:after="20" w:before="20" w:line="254" w:lineRule="auto"/>
              <w:jc w:val="center"/>
            </w:pPr>
            <w:r>
              <w:rPr>
                <w:sz w:val="15"/>
              </w:rPr>
              <w:t>2 110</w:t>
            </w:r>
          </w:p>
        </w:tc>
        <w:tc>
          <w:tcPr>
            <w:tcW w:type="dxa" w:w="1512"/>
            <w:shd w:val="clear" w:color="auto" w:fill="F2F5F9"/>
          </w:tcPr>
          <w:p>
            <w:pPr>
              <w:spacing w:after="20" w:before="20" w:line="254" w:lineRule="auto"/>
              <w:jc w:val="center"/>
            </w:pPr>
            <w:r>
              <w:rPr>
                <w:sz w:val="15"/>
              </w:rPr>
              <w:t>15.45 %</w:t>
            </w:r>
          </w:p>
        </w:tc>
        <w:tc>
          <w:tcPr>
            <w:tcW w:type="dxa" w:w="2419"/>
            <w:shd w:val="clear" w:color="auto" w:fill="F2F5F9"/>
          </w:tcPr>
          <w:p>
            <w:pPr>
              <w:spacing w:after="20" w:before="20" w:line="254" w:lineRule="auto"/>
              <w:jc w:val="center"/>
            </w:pPr>
            <w:r>
              <w:rPr>
                <w:sz w:val="15"/>
              </w:rPr>
              <w:t>−11.09 pp</w:t>
            </w:r>
          </w:p>
        </w:tc>
      </w:tr>
      <w:tr>
        <w:tc>
          <w:tcPr>
            <w:tcW w:type="dxa" w:w="1613"/>
          </w:tcPr>
          <w:p>
            <w:pPr>
              <w:spacing w:after="20" w:before="20" w:line="254" w:lineRule="auto"/>
              <w:jc w:val="left"/>
            </w:pPr>
            <w:r>
              <w:rPr>
                <w:sz w:val="15"/>
              </w:rPr>
              <w:t>Partner</w:t>
            </w:r>
          </w:p>
        </w:tc>
        <w:tc>
          <w:tcPr>
            <w:tcW w:type="dxa" w:w="2477"/>
          </w:tcPr>
          <w:p>
            <w:pPr>
              <w:spacing w:after="20" w:before="20" w:line="254" w:lineRule="auto"/>
              <w:jc w:val="center"/>
            </w:pPr>
            <w:r>
              <w:rPr>
                <w:sz w:val="15"/>
              </w:rPr>
              <w:t>No</w:t>
            </w:r>
          </w:p>
        </w:tc>
        <w:tc>
          <w:tcPr>
            <w:tcW w:type="dxa" w:w="1296"/>
          </w:tcPr>
          <w:p>
            <w:pPr>
              <w:spacing w:after="20" w:before="20" w:line="254" w:lineRule="auto"/>
              <w:jc w:val="center"/>
            </w:pPr>
            <w:r>
              <w:rPr>
                <w:sz w:val="15"/>
              </w:rPr>
              <w:t>3 641</w:t>
            </w:r>
          </w:p>
        </w:tc>
        <w:tc>
          <w:tcPr>
            <w:tcW w:type="dxa" w:w="1512"/>
          </w:tcPr>
          <w:p>
            <w:pPr>
              <w:spacing w:after="20" w:before="20" w:line="254" w:lineRule="auto"/>
              <w:jc w:val="center"/>
            </w:pPr>
            <w:r>
              <w:rPr>
                <w:sz w:val="15"/>
              </w:rPr>
              <w:t>32.96 %</w:t>
            </w:r>
          </w:p>
        </w:tc>
        <w:tc>
          <w:tcPr>
            <w:tcW w:type="dxa" w:w="2419"/>
          </w:tcPr>
          <w:p>
            <w:pPr>
              <w:spacing w:after="20" w:before="20" w:line="254" w:lineRule="auto"/>
              <w:jc w:val="center"/>
            </w:pPr>
            <w:r>
              <w:rPr>
                <w:sz w:val="15"/>
              </w:rPr>
              <w:t>+6.42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Yes</w:t>
            </w:r>
          </w:p>
        </w:tc>
        <w:tc>
          <w:tcPr>
            <w:tcW w:type="dxa" w:w="1296"/>
            <w:shd w:val="clear" w:color="auto" w:fill="F2F5F9"/>
          </w:tcPr>
          <w:p>
            <w:pPr>
              <w:spacing w:after="20" w:before="20" w:line="254" w:lineRule="auto"/>
              <w:jc w:val="center"/>
            </w:pPr>
            <w:r>
              <w:rPr>
                <w:sz w:val="15"/>
              </w:rPr>
              <w:t>3 402</w:t>
            </w:r>
          </w:p>
        </w:tc>
        <w:tc>
          <w:tcPr>
            <w:tcW w:type="dxa" w:w="1512"/>
            <w:shd w:val="clear" w:color="auto" w:fill="F2F5F9"/>
          </w:tcPr>
          <w:p>
            <w:pPr>
              <w:spacing w:after="20" w:before="20" w:line="254" w:lineRule="auto"/>
              <w:jc w:val="center"/>
            </w:pPr>
            <w:r>
              <w:rPr>
                <w:sz w:val="15"/>
              </w:rPr>
              <w:t>19.66 %</w:t>
            </w:r>
          </w:p>
        </w:tc>
        <w:tc>
          <w:tcPr>
            <w:tcW w:type="dxa" w:w="2419"/>
            <w:shd w:val="clear" w:color="auto" w:fill="F2F5F9"/>
          </w:tcPr>
          <w:p>
            <w:pPr>
              <w:spacing w:after="20" w:before="20" w:line="254" w:lineRule="auto"/>
              <w:jc w:val="center"/>
            </w:pPr>
            <w:r>
              <w:rPr>
                <w:sz w:val="15"/>
              </w:rPr>
              <w:t>−6.88 pp</w:t>
            </w:r>
          </w:p>
        </w:tc>
      </w:tr>
      <w:tr>
        <w:tc>
          <w:tcPr>
            <w:tcW w:type="dxa" w:w="1613"/>
          </w:tcPr>
          <w:p>
            <w:pPr>
              <w:spacing w:after="20" w:before="20" w:line="254" w:lineRule="auto"/>
              <w:jc w:val="left"/>
            </w:pPr>
            <w:r>
              <w:rPr>
                <w:sz w:val="15"/>
              </w:rPr>
              <w:t>Gender</w:t>
            </w:r>
          </w:p>
        </w:tc>
        <w:tc>
          <w:tcPr>
            <w:tcW w:type="dxa" w:w="2477"/>
          </w:tcPr>
          <w:p>
            <w:pPr>
              <w:spacing w:after="20" w:before="20" w:line="254" w:lineRule="auto"/>
              <w:jc w:val="center"/>
            </w:pPr>
            <w:r>
              <w:rPr>
                <w:sz w:val="15"/>
              </w:rPr>
              <w:t>Female</w:t>
            </w:r>
          </w:p>
        </w:tc>
        <w:tc>
          <w:tcPr>
            <w:tcW w:type="dxa" w:w="1296"/>
          </w:tcPr>
          <w:p>
            <w:pPr>
              <w:spacing w:after="20" w:before="20" w:line="254" w:lineRule="auto"/>
              <w:jc w:val="center"/>
            </w:pPr>
            <w:r>
              <w:rPr>
                <w:sz w:val="15"/>
              </w:rPr>
              <w:t>3 488</w:t>
            </w:r>
          </w:p>
        </w:tc>
        <w:tc>
          <w:tcPr>
            <w:tcW w:type="dxa" w:w="1512"/>
          </w:tcPr>
          <w:p>
            <w:pPr>
              <w:spacing w:after="20" w:before="20" w:line="254" w:lineRule="auto"/>
              <w:jc w:val="center"/>
            </w:pPr>
            <w:r>
              <w:rPr>
                <w:sz w:val="15"/>
              </w:rPr>
              <w:t>26.92 %</w:t>
            </w:r>
          </w:p>
        </w:tc>
        <w:tc>
          <w:tcPr>
            <w:tcW w:type="dxa" w:w="2419"/>
          </w:tcPr>
          <w:p>
            <w:pPr>
              <w:spacing w:after="20" w:before="20" w:line="254" w:lineRule="auto"/>
              <w:jc w:val="center"/>
            </w:pPr>
            <w:r>
              <w:rPr>
                <w:sz w:val="15"/>
              </w:rPr>
              <w:t>+0.38 pp</w:t>
            </w:r>
          </w:p>
        </w:tc>
      </w:tr>
      <w:tr>
        <w:tc>
          <w:tcPr>
            <w:tcW w:type="dxa" w:w="1613"/>
            <w:shd w:val="clear" w:color="auto" w:fill="F2F5F9"/>
          </w:tcPr>
          <w:p>
            <w:pPr>
              <w:spacing w:after="20" w:before="20" w:line="254" w:lineRule="auto"/>
              <w:jc w:val="left"/>
            </w:pPr>
            <w:r>
              <w:rPr>
                <w:sz w:val="15"/>
              </w:rPr>
            </w:r>
          </w:p>
        </w:tc>
        <w:tc>
          <w:tcPr>
            <w:tcW w:type="dxa" w:w="2477"/>
            <w:shd w:val="clear" w:color="auto" w:fill="F2F5F9"/>
          </w:tcPr>
          <w:p>
            <w:pPr>
              <w:spacing w:after="20" w:before="20" w:line="254" w:lineRule="auto"/>
              <w:jc w:val="center"/>
            </w:pPr>
            <w:r>
              <w:rPr>
                <w:sz w:val="15"/>
              </w:rPr>
              <w:t>Male</w:t>
            </w:r>
          </w:p>
        </w:tc>
        <w:tc>
          <w:tcPr>
            <w:tcW w:type="dxa" w:w="1296"/>
            <w:shd w:val="clear" w:color="auto" w:fill="F2F5F9"/>
          </w:tcPr>
          <w:p>
            <w:pPr>
              <w:spacing w:after="20" w:before="20" w:line="254" w:lineRule="auto"/>
              <w:jc w:val="center"/>
            </w:pPr>
            <w:r>
              <w:rPr>
                <w:sz w:val="15"/>
              </w:rPr>
              <w:t>3 555</w:t>
            </w:r>
          </w:p>
        </w:tc>
        <w:tc>
          <w:tcPr>
            <w:tcW w:type="dxa" w:w="1512"/>
            <w:shd w:val="clear" w:color="auto" w:fill="F2F5F9"/>
          </w:tcPr>
          <w:p>
            <w:pPr>
              <w:spacing w:after="20" w:before="20" w:line="254" w:lineRule="auto"/>
              <w:jc w:val="center"/>
            </w:pPr>
            <w:r>
              <w:rPr>
                <w:sz w:val="15"/>
              </w:rPr>
              <w:t>26.16 %</w:t>
            </w:r>
          </w:p>
        </w:tc>
        <w:tc>
          <w:tcPr>
            <w:tcW w:type="dxa" w:w="2419"/>
            <w:shd w:val="clear" w:color="auto" w:fill="F2F5F9"/>
          </w:tcPr>
          <w:p>
            <w:pPr>
              <w:spacing w:after="20" w:before="20" w:line="254" w:lineRule="auto"/>
              <w:jc w:val="center"/>
            </w:pPr>
            <w:r>
              <w:rPr>
                <w:sz w:val="15"/>
              </w:rPr>
              <w:t>−0.38 pp</w:t>
            </w:r>
          </w:p>
        </w:tc>
      </w:tr>
    </w:tbl>
    <w:p>
      <w:pPr>
        <w:spacing w:before="60" w:after="200"/>
        <w:jc w:val="center"/>
      </w:pPr>
      <w:r>
        <w:rPr>
          <w:i/>
          <w:color w:val="555F6B"/>
          <w:sz w:val="17"/>
        </w:rPr>
        <w:t>Table 20: Churn rate by attribute level. Lift is stated in percentage points against the 26.54 % base rate.</w:t>
      </w:r>
    </w:p>
    <w:p>
      <w:pPr>
        <w:spacing w:after="120" w:before="0"/>
        <w:jc w:val="both"/>
      </w:pPr>
      <w:r>
        <w:rPr>
          <w:b w:val="0"/>
          <w:i w:val="0"/>
          <w:sz w:val="21"/>
        </w:rPr>
        <w:t>The gender row is included deliberately, because a null result is as informative as a positive one. A 0.76-point difference across 7 043 records is indistinguishable from noise, which tells us churn here is driven by commercial structure — contract, payment mechanism, product mix — and not by demographics. Retention budget spent on demographic targeting would be wasted.</w:t>
      </w:r>
    </w:p>
    <w:p>
      <w:pPr>
        <w:keepNext/>
        <w:spacing w:before="120" w:after="60"/>
        <w:jc w:val="center"/>
      </w:pPr>
      <w:r>
        <w:drawing>
          <wp:inline xmlns:a="http://schemas.openxmlformats.org/drawingml/2006/main" xmlns:pic="http://schemas.openxmlformats.org/drawingml/2006/picture">
            <wp:extent cx="4892040" cy="2676777"/>
            <wp:docPr id="5" name="Picture 5"/>
            <wp:cNvGraphicFramePr>
              <a:graphicFrameLocks noChangeAspect="1"/>
            </wp:cNvGraphicFramePr>
            <a:graphic>
              <a:graphicData uri="http://schemas.openxmlformats.org/drawingml/2006/picture">
                <pic:pic>
                  <pic:nvPicPr>
                    <pic:cNvPr id="0" name="phase3_churn_by_contract.png"/>
                    <pic:cNvPicPr/>
                  </pic:nvPicPr>
                  <pic:blipFill>
                    <a:blip r:embed="rId13"/>
                    <a:stretch>
                      <a:fillRect/>
                    </a:stretch>
                  </pic:blipFill>
                  <pic:spPr>
                    <a:xfrm>
                      <a:off x="0" y="0"/>
                      <a:ext cx="4892040" cy="2676777"/>
                    </a:xfrm>
                    <a:prstGeom prst="rect"/>
                  </pic:spPr>
                </pic:pic>
              </a:graphicData>
            </a:graphic>
          </wp:inline>
        </w:drawing>
      </w:r>
    </w:p>
    <w:p>
      <w:pPr>
        <w:spacing w:before="60" w:after="220"/>
        <w:jc w:val="center"/>
      </w:pPr>
      <w:r>
        <w:rPr>
          <w:i/>
          <w:color w:val="555F6B"/>
          <w:sz w:val="17"/>
        </w:rPr>
        <w:t>Figure 5: Churn rate by contract type. A two-year contract reduces churn to roughly one-fifteenth of the month-to-month rate.</w:t>
      </w:r>
    </w:p>
    <w:p>
      <w:pPr>
        <w:keepNext/>
        <w:spacing w:before="120" w:after="60"/>
        <w:jc w:val="center"/>
      </w:pPr>
      <w:r>
        <w:drawing>
          <wp:inline xmlns:a="http://schemas.openxmlformats.org/drawingml/2006/main" xmlns:pic="http://schemas.openxmlformats.org/drawingml/2006/picture">
            <wp:extent cx="4892040" cy="2710013"/>
            <wp:docPr id="6" name="Picture 6"/>
            <wp:cNvGraphicFramePr>
              <a:graphicFrameLocks noChangeAspect="1"/>
            </wp:cNvGraphicFramePr>
            <a:graphic>
              <a:graphicData uri="http://schemas.openxmlformats.org/drawingml/2006/picture">
                <pic:pic>
                  <pic:nvPicPr>
                    <pic:cNvPr id="0" name="phase3_churn_by_payment_method.png"/>
                    <pic:cNvPicPr/>
                  </pic:nvPicPr>
                  <pic:blipFill>
                    <a:blip r:embed="rId14"/>
                    <a:stretch>
                      <a:fillRect/>
                    </a:stretch>
                  </pic:blipFill>
                  <pic:spPr>
                    <a:xfrm>
                      <a:off x="0" y="0"/>
                      <a:ext cx="4892040" cy="2710013"/>
                    </a:xfrm>
                    <a:prstGeom prst="rect"/>
                  </pic:spPr>
                </pic:pic>
              </a:graphicData>
            </a:graphic>
          </wp:inline>
        </w:drawing>
      </w:r>
    </w:p>
    <w:p>
      <w:pPr>
        <w:spacing w:before="60" w:after="220"/>
        <w:jc w:val="center"/>
      </w:pPr>
      <w:r>
        <w:rPr>
          <w:i/>
          <w:color w:val="555F6B"/>
          <w:sz w:val="17"/>
        </w:rPr>
        <w:t>Figure 6: Churn rate by payment method. Electronic check is the highest-risk level of any attribute examined.</w:t>
      </w:r>
    </w:p>
    <w:p>
      <w:r>
        <w:br w:type="page"/>
      </w:r>
    </w:p>
    <w:p>
      <w:pPr>
        <w:keepNext/>
        <w:spacing w:before="120" w:after="60"/>
        <w:jc w:val="center"/>
      </w:pPr>
      <w:r>
        <w:drawing>
          <wp:inline xmlns:a="http://schemas.openxmlformats.org/drawingml/2006/main" xmlns:pic="http://schemas.openxmlformats.org/drawingml/2006/picture">
            <wp:extent cx="4709160" cy="2576710"/>
            <wp:docPr id="7" name="Picture 7"/>
            <wp:cNvGraphicFramePr>
              <a:graphicFrameLocks noChangeAspect="1"/>
            </wp:cNvGraphicFramePr>
            <a:graphic>
              <a:graphicData uri="http://schemas.openxmlformats.org/drawingml/2006/picture">
                <pic:pic>
                  <pic:nvPicPr>
                    <pic:cNvPr id="0" name="phase3_churn_by_internet_service.png"/>
                    <pic:cNvPicPr/>
                  </pic:nvPicPr>
                  <pic:blipFill>
                    <a:blip r:embed="rId15"/>
                    <a:stretch>
                      <a:fillRect/>
                    </a:stretch>
                  </pic:blipFill>
                  <pic:spPr>
                    <a:xfrm>
                      <a:off x="0" y="0"/>
                      <a:ext cx="4709160" cy="2576710"/>
                    </a:xfrm>
                    <a:prstGeom prst="rect"/>
                  </pic:spPr>
                </pic:pic>
              </a:graphicData>
            </a:graphic>
          </wp:inline>
        </w:drawing>
      </w:r>
    </w:p>
    <w:p>
      <w:pPr>
        <w:spacing w:before="60" w:after="220"/>
        <w:jc w:val="center"/>
      </w:pPr>
      <w:r>
        <w:rPr>
          <w:i/>
          <w:color w:val="555F6B"/>
          <w:sz w:val="17"/>
        </w:rPr>
        <w:t>Figure 7: Churn rate by internet service.</w:t>
      </w:r>
    </w:p>
    <w:p>
      <w:pPr>
        <w:keepNext/>
        <w:spacing w:before="120" w:after="60"/>
        <w:jc w:val="center"/>
      </w:pPr>
      <w:r>
        <w:drawing>
          <wp:inline xmlns:a="http://schemas.openxmlformats.org/drawingml/2006/main" xmlns:pic="http://schemas.openxmlformats.org/drawingml/2006/picture">
            <wp:extent cx="4709160" cy="2576710"/>
            <wp:docPr id="8" name="Picture 8"/>
            <wp:cNvGraphicFramePr>
              <a:graphicFrameLocks noChangeAspect="1"/>
            </wp:cNvGraphicFramePr>
            <a:graphic>
              <a:graphicData uri="http://schemas.openxmlformats.org/drawingml/2006/picture">
                <pic:pic>
                  <pic:nvPicPr>
                    <pic:cNvPr id="0" name="phase3_churn_by_tech_support.png"/>
                    <pic:cNvPicPr/>
                  </pic:nvPicPr>
                  <pic:blipFill>
                    <a:blip r:embed="rId16"/>
                    <a:stretch>
                      <a:fillRect/>
                    </a:stretch>
                  </pic:blipFill>
                  <pic:spPr>
                    <a:xfrm>
                      <a:off x="0" y="0"/>
                      <a:ext cx="4709160" cy="2576710"/>
                    </a:xfrm>
                    <a:prstGeom prst="rect"/>
                  </pic:spPr>
                </pic:pic>
              </a:graphicData>
            </a:graphic>
          </wp:inline>
        </w:drawing>
      </w:r>
    </w:p>
    <w:p>
      <w:pPr>
        <w:spacing w:before="60" w:after="220"/>
        <w:jc w:val="center"/>
      </w:pPr>
      <w:r>
        <w:rPr>
          <w:i/>
          <w:color w:val="555F6B"/>
          <w:sz w:val="17"/>
        </w:rPr>
        <w:t>Figure 8: Churn rate by tech-support subscription.</w:t>
      </w:r>
    </w:p>
    <w:p>
      <w:pPr>
        <w:keepNext/>
        <w:spacing w:before="120" w:after="60"/>
        <w:jc w:val="center"/>
      </w:pPr>
      <w:r>
        <w:drawing>
          <wp:inline xmlns:a="http://schemas.openxmlformats.org/drawingml/2006/main" xmlns:pic="http://schemas.openxmlformats.org/drawingml/2006/picture">
            <wp:extent cx="4709160" cy="2576710"/>
            <wp:docPr id="9" name="Picture 9"/>
            <wp:cNvGraphicFramePr>
              <a:graphicFrameLocks noChangeAspect="1"/>
            </wp:cNvGraphicFramePr>
            <a:graphic>
              <a:graphicData uri="http://schemas.openxmlformats.org/drawingml/2006/picture">
                <pic:pic>
                  <pic:nvPicPr>
                    <pic:cNvPr id="0" name="phase3_churn_by_senior_citizen.png"/>
                    <pic:cNvPicPr/>
                  </pic:nvPicPr>
                  <pic:blipFill>
                    <a:blip r:embed="rId17"/>
                    <a:stretch>
                      <a:fillRect/>
                    </a:stretch>
                  </pic:blipFill>
                  <pic:spPr>
                    <a:xfrm>
                      <a:off x="0" y="0"/>
                      <a:ext cx="4709160" cy="2576710"/>
                    </a:xfrm>
                    <a:prstGeom prst="rect"/>
                  </pic:spPr>
                </pic:pic>
              </a:graphicData>
            </a:graphic>
          </wp:inline>
        </w:drawing>
      </w:r>
    </w:p>
    <w:p>
      <w:pPr>
        <w:spacing w:before="60" w:after="220"/>
        <w:jc w:val="center"/>
      </w:pPr>
      <w:r>
        <w:rPr>
          <w:i/>
          <w:color w:val="555F6B"/>
          <w:sz w:val="17"/>
        </w:rPr>
        <w:t>Figure 9: Churn rate by senior-citizen status.</w:t>
      </w:r>
    </w:p>
    <w:p>
      <w:r>
        <w:br w:type="page"/>
      </w:r>
    </w:p>
    <w:p>
      <w:pPr>
        <w:keepNext/>
        <w:spacing w:before="240" w:after="80"/>
      </w:pPr>
      <w:r>
        <w:rPr>
          <w:b/>
          <w:color w:val="1B355E"/>
          <w:sz w:val="25"/>
        </w:rPr>
        <w:t>13.5  Results: correlation structure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736"/>
        <w:gridCol w:w="1368"/>
        <w:gridCol w:w="5212"/>
      </w:tblGrid>
      <w:tr>
        <w:tc>
          <w:tcPr>
            <w:tcW w:type="dxa" w:w="2736"/>
            <w:shd w:val="clear" w:color="auto" w:fill="1B355E"/>
          </w:tcPr>
          <w:p>
            <w:pPr>
              <w:spacing w:after="20" w:before="20"/>
              <w:jc w:val="center"/>
            </w:pPr>
            <w:r>
              <w:rPr>
                <w:b/>
                <w:color w:val="FFFFFF"/>
                <w:sz w:val="16"/>
              </w:rPr>
              <w:t>Variable pair</w:t>
            </w:r>
          </w:p>
        </w:tc>
        <w:tc>
          <w:tcPr>
            <w:tcW w:type="dxa" w:w="1368"/>
            <w:shd w:val="clear" w:color="auto" w:fill="1B355E"/>
          </w:tcPr>
          <w:p>
            <w:pPr>
              <w:spacing w:after="20" w:before="20"/>
              <w:jc w:val="center"/>
            </w:pPr>
            <w:r>
              <w:rPr>
                <w:b/>
                <w:color w:val="FFFFFF"/>
                <w:sz w:val="16"/>
              </w:rPr>
              <w:t>Pearson r</w:t>
            </w:r>
          </w:p>
        </w:tc>
        <w:tc>
          <w:tcPr>
            <w:tcW w:type="dxa" w:w="5213"/>
            <w:shd w:val="clear" w:color="auto" w:fill="1B355E"/>
          </w:tcPr>
          <w:p>
            <w:pPr>
              <w:spacing w:after="20" w:before="20"/>
              <w:jc w:val="center"/>
            </w:pPr>
            <w:r>
              <w:rPr>
                <w:b/>
                <w:color w:val="FFFFFF"/>
                <w:sz w:val="16"/>
              </w:rPr>
              <w:t>Reading</w:t>
            </w:r>
          </w:p>
        </w:tc>
      </w:tr>
      <w:tr>
        <w:tc>
          <w:tcPr>
            <w:tcW w:type="dxa" w:w="2736"/>
          </w:tcPr>
          <w:p>
            <w:pPr>
              <w:spacing w:after="20" w:before="20" w:line="254" w:lineRule="auto"/>
              <w:jc w:val="left"/>
            </w:pPr>
            <w:r>
              <w:rPr>
                <w:rFonts w:ascii="Consolas" w:hAnsi="Consolas" w:eastAsia="Consolas"/>
                <w:color w:val="8A2C1F"/>
                <w:sz w:val="15"/>
              </w:rPr>
              <w:t>tenure</w:t>
            </w:r>
            <w:r>
              <w:rPr>
                <w:sz w:val="16"/>
              </w:rPr>
              <w:t xml:space="preserve"> ↔ </w:t>
            </w:r>
            <w:r>
              <w:rPr>
                <w:rFonts w:ascii="Consolas" w:hAnsi="Consolas" w:eastAsia="Consolas"/>
                <w:color w:val="8A2C1F"/>
                <w:sz w:val="15"/>
              </w:rPr>
              <w:t>ChurnFlag</w:t>
            </w:r>
          </w:p>
        </w:tc>
        <w:tc>
          <w:tcPr>
            <w:tcW w:type="dxa" w:w="1368"/>
          </w:tcPr>
          <w:p>
            <w:pPr>
              <w:spacing w:after="20" w:before="20" w:line="254" w:lineRule="auto"/>
              <w:jc w:val="center"/>
            </w:pPr>
            <w:r>
              <w:rPr>
                <w:b/>
                <w:sz w:val="16"/>
              </w:rPr>
              <w:t>−0.352</w:t>
            </w:r>
          </w:p>
        </w:tc>
        <w:tc>
          <w:tcPr>
            <w:tcW w:type="dxa" w:w="5213"/>
          </w:tcPr>
          <w:p>
            <w:pPr>
              <w:spacing w:after="20" w:before="20" w:line="254" w:lineRule="auto"/>
              <w:jc w:val="left"/>
            </w:pPr>
            <w:r>
              <w:rPr>
                <w:sz w:val="16"/>
              </w:rPr>
              <w:t>the strongest single linear signal</w:t>
            </w:r>
          </w:p>
        </w:tc>
      </w:tr>
      <w:tr>
        <w:tc>
          <w:tcPr>
            <w:tcW w:type="dxa" w:w="2736"/>
            <w:shd w:val="clear" w:color="auto" w:fill="F2F5F9"/>
          </w:tcPr>
          <w:p>
            <w:pPr>
              <w:spacing w:after="20" w:before="20" w:line="254" w:lineRule="auto"/>
              <w:jc w:val="left"/>
            </w:pPr>
            <w:r>
              <w:rPr>
                <w:rFonts w:ascii="Consolas" w:hAnsi="Consolas" w:eastAsia="Consolas"/>
                <w:color w:val="8A2C1F"/>
                <w:sz w:val="15"/>
              </w:rPr>
              <w:t>TotalCharges</w:t>
            </w:r>
            <w:r>
              <w:rPr>
                <w:sz w:val="16"/>
              </w:rPr>
              <w:t xml:space="preserve"> ↔ </w:t>
            </w:r>
            <w:r>
              <w:rPr>
                <w:rFonts w:ascii="Consolas" w:hAnsi="Consolas" w:eastAsia="Consolas"/>
                <w:color w:val="8A2C1F"/>
                <w:sz w:val="15"/>
              </w:rPr>
              <w:t>ChurnFlag</w:t>
            </w:r>
          </w:p>
        </w:tc>
        <w:tc>
          <w:tcPr>
            <w:tcW w:type="dxa" w:w="1368"/>
            <w:shd w:val="clear" w:color="auto" w:fill="F2F5F9"/>
          </w:tcPr>
          <w:p>
            <w:pPr>
              <w:spacing w:after="20" w:before="20" w:line="254" w:lineRule="auto"/>
              <w:jc w:val="center"/>
            </w:pPr>
            <w:r>
              <w:rPr>
                <w:sz w:val="16"/>
              </w:rPr>
              <w:t>−0.198</w:t>
            </w:r>
          </w:p>
        </w:tc>
        <w:tc>
          <w:tcPr>
            <w:tcW w:type="dxa" w:w="5213"/>
            <w:shd w:val="clear" w:color="auto" w:fill="F2F5F9"/>
          </w:tcPr>
          <w:p>
            <w:pPr>
              <w:spacing w:after="20" w:before="20" w:line="254" w:lineRule="auto"/>
              <w:jc w:val="left"/>
            </w:pPr>
            <w:r>
              <w:rPr>
                <w:sz w:val="16"/>
              </w:rPr>
              <w:t>a proxy for tenure, not an independent driver</w:t>
            </w:r>
          </w:p>
        </w:tc>
      </w:tr>
      <w:tr>
        <w:tc>
          <w:tcPr>
            <w:tcW w:type="dxa" w:w="2736"/>
          </w:tcPr>
          <w:p>
            <w:pPr>
              <w:spacing w:after="20" w:before="20" w:line="254" w:lineRule="auto"/>
              <w:jc w:val="left"/>
            </w:pPr>
            <w:r>
              <w:rPr>
                <w:rFonts w:ascii="Consolas" w:hAnsi="Consolas" w:eastAsia="Consolas"/>
                <w:color w:val="8A2C1F"/>
                <w:sz w:val="15"/>
              </w:rPr>
              <w:t>MonthlyCharges</w:t>
            </w:r>
            <w:r>
              <w:rPr>
                <w:sz w:val="16"/>
              </w:rPr>
              <w:t xml:space="preserve"> ↔ </w:t>
            </w:r>
            <w:r>
              <w:rPr>
                <w:rFonts w:ascii="Consolas" w:hAnsi="Consolas" w:eastAsia="Consolas"/>
                <w:color w:val="8A2C1F"/>
                <w:sz w:val="15"/>
              </w:rPr>
              <w:t>ChurnFlag</w:t>
            </w:r>
          </w:p>
        </w:tc>
        <w:tc>
          <w:tcPr>
            <w:tcW w:type="dxa" w:w="1368"/>
          </w:tcPr>
          <w:p>
            <w:pPr>
              <w:spacing w:after="20" w:before="20" w:line="254" w:lineRule="auto"/>
              <w:jc w:val="center"/>
            </w:pPr>
            <w:r>
              <w:rPr>
                <w:sz w:val="16"/>
              </w:rPr>
              <w:t>+0.193</w:t>
            </w:r>
          </w:p>
        </w:tc>
        <w:tc>
          <w:tcPr>
            <w:tcW w:type="dxa" w:w="5213"/>
          </w:tcPr>
          <w:p>
            <w:pPr>
              <w:spacing w:after="20" w:before="20" w:line="254" w:lineRule="auto"/>
              <w:jc w:val="left"/>
            </w:pPr>
            <w:r>
              <w:rPr>
                <w:sz w:val="16"/>
              </w:rPr>
              <w:t>higher recurring price raises risk</w:t>
            </w:r>
          </w:p>
        </w:tc>
      </w:tr>
      <w:tr>
        <w:tc>
          <w:tcPr>
            <w:tcW w:type="dxa" w:w="2736"/>
            <w:shd w:val="clear" w:color="auto" w:fill="F2F5F9"/>
          </w:tcPr>
          <w:p>
            <w:pPr>
              <w:spacing w:after="20" w:before="20" w:line="254" w:lineRule="auto"/>
              <w:jc w:val="left"/>
            </w:pPr>
            <w:r>
              <w:rPr>
                <w:rFonts w:ascii="Consolas" w:hAnsi="Consolas" w:eastAsia="Consolas"/>
                <w:color w:val="8A2C1F"/>
                <w:sz w:val="15"/>
              </w:rPr>
              <w:t>SeniorCitizen</w:t>
            </w:r>
            <w:r>
              <w:rPr>
                <w:sz w:val="16"/>
              </w:rPr>
              <w:t xml:space="preserve"> ↔ </w:t>
            </w:r>
            <w:r>
              <w:rPr>
                <w:rFonts w:ascii="Consolas" w:hAnsi="Consolas" w:eastAsia="Consolas"/>
                <w:color w:val="8A2C1F"/>
                <w:sz w:val="15"/>
              </w:rPr>
              <w:t>ChurnFlag</w:t>
            </w:r>
          </w:p>
        </w:tc>
        <w:tc>
          <w:tcPr>
            <w:tcW w:type="dxa" w:w="1368"/>
            <w:shd w:val="clear" w:color="auto" w:fill="F2F5F9"/>
          </w:tcPr>
          <w:p>
            <w:pPr>
              <w:spacing w:after="20" w:before="20" w:line="254" w:lineRule="auto"/>
              <w:jc w:val="center"/>
            </w:pPr>
            <w:r>
              <w:rPr>
                <w:sz w:val="16"/>
              </w:rPr>
              <w:t>+0.151</w:t>
            </w:r>
          </w:p>
        </w:tc>
        <w:tc>
          <w:tcPr>
            <w:tcW w:type="dxa" w:w="5213"/>
            <w:shd w:val="clear" w:color="auto" w:fill="F2F5F9"/>
          </w:tcPr>
          <w:p>
            <w:pPr>
              <w:spacing w:after="20" w:before="20" w:line="254" w:lineRule="auto"/>
              <w:jc w:val="left"/>
            </w:pPr>
            <w:r>
              <w:rPr>
                <w:sz w:val="16"/>
              </w:rPr>
              <w:t>consistent with the 41.68 % rate above</w:t>
            </w:r>
          </w:p>
        </w:tc>
      </w:tr>
      <w:tr>
        <w:tc>
          <w:tcPr>
            <w:tcW w:type="dxa" w:w="2736"/>
          </w:tcPr>
          <w:p>
            <w:pPr>
              <w:spacing w:after="20" w:before="20" w:line="254" w:lineRule="auto"/>
              <w:jc w:val="left"/>
            </w:pPr>
            <w:r>
              <w:rPr>
                <w:rFonts w:ascii="Consolas" w:hAnsi="Consolas" w:eastAsia="Consolas"/>
                <w:color w:val="8A2C1F"/>
                <w:sz w:val="15"/>
              </w:rPr>
              <w:t>tenure</w:t>
            </w:r>
            <w:r>
              <w:rPr>
                <w:sz w:val="16"/>
              </w:rPr>
              <w:t xml:space="preserve"> ↔ </w:t>
            </w:r>
            <w:r>
              <w:rPr>
                <w:rFonts w:ascii="Consolas" w:hAnsi="Consolas" w:eastAsia="Consolas"/>
                <w:color w:val="8A2C1F"/>
                <w:sz w:val="15"/>
              </w:rPr>
              <w:t>TotalCharges</w:t>
            </w:r>
          </w:p>
        </w:tc>
        <w:tc>
          <w:tcPr>
            <w:tcW w:type="dxa" w:w="1368"/>
          </w:tcPr>
          <w:p>
            <w:pPr>
              <w:spacing w:after="20" w:before="20" w:line="254" w:lineRule="auto"/>
              <w:jc w:val="center"/>
            </w:pPr>
            <w:r>
              <w:rPr>
                <w:b/>
                <w:sz w:val="16"/>
              </w:rPr>
              <w:t>+0.826</w:t>
            </w:r>
          </w:p>
        </w:tc>
        <w:tc>
          <w:tcPr>
            <w:tcW w:type="dxa" w:w="5213"/>
          </w:tcPr>
          <w:p>
            <w:pPr>
              <w:spacing w:after="20" w:before="20" w:line="254" w:lineRule="auto"/>
              <w:jc w:val="left"/>
            </w:pPr>
            <w:r>
              <w:rPr>
                <w:sz w:val="16"/>
              </w:rPr>
              <w:t>near-collinear by construction</w:t>
            </w:r>
          </w:p>
        </w:tc>
      </w:tr>
      <w:tr>
        <w:tc>
          <w:tcPr>
            <w:tcW w:type="dxa" w:w="2736"/>
            <w:shd w:val="clear" w:color="auto" w:fill="F2F5F9"/>
          </w:tcPr>
          <w:p>
            <w:pPr>
              <w:spacing w:after="20" w:before="20" w:line="254" w:lineRule="auto"/>
              <w:jc w:val="left"/>
            </w:pPr>
            <w:r>
              <w:rPr>
                <w:rFonts w:ascii="Consolas" w:hAnsi="Consolas" w:eastAsia="Consolas"/>
                <w:color w:val="8A2C1F"/>
                <w:sz w:val="15"/>
              </w:rPr>
              <w:t>MonthlyCharges</w:t>
            </w:r>
            <w:r>
              <w:rPr>
                <w:sz w:val="16"/>
              </w:rPr>
              <w:t xml:space="preserve"> ↔ </w:t>
            </w:r>
            <w:r>
              <w:rPr>
                <w:rFonts w:ascii="Consolas" w:hAnsi="Consolas" w:eastAsia="Consolas"/>
                <w:color w:val="8A2C1F"/>
                <w:sz w:val="15"/>
              </w:rPr>
              <w:t>TotalCharges</w:t>
            </w:r>
          </w:p>
        </w:tc>
        <w:tc>
          <w:tcPr>
            <w:tcW w:type="dxa" w:w="1368"/>
            <w:shd w:val="clear" w:color="auto" w:fill="F2F5F9"/>
          </w:tcPr>
          <w:p>
            <w:pPr>
              <w:spacing w:after="20" w:before="20" w:line="254" w:lineRule="auto"/>
              <w:jc w:val="center"/>
            </w:pPr>
            <w:r>
              <w:rPr>
                <w:sz w:val="16"/>
              </w:rPr>
              <w:t>+0.651</w:t>
            </w:r>
          </w:p>
        </w:tc>
        <w:tc>
          <w:tcPr>
            <w:tcW w:type="dxa" w:w="5213"/>
            <w:shd w:val="clear" w:color="auto" w:fill="F2F5F9"/>
          </w:tcPr>
          <w:p>
            <w:pPr>
              <w:spacing w:after="20" w:before="20" w:line="254" w:lineRule="auto"/>
              <w:jc w:val="left"/>
            </w:pPr>
            <w:r>
              <w:rPr>
                <w:sz w:val="16"/>
              </w:rPr>
              <w:t>total is rate multiplied by duration</w:t>
            </w:r>
          </w:p>
        </w:tc>
      </w:tr>
    </w:tbl>
    <w:p>
      <w:pPr>
        <w:spacing w:before="60" w:after="200"/>
        <w:jc w:val="center"/>
      </w:pPr>
      <w:r>
        <w:rPr>
          <w:i/>
          <w:color w:val="555F6B"/>
          <w:sz w:val="17"/>
        </w:rPr>
        <w:t>Table 21: Pearson correlations among the numeric attributes and the churn flag.</w:t>
      </w:r>
    </w:p>
    <w:p>
      <w:pPr>
        <w:keepNext/>
        <w:spacing w:before="120" w:after="60"/>
        <w:jc w:val="center"/>
      </w:pPr>
      <w:r>
        <w:drawing>
          <wp:inline xmlns:a="http://schemas.openxmlformats.org/drawingml/2006/main" xmlns:pic="http://schemas.openxmlformats.org/drawingml/2006/picture">
            <wp:extent cx="4434840" cy="3889378"/>
            <wp:docPr id="10" name="Picture 10"/>
            <wp:cNvGraphicFramePr>
              <a:graphicFrameLocks noChangeAspect="1"/>
            </wp:cNvGraphicFramePr>
            <a:graphic>
              <a:graphicData uri="http://schemas.openxmlformats.org/drawingml/2006/picture">
                <pic:pic>
                  <pic:nvPicPr>
                    <pic:cNvPr id="0" name="phase3_correlation_heatmap.png"/>
                    <pic:cNvPicPr/>
                  </pic:nvPicPr>
                  <pic:blipFill>
                    <a:blip r:embed="rId18"/>
                    <a:stretch>
                      <a:fillRect/>
                    </a:stretch>
                  </pic:blipFill>
                  <pic:spPr>
                    <a:xfrm>
                      <a:off x="0" y="0"/>
                      <a:ext cx="4434840" cy="3889378"/>
                    </a:xfrm>
                    <a:prstGeom prst="rect"/>
                  </pic:spPr>
                </pic:pic>
              </a:graphicData>
            </a:graphic>
          </wp:inline>
        </w:drawing>
      </w:r>
    </w:p>
    <w:p>
      <w:pPr>
        <w:spacing w:before="60" w:after="220"/>
        <w:jc w:val="center"/>
      </w:pPr>
      <w:r>
        <w:rPr>
          <w:i/>
          <w:color w:val="555F6B"/>
          <w:sz w:val="17"/>
        </w:rPr>
        <w:t>Figure 10: Correlation heat map of the numeric attributes.</w:t>
      </w:r>
    </w:p>
    <w:p>
      <w:pPr>
        <w:spacing w:after="120" w:before="0"/>
        <w:jc w:val="both"/>
      </w:pPr>
      <w:r>
        <w:rPr>
          <w:b w:val="0"/>
          <w:i w:val="0"/>
          <w:sz w:val="21"/>
        </w:rPr>
        <w:t>The 0.826 correlation between tenure and TotalCharges has the most practical consequence. The two are near-collinear because total charges are, almost by definition, monthly charges multiplied by tenure. For tree-based models this is harmless. For Logistic Regression it inflates the standard errors of both coefficients; the phase 6 implementation mitigates it with an L2 penalty, which shrinks correlated coefficients toward one another rather than letting one dominate arbitrarily.</w:t>
      </w:r>
    </w:p>
    <w:p>
      <w:r>
        <w:br w:type="page"/>
      </w:r>
    </w:p>
    <w:p>
      <w:pPr>
        <w:keepNext/>
        <w:spacing w:before="240" w:after="80"/>
      </w:pPr>
      <w:r>
        <w:rPr>
          <w:b/>
          <w:color w:val="1B355E"/>
          <w:sz w:val="25"/>
        </w:rPr>
        <w:t>13.6  Results: behavioural and cohort analysis</w:t>
      </w:r>
    </w:p>
    <w:p>
      <w:pPr>
        <w:keepNext/>
        <w:spacing w:before="120" w:after="60"/>
        <w:jc w:val="center"/>
      </w:pPr>
      <w:r>
        <w:drawing>
          <wp:inline xmlns:a="http://schemas.openxmlformats.org/drawingml/2006/main" xmlns:pic="http://schemas.openxmlformats.org/drawingml/2006/picture">
            <wp:extent cx="5166360" cy="3064790"/>
            <wp:docPr id="11" name="Picture 11"/>
            <wp:cNvGraphicFramePr>
              <a:graphicFrameLocks noChangeAspect="1"/>
            </wp:cNvGraphicFramePr>
            <a:graphic>
              <a:graphicData uri="http://schemas.openxmlformats.org/drawingml/2006/picture">
                <pic:pic>
                  <pic:nvPicPr>
                    <pic:cNvPr id="0" name="phase3_tenure_monthlycharges_churn.png"/>
                    <pic:cNvPicPr/>
                  </pic:nvPicPr>
                  <pic:blipFill>
                    <a:blip r:embed="rId19"/>
                    <a:stretch>
                      <a:fillRect/>
                    </a:stretch>
                  </pic:blipFill>
                  <pic:spPr>
                    <a:xfrm>
                      <a:off x="0" y="0"/>
                      <a:ext cx="5166360" cy="3064790"/>
                    </a:xfrm>
                    <a:prstGeom prst="rect"/>
                  </pic:spPr>
                </pic:pic>
              </a:graphicData>
            </a:graphic>
          </wp:inline>
        </w:drawing>
      </w:r>
    </w:p>
    <w:p>
      <w:pPr>
        <w:spacing w:before="60" w:after="220"/>
        <w:jc w:val="center"/>
      </w:pPr>
      <w:r>
        <w:rPr>
          <w:i/>
          <w:color w:val="555F6B"/>
          <w:sz w:val="17"/>
        </w:rPr>
        <w:t>Figure 11: Tenure against monthly charges, coloured by churn outcome.</w:t>
      </w:r>
    </w:p>
    <w:p>
      <w:pPr>
        <w:spacing w:after="120" w:before="0"/>
        <w:jc w:val="both"/>
      </w:pPr>
      <w:r>
        <w:rPr>
          <w:b w:val="0"/>
          <w:i w:val="0"/>
          <w:sz w:val="21"/>
        </w:rPr>
        <w:t>This is the most operationally useful chart phase 3 produces. Churned customers concentrate visibly in the upper-left region — short tenure combined with high monthly charges. That is exactly the profile of a customer who recently signed up for an expensive bundle and has not yet accumulated any reason to stay. It is also, as Section 15 shows, the profile K-Means isolates without being told anything about churn.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584"/>
        <w:gridCol w:w="1296"/>
        <w:gridCol w:w="1224"/>
        <w:gridCol w:w="1411"/>
        <w:gridCol w:w="3801"/>
      </w:tblGrid>
      <w:tr>
        <w:tc>
          <w:tcPr>
            <w:tcW w:type="dxa" w:w="1584"/>
            <w:shd w:val="clear" w:color="auto" w:fill="1B355E"/>
          </w:tcPr>
          <w:p>
            <w:pPr>
              <w:spacing w:after="20" w:before="20"/>
              <w:jc w:val="center"/>
            </w:pPr>
            <w:r>
              <w:rPr>
                <w:b/>
                <w:color w:val="FFFFFF"/>
                <w:sz w:val="16"/>
              </w:rPr>
              <w:t>Tenure band</w:t>
            </w:r>
          </w:p>
        </w:tc>
        <w:tc>
          <w:tcPr>
            <w:tcW w:type="dxa" w:w="1296"/>
            <w:shd w:val="clear" w:color="auto" w:fill="1B355E"/>
          </w:tcPr>
          <w:p>
            <w:pPr>
              <w:spacing w:after="20" w:before="20"/>
              <w:jc w:val="center"/>
            </w:pPr>
            <w:r>
              <w:rPr>
                <w:b/>
                <w:color w:val="FFFFFF"/>
                <w:sz w:val="16"/>
              </w:rPr>
              <w:t>Customers</w:t>
            </w:r>
          </w:p>
        </w:tc>
        <w:tc>
          <w:tcPr>
            <w:tcW w:type="dxa" w:w="1224"/>
            <w:shd w:val="clear" w:color="auto" w:fill="1B355E"/>
          </w:tcPr>
          <w:p>
            <w:pPr>
              <w:spacing w:after="20" w:before="20"/>
              <w:jc w:val="center"/>
            </w:pPr>
            <w:r>
              <w:rPr>
                <w:b/>
                <w:color w:val="FFFFFF"/>
                <w:sz w:val="16"/>
              </w:rPr>
              <w:t>Share</w:t>
            </w:r>
          </w:p>
        </w:tc>
        <w:tc>
          <w:tcPr>
            <w:tcW w:type="dxa" w:w="1411"/>
            <w:shd w:val="clear" w:color="auto" w:fill="1B355E"/>
          </w:tcPr>
          <w:p>
            <w:pPr>
              <w:spacing w:after="20" w:before="20"/>
              <w:jc w:val="center"/>
            </w:pPr>
            <w:r>
              <w:rPr>
                <w:b/>
                <w:color w:val="FFFFFF"/>
                <w:sz w:val="16"/>
              </w:rPr>
              <w:t>Churn rate</w:t>
            </w:r>
          </w:p>
        </w:tc>
        <w:tc>
          <w:tcPr>
            <w:tcW w:type="dxa" w:w="3802"/>
            <w:shd w:val="clear" w:color="auto" w:fill="1B355E"/>
          </w:tcPr>
          <w:p>
            <w:pPr>
              <w:spacing w:after="20" w:before="20"/>
              <w:jc w:val="center"/>
            </w:pPr>
            <w:r>
              <w:rPr>
                <w:b/>
                <w:color w:val="FFFFFF"/>
                <w:sz w:val="16"/>
              </w:rPr>
              <w:t>Reading</w:t>
            </w:r>
          </w:p>
        </w:tc>
      </w:tr>
      <w:tr>
        <w:tc>
          <w:tcPr>
            <w:tcW w:type="dxa" w:w="1584"/>
          </w:tcPr>
          <w:p>
            <w:pPr>
              <w:spacing w:after="20" w:before="20" w:line="254" w:lineRule="auto"/>
              <w:jc w:val="left"/>
            </w:pPr>
            <w:r>
              <w:rPr>
                <w:sz w:val="16"/>
              </w:rPr>
              <w:t>0-6 months</w:t>
            </w:r>
          </w:p>
        </w:tc>
        <w:tc>
          <w:tcPr>
            <w:tcW w:type="dxa" w:w="1296"/>
          </w:tcPr>
          <w:p>
            <w:pPr>
              <w:spacing w:after="20" w:before="20" w:line="254" w:lineRule="auto"/>
              <w:jc w:val="center"/>
            </w:pPr>
            <w:r>
              <w:rPr>
                <w:sz w:val="16"/>
              </w:rPr>
              <w:t>1 481</w:t>
            </w:r>
          </w:p>
        </w:tc>
        <w:tc>
          <w:tcPr>
            <w:tcW w:type="dxa" w:w="1224"/>
          </w:tcPr>
          <w:p>
            <w:pPr>
              <w:spacing w:after="20" w:before="20" w:line="254" w:lineRule="auto"/>
              <w:jc w:val="center"/>
            </w:pPr>
            <w:r>
              <w:rPr>
                <w:sz w:val="16"/>
              </w:rPr>
              <w:t>21.03 %</w:t>
            </w:r>
          </w:p>
        </w:tc>
        <w:tc>
          <w:tcPr>
            <w:tcW w:type="dxa" w:w="1411"/>
          </w:tcPr>
          <w:p>
            <w:pPr>
              <w:spacing w:after="20" w:before="20" w:line="254" w:lineRule="auto"/>
              <w:jc w:val="center"/>
            </w:pPr>
            <w:r>
              <w:rPr>
                <w:b/>
                <w:sz w:val="16"/>
              </w:rPr>
              <w:t>52.94 %</w:t>
            </w:r>
          </w:p>
        </w:tc>
        <w:tc>
          <w:tcPr>
            <w:tcW w:type="dxa" w:w="3802"/>
          </w:tcPr>
          <w:p>
            <w:pPr>
              <w:spacing w:after="20" w:before="20" w:line="254" w:lineRule="auto"/>
              <w:jc w:val="left"/>
            </w:pPr>
            <w:r>
              <w:rPr>
                <w:sz w:val="16"/>
              </w:rPr>
              <w:t>more than half leave within two quarters</w:t>
            </w:r>
          </w:p>
        </w:tc>
      </w:tr>
      <w:tr>
        <w:tc>
          <w:tcPr>
            <w:tcW w:type="dxa" w:w="1584"/>
            <w:shd w:val="clear" w:color="auto" w:fill="F2F5F9"/>
          </w:tcPr>
          <w:p>
            <w:pPr>
              <w:spacing w:after="20" w:before="20" w:line="254" w:lineRule="auto"/>
              <w:jc w:val="left"/>
            </w:pPr>
            <w:r>
              <w:rPr>
                <w:sz w:val="16"/>
              </w:rPr>
              <w:t>7-12 months</w:t>
            </w:r>
          </w:p>
        </w:tc>
        <w:tc>
          <w:tcPr>
            <w:tcW w:type="dxa" w:w="1296"/>
            <w:shd w:val="clear" w:color="auto" w:fill="F2F5F9"/>
          </w:tcPr>
          <w:p>
            <w:pPr>
              <w:spacing w:after="20" w:before="20" w:line="254" w:lineRule="auto"/>
              <w:jc w:val="center"/>
            </w:pPr>
            <w:r>
              <w:rPr>
                <w:sz w:val="16"/>
              </w:rPr>
              <w:t>705</w:t>
            </w:r>
          </w:p>
        </w:tc>
        <w:tc>
          <w:tcPr>
            <w:tcW w:type="dxa" w:w="1224"/>
            <w:shd w:val="clear" w:color="auto" w:fill="F2F5F9"/>
          </w:tcPr>
          <w:p>
            <w:pPr>
              <w:spacing w:after="20" w:before="20" w:line="254" w:lineRule="auto"/>
              <w:jc w:val="center"/>
            </w:pPr>
            <w:r>
              <w:rPr>
                <w:sz w:val="16"/>
              </w:rPr>
              <w:t>10.01 %</w:t>
            </w:r>
          </w:p>
        </w:tc>
        <w:tc>
          <w:tcPr>
            <w:tcW w:type="dxa" w:w="1411"/>
            <w:shd w:val="clear" w:color="auto" w:fill="F2F5F9"/>
          </w:tcPr>
          <w:p>
            <w:pPr>
              <w:spacing w:after="20" w:before="20" w:line="254" w:lineRule="auto"/>
              <w:jc w:val="center"/>
            </w:pPr>
            <w:r>
              <w:rPr>
                <w:sz w:val="16"/>
              </w:rPr>
              <w:t>35.89 %</w:t>
            </w:r>
          </w:p>
        </w:tc>
        <w:tc>
          <w:tcPr>
            <w:tcW w:type="dxa" w:w="3802"/>
            <w:shd w:val="clear" w:color="auto" w:fill="F2F5F9"/>
          </w:tcPr>
          <w:p>
            <w:pPr>
              <w:spacing w:after="20" w:before="20" w:line="254" w:lineRule="auto"/>
              <w:jc w:val="center"/>
            </w:pPr>
            <w:r>
              <w:rPr>
                <w:sz w:val="16"/>
              </w:rPr>
              <w:t>still above base</w:t>
            </w:r>
          </w:p>
        </w:tc>
      </w:tr>
      <w:tr>
        <w:tc>
          <w:tcPr>
            <w:tcW w:type="dxa" w:w="1584"/>
          </w:tcPr>
          <w:p>
            <w:pPr>
              <w:spacing w:after="20" w:before="20" w:line="254" w:lineRule="auto"/>
              <w:jc w:val="left"/>
            </w:pPr>
            <w:r>
              <w:rPr>
                <w:sz w:val="16"/>
              </w:rPr>
              <w:t>13-24 months</w:t>
            </w:r>
          </w:p>
        </w:tc>
        <w:tc>
          <w:tcPr>
            <w:tcW w:type="dxa" w:w="1296"/>
          </w:tcPr>
          <w:p>
            <w:pPr>
              <w:spacing w:after="20" w:before="20" w:line="254" w:lineRule="auto"/>
              <w:jc w:val="center"/>
            </w:pPr>
            <w:r>
              <w:rPr>
                <w:sz w:val="16"/>
              </w:rPr>
              <w:t>1 024</w:t>
            </w:r>
          </w:p>
        </w:tc>
        <w:tc>
          <w:tcPr>
            <w:tcW w:type="dxa" w:w="1224"/>
          </w:tcPr>
          <w:p>
            <w:pPr>
              <w:spacing w:after="20" w:before="20" w:line="254" w:lineRule="auto"/>
              <w:jc w:val="center"/>
            </w:pPr>
            <w:r>
              <w:rPr>
                <w:sz w:val="16"/>
              </w:rPr>
              <w:t>14.54 %</w:t>
            </w:r>
          </w:p>
        </w:tc>
        <w:tc>
          <w:tcPr>
            <w:tcW w:type="dxa" w:w="1411"/>
          </w:tcPr>
          <w:p>
            <w:pPr>
              <w:spacing w:after="20" w:before="20" w:line="254" w:lineRule="auto"/>
              <w:jc w:val="center"/>
            </w:pPr>
            <w:r>
              <w:rPr>
                <w:sz w:val="16"/>
              </w:rPr>
              <w:t>28.71 %</w:t>
            </w:r>
          </w:p>
        </w:tc>
        <w:tc>
          <w:tcPr>
            <w:tcW w:type="dxa" w:w="3802"/>
          </w:tcPr>
          <w:p>
            <w:pPr>
              <w:spacing w:after="20" w:before="20" w:line="254" w:lineRule="auto"/>
              <w:jc w:val="center"/>
            </w:pPr>
            <w:r>
              <w:rPr>
                <w:sz w:val="16"/>
              </w:rPr>
              <w:t>approaching base</w:t>
            </w:r>
          </w:p>
        </w:tc>
      </w:tr>
      <w:tr>
        <w:tc>
          <w:tcPr>
            <w:tcW w:type="dxa" w:w="1584"/>
            <w:shd w:val="clear" w:color="auto" w:fill="F2F5F9"/>
          </w:tcPr>
          <w:p>
            <w:pPr>
              <w:spacing w:after="20" w:before="20" w:line="254" w:lineRule="auto"/>
              <w:jc w:val="left"/>
            </w:pPr>
            <w:r>
              <w:rPr>
                <w:sz w:val="16"/>
              </w:rPr>
              <w:t>25-48 months</w:t>
            </w:r>
          </w:p>
        </w:tc>
        <w:tc>
          <w:tcPr>
            <w:tcW w:type="dxa" w:w="1296"/>
            <w:shd w:val="clear" w:color="auto" w:fill="F2F5F9"/>
          </w:tcPr>
          <w:p>
            <w:pPr>
              <w:spacing w:after="20" w:before="20" w:line="254" w:lineRule="auto"/>
              <w:jc w:val="center"/>
            </w:pPr>
            <w:r>
              <w:rPr>
                <w:sz w:val="16"/>
              </w:rPr>
              <w:t>1 594</w:t>
            </w:r>
          </w:p>
        </w:tc>
        <w:tc>
          <w:tcPr>
            <w:tcW w:type="dxa" w:w="1224"/>
            <w:shd w:val="clear" w:color="auto" w:fill="F2F5F9"/>
          </w:tcPr>
          <w:p>
            <w:pPr>
              <w:spacing w:after="20" w:before="20" w:line="254" w:lineRule="auto"/>
              <w:jc w:val="center"/>
            </w:pPr>
            <w:r>
              <w:rPr>
                <w:sz w:val="16"/>
              </w:rPr>
              <w:t>22.63 %</w:t>
            </w:r>
          </w:p>
        </w:tc>
        <w:tc>
          <w:tcPr>
            <w:tcW w:type="dxa" w:w="1411"/>
            <w:shd w:val="clear" w:color="auto" w:fill="F2F5F9"/>
          </w:tcPr>
          <w:p>
            <w:pPr>
              <w:spacing w:after="20" w:before="20" w:line="254" w:lineRule="auto"/>
              <w:jc w:val="center"/>
            </w:pPr>
            <w:r>
              <w:rPr>
                <w:sz w:val="16"/>
              </w:rPr>
              <w:t>20.39 %</w:t>
            </w:r>
          </w:p>
        </w:tc>
        <w:tc>
          <w:tcPr>
            <w:tcW w:type="dxa" w:w="3802"/>
            <w:shd w:val="clear" w:color="auto" w:fill="F2F5F9"/>
          </w:tcPr>
          <w:p>
            <w:pPr>
              <w:spacing w:after="20" w:before="20" w:line="254" w:lineRule="auto"/>
              <w:jc w:val="center"/>
            </w:pPr>
            <w:r>
              <w:rPr>
                <w:sz w:val="16"/>
              </w:rPr>
              <w:t>settled</w:t>
            </w:r>
          </w:p>
        </w:tc>
      </w:tr>
      <w:tr>
        <w:tc>
          <w:tcPr>
            <w:tcW w:type="dxa" w:w="1584"/>
          </w:tcPr>
          <w:p>
            <w:pPr>
              <w:spacing w:after="20" w:before="20" w:line="254" w:lineRule="auto"/>
              <w:jc w:val="left"/>
            </w:pPr>
            <w:r>
              <w:rPr>
                <w:sz w:val="16"/>
              </w:rPr>
              <w:t>49-72 months</w:t>
            </w:r>
          </w:p>
        </w:tc>
        <w:tc>
          <w:tcPr>
            <w:tcW w:type="dxa" w:w="1296"/>
          </w:tcPr>
          <w:p>
            <w:pPr>
              <w:spacing w:after="20" w:before="20" w:line="254" w:lineRule="auto"/>
              <w:jc w:val="center"/>
            </w:pPr>
            <w:r>
              <w:rPr>
                <w:sz w:val="16"/>
              </w:rPr>
              <w:t>2 239</w:t>
            </w:r>
          </w:p>
        </w:tc>
        <w:tc>
          <w:tcPr>
            <w:tcW w:type="dxa" w:w="1224"/>
          </w:tcPr>
          <w:p>
            <w:pPr>
              <w:spacing w:after="20" w:before="20" w:line="254" w:lineRule="auto"/>
              <w:jc w:val="center"/>
            </w:pPr>
            <w:r>
              <w:rPr>
                <w:sz w:val="16"/>
              </w:rPr>
              <w:t>31.79 %</w:t>
            </w:r>
          </w:p>
        </w:tc>
        <w:tc>
          <w:tcPr>
            <w:tcW w:type="dxa" w:w="1411"/>
          </w:tcPr>
          <w:p>
            <w:pPr>
              <w:spacing w:after="20" w:before="20" w:line="254" w:lineRule="auto"/>
              <w:jc w:val="center"/>
            </w:pPr>
            <w:r>
              <w:rPr>
                <w:b/>
                <w:sz w:val="16"/>
              </w:rPr>
              <w:t>9.51 %</w:t>
            </w:r>
          </w:p>
        </w:tc>
        <w:tc>
          <w:tcPr>
            <w:tcW w:type="dxa" w:w="3802"/>
          </w:tcPr>
          <w:p>
            <w:pPr>
              <w:spacing w:after="20" w:before="20" w:line="254" w:lineRule="auto"/>
              <w:jc w:val="center"/>
            </w:pPr>
            <w:r>
              <w:rPr>
                <w:sz w:val="16"/>
              </w:rPr>
              <w:t>loyal core</w:t>
            </w:r>
          </w:p>
        </w:tc>
      </w:tr>
    </w:tbl>
    <w:p>
      <w:pPr>
        <w:spacing w:before="60" w:after="200"/>
        <w:jc w:val="center"/>
      </w:pPr>
      <w:r>
        <w:rPr>
          <w:i/>
          <w:color w:val="555F6B"/>
          <w:sz w:val="17"/>
        </w:rPr>
        <w:t>Table 22: Churn rate by tenure cohort, showing monotonic decay of risk with relationship age.</w:t>
      </w:r>
    </w:p>
    <w:p>
      <w:pPr>
        <w:keepNext/>
        <w:spacing w:before="120" w:after="60"/>
        <w:jc w:val="center"/>
      </w:pPr>
      <w:r>
        <w:drawing>
          <wp:inline xmlns:a="http://schemas.openxmlformats.org/drawingml/2006/main" xmlns:pic="http://schemas.openxmlformats.org/drawingml/2006/picture">
            <wp:extent cx="5074920" cy="2494452"/>
            <wp:docPr id="12" name="Picture 12"/>
            <wp:cNvGraphicFramePr>
              <a:graphicFrameLocks noChangeAspect="1"/>
            </wp:cNvGraphicFramePr>
            <a:graphic>
              <a:graphicData uri="http://schemas.openxmlformats.org/drawingml/2006/picture">
                <pic:pic>
                  <pic:nvPicPr>
                    <pic:cNvPr id="0" name="phase3_churn_by_tenure_band.png"/>
                    <pic:cNvPicPr/>
                  </pic:nvPicPr>
                  <pic:blipFill>
                    <a:blip r:embed="rId20"/>
                    <a:stretch>
                      <a:fillRect/>
                    </a:stretch>
                  </pic:blipFill>
                  <pic:spPr>
                    <a:xfrm>
                      <a:off x="0" y="0"/>
                      <a:ext cx="5074920" cy="2494452"/>
                    </a:xfrm>
                    <a:prstGeom prst="rect"/>
                  </pic:spPr>
                </pic:pic>
              </a:graphicData>
            </a:graphic>
          </wp:inline>
        </w:drawing>
      </w:r>
    </w:p>
    <w:p>
      <w:pPr>
        <w:spacing w:before="60" w:after="220"/>
        <w:jc w:val="center"/>
      </w:pPr>
      <w:r>
        <w:rPr>
          <w:i/>
          <w:color w:val="555F6B"/>
          <w:sz w:val="17"/>
        </w:rPr>
        <w:t>Figure 12: Churn rate by tenure band. Risk decays monotonically from 52.94 % to 9.51 %.</w:t>
      </w:r>
    </w:p>
    <w:p>
      <w:pPr>
        <w:spacing w:after="120" w:before="0"/>
        <w:jc w:val="both"/>
      </w:pPr>
      <w:r>
        <w:rPr>
          <w:b w:val="0"/>
          <w:i w:val="0"/>
          <w:sz w:val="21"/>
        </w:rPr>
        <w:t>The cohort table carries the clearest strategic message in the exploratory phase. A customer in their first six months is five and a half times more likely to leave than one past four years. Retention effort therefore has a window: intervening at month two addresses a 52.94 % risk, while the same intervention at month fifty addresses a 9.51 % risk and is largely wasted. Onboarding, not long-term loyalty programming, is where retention spend earns its return.</w:t>
      </w:r>
    </w:p>
    <w:p>
      <w:r>
        <w:br w:type="page"/>
      </w:r>
    </w:p>
    <w:p>
      <w:pPr>
        <w:spacing w:after="0"/>
      </w:pPr>
    </w:p>
    <w:p>
      <w:pPr>
        <w:keepNext/>
        <w:spacing w:before="80" w:after="40"/>
        <w:pBdr>
          <w:bottom w:val="single" w:sz="10" w:space="3" w:color="1B355E"/>
        </w:pBdr>
      </w:pPr>
      <w:r>
        <w:rPr>
          <w:b/>
          <w:color w:val="1B355E"/>
          <w:sz w:val="30"/>
        </w:rPr>
        <w:t>14.  Phase 4 — Feature Engineering</w:t>
      </w:r>
    </w:p>
    <w:p>
      <w:pPr>
        <w:spacing w:after="40"/>
      </w:pPr>
    </w:p>
    <w:p>
      <w:pPr>
        <w:keepNext/>
        <w:spacing w:before="240" w:after="80"/>
      </w:pPr>
      <w:r>
        <w:rPr>
          <w:b/>
          <w:color w:val="1B355E"/>
          <w:sz w:val="25"/>
        </w:rPr>
        <w:t>14.1  Purpose</w:t>
      </w:r>
    </w:p>
    <w:p>
      <w:pPr>
        <w:spacing w:after="120" w:before="0"/>
        <w:jc w:val="both"/>
      </w:pPr>
      <w:r>
        <w:rPr>
          <w:b w:val="0"/>
          <w:i w:val="0"/>
          <w:sz w:val="21"/>
        </w:rPr>
        <w:t xml:space="preserve">Phase 4 translates the exploratory findings into model inputs. Each of the seven constructed features encodes a specific business hypothesis found in phase 3, rather than an arbitrary combination of columns. </w:t>
      </w:r>
      <w:r>
        <w:rPr>
          <w:b/>
          <w:i w:val="0"/>
          <w:sz w:val="21"/>
        </w:rPr>
        <w:t>Modified during remediation</w:t>
      </w:r>
      <w:r>
        <w:rPr>
          <w:b w:val="0"/>
          <w:i w:val="0"/>
          <w:sz w:val="21"/>
        </w:rPr>
        <w:t xml:space="preserve"> to build features through the shared module, persist the tier boundaries and export an unscaled copy.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center"/>
            </w:pPr>
            <w:r>
              <w:rPr>
                <w:rFonts w:ascii="Consolas" w:hAnsi="Consolas" w:eastAsia="Consolas"/>
                <w:color w:val="8A2C1F"/>
                <w:sz w:val="16"/>
              </w:rPr>
              <w:t>data/Customer-Churn-Cleaned.csv</w:t>
            </w:r>
          </w:p>
        </w:tc>
      </w:tr>
      <w:tr>
        <w:tc>
          <w:tcPr>
            <w:tcW w:type="dxa" w:w="2232"/>
            <w:shd w:val="clear" w:color="auto" w:fill="F2F5F9"/>
          </w:tcPr>
          <w:p>
            <w:pPr>
              <w:spacing w:after="20" w:before="20" w:line="254" w:lineRule="auto"/>
              <w:jc w:val="left"/>
            </w:pPr>
            <w:r>
              <w:rPr>
                <w:sz w:val="17"/>
              </w:rPr>
              <w:t>Outputs</w:t>
            </w:r>
          </w:p>
        </w:tc>
        <w:tc>
          <w:tcPr>
            <w:tcW w:type="dxa" w:w="7085"/>
            <w:shd w:val="clear" w:color="auto" w:fill="F2F5F9"/>
          </w:tcPr>
          <w:p>
            <w:pPr>
              <w:spacing w:after="20" w:before="20" w:line="254" w:lineRule="auto"/>
              <w:jc w:val="left"/>
            </w:pPr>
            <w:r>
              <w:rPr>
                <w:rFonts w:ascii="Consolas" w:hAnsi="Consolas" w:eastAsia="Consolas"/>
                <w:color w:val="8A2C1F"/>
                <w:sz w:val="16"/>
              </w:rPr>
              <w:t>Customer-Churn-Features-Unscaled.csv</w:t>
            </w:r>
            <w:r>
              <w:rPr>
                <w:sz w:val="17"/>
              </w:rPr>
              <w:t xml:space="preserve"> (7 043 × 8), </w:t>
            </w:r>
            <w:r>
              <w:rPr>
                <w:rFonts w:ascii="Consolas" w:hAnsi="Consolas" w:eastAsia="Consolas"/>
                <w:color w:val="8A2C1F"/>
                <w:sz w:val="16"/>
              </w:rPr>
              <w:t>Customer-Churn-Model-Ready.csv</w:t>
            </w:r>
            <w:r>
              <w:rPr>
                <w:sz w:val="17"/>
              </w:rPr>
              <w:t xml:space="preserve"> (7 043 × 36), </w:t>
            </w:r>
            <w:r>
              <w:rPr>
                <w:rFonts w:ascii="Consolas" w:hAnsi="Consolas" w:eastAsia="Consolas"/>
                <w:color w:val="8A2C1F"/>
                <w:sz w:val="16"/>
              </w:rPr>
              <w:t>feature_engineering_artifacts.joblib</w:t>
            </w:r>
          </w:p>
        </w:tc>
      </w:tr>
      <w:tr>
        <w:tc>
          <w:tcPr>
            <w:tcW w:type="dxa" w:w="2232"/>
          </w:tcPr>
          <w:p>
            <w:pPr>
              <w:spacing w:after="20" w:before="20" w:line="254" w:lineRule="auto"/>
              <w:jc w:val="left"/>
            </w:pPr>
            <w:r>
              <w:rPr>
                <w:sz w:val="17"/>
              </w:rPr>
              <w:t>Features constructed</w:t>
            </w:r>
          </w:p>
        </w:tc>
        <w:tc>
          <w:tcPr>
            <w:tcW w:type="dxa" w:w="7085"/>
          </w:tcPr>
          <w:p>
            <w:pPr>
              <w:spacing w:after="20" w:before="20" w:line="254" w:lineRule="auto"/>
              <w:jc w:val="center"/>
            </w:pPr>
            <w:r>
              <w:rPr>
                <w:sz w:val="17"/>
              </w:rPr>
              <w:t>7</w:t>
            </w:r>
          </w:p>
        </w:tc>
      </w:tr>
      <w:tr>
        <w:tc>
          <w:tcPr>
            <w:tcW w:type="dxa" w:w="2232"/>
            <w:shd w:val="clear" w:color="auto" w:fill="F2F5F9"/>
          </w:tcPr>
          <w:p>
            <w:pPr>
              <w:spacing w:after="20" w:before="20" w:line="254" w:lineRule="auto"/>
              <w:jc w:val="left"/>
            </w:pPr>
            <w:r>
              <w:rPr>
                <w:sz w:val="17"/>
              </w:rPr>
              <w:t>Status</w:t>
            </w:r>
          </w:p>
        </w:tc>
        <w:tc>
          <w:tcPr>
            <w:tcW w:type="dxa" w:w="7085"/>
            <w:shd w:val="clear" w:color="auto" w:fill="F2F5F9"/>
          </w:tcPr>
          <w:p>
            <w:pPr>
              <w:spacing w:after="20" w:before="20" w:line="254" w:lineRule="auto"/>
              <w:jc w:val="center"/>
            </w:pPr>
            <w:r>
              <w:rPr>
                <w:b/>
                <w:sz w:val="17"/>
              </w:rPr>
              <w:t>Modified — defect 3</w:t>
            </w:r>
          </w:p>
        </w:tc>
      </w:tr>
    </w:tbl>
    <w:p>
      <w:pPr>
        <w:spacing w:before="60" w:after="200"/>
        <w:jc w:val="center"/>
      </w:pPr>
      <w:r>
        <w:rPr>
          <w:i/>
          <w:color w:val="555F6B"/>
          <w:sz w:val="17"/>
        </w:rPr>
        <w:t>Table 23: Phase 4 interface summary.</w:t>
      </w:r>
    </w:p>
    <w:p>
      <w:pPr>
        <w:keepNext/>
        <w:spacing w:before="240" w:after="80"/>
      </w:pPr>
      <w:r>
        <w:rPr>
          <w:b/>
          <w:color w:val="1B355E"/>
          <w:sz w:val="25"/>
        </w:rPr>
        <w:t>14.2  The seven engineered features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699"/>
        <w:gridCol w:w="2476"/>
        <w:gridCol w:w="5140"/>
      </w:tblGrid>
      <w:tr>
        <w:tc>
          <w:tcPr>
            <w:tcW w:type="dxa" w:w="1699"/>
            <w:shd w:val="clear" w:color="auto" w:fill="1B355E"/>
          </w:tcPr>
          <w:p>
            <w:pPr>
              <w:spacing w:after="20" w:before="20"/>
              <w:jc w:val="center"/>
            </w:pPr>
            <w:r>
              <w:rPr>
                <w:b/>
                <w:color w:val="FFFFFF"/>
                <w:sz w:val="16"/>
              </w:rPr>
              <w:t>Feature</w:t>
            </w:r>
          </w:p>
        </w:tc>
        <w:tc>
          <w:tcPr>
            <w:tcW w:type="dxa" w:w="2477"/>
            <w:shd w:val="clear" w:color="auto" w:fill="1B355E"/>
          </w:tcPr>
          <w:p>
            <w:pPr>
              <w:spacing w:after="20" w:before="20"/>
              <w:jc w:val="center"/>
            </w:pPr>
            <w:r>
              <w:rPr>
                <w:b/>
                <w:color w:val="FFFFFF"/>
                <w:sz w:val="16"/>
              </w:rPr>
              <w:t>Construction</w:t>
            </w:r>
          </w:p>
        </w:tc>
        <w:tc>
          <w:tcPr>
            <w:tcW w:type="dxa" w:w="5141"/>
            <w:shd w:val="clear" w:color="auto" w:fill="1B355E"/>
          </w:tcPr>
          <w:p>
            <w:pPr>
              <w:spacing w:after="20" w:before="20"/>
              <w:jc w:val="center"/>
            </w:pPr>
            <w:r>
              <w:rPr>
                <w:b/>
                <w:color w:val="FFFFFF"/>
                <w:sz w:val="16"/>
              </w:rPr>
              <w:t>Business hypothesis</w:t>
            </w:r>
          </w:p>
        </w:tc>
      </w:tr>
      <w:tr>
        <w:tc>
          <w:tcPr>
            <w:tcW w:type="dxa" w:w="1699"/>
          </w:tcPr>
          <w:p>
            <w:pPr>
              <w:spacing w:after="20" w:before="20" w:line="254" w:lineRule="auto"/>
              <w:jc w:val="left"/>
            </w:pPr>
            <w:r>
              <w:rPr>
                <w:rFonts w:ascii="Consolas" w:hAnsi="Consolas" w:eastAsia="Consolas"/>
                <w:color w:val="8A2C1F"/>
                <w:sz w:val="15"/>
              </w:rPr>
              <w:t>TenureBand</w:t>
            </w:r>
          </w:p>
        </w:tc>
        <w:tc>
          <w:tcPr>
            <w:tcW w:type="dxa" w:w="2477"/>
          </w:tcPr>
          <w:p>
            <w:pPr>
              <w:spacing w:after="20" w:before="20" w:line="254" w:lineRule="auto"/>
              <w:jc w:val="left"/>
            </w:pPr>
            <w:r>
              <w:rPr>
                <w:rFonts w:ascii="Consolas" w:hAnsi="Consolas" w:eastAsia="Consolas"/>
                <w:color w:val="8A2C1F"/>
                <w:sz w:val="15"/>
              </w:rPr>
              <w:t>pd.cut</w:t>
            </w:r>
            <w:r>
              <w:rPr>
                <w:sz w:val="16"/>
              </w:rPr>
              <w:t xml:space="preserve"> on tenure into 5 unequal bands</w:t>
            </w:r>
          </w:p>
        </w:tc>
        <w:tc>
          <w:tcPr>
            <w:tcW w:type="dxa" w:w="5141"/>
          </w:tcPr>
          <w:p>
            <w:pPr>
              <w:spacing w:after="20" w:before="20" w:line="254" w:lineRule="auto"/>
              <w:jc w:val="left"/>
            </w:pPr>
            <w:r>
              <w:rPr>
                <w:sz w:val="16"/>
              </w:rPr>
              <w:t>risk decays non-linearly with relationship age; a linear term cannot express the 52.94 % → 9.51 % curve</w:t>
            </w:r>
          </w:p>
        </w:tc>
      </w:tr>
      <w:tr>
        <w:tc>
          <w:tcPr>
            <w:tcW w:type="dxa" w:w="1699"/>
            <w:shd w:val="clear" w:color="auto" w:fill="F2F5F9"/>
          </w:tcPr>
          <w:p>
            <w:pPr>
              <w:spacing w:after="20" w:before="20" w:line="254" w:lineRule="auto"/>
              <w:jc w:val="left"/>
            </w:pPr>
            <w:r>
              <w:rPr>
                <w:rFonts w:ascii="Consolas" w:hAnsi="Consolas" w:eastAsia="Consolas"/>
                <w:color w:val="8A2C1F"/>
                <w:sz w:val="15"/>
              </w:rPr>
              <w:t>ARPU</w:t>
            </w:r>
          </w:p>
        </w:tc>
        <w:tc>
          <w:tcPr>
            <w:tcW w:type="dxa" w:w="2477"/>
            <w:shd w:val="clear" w:color="auto" w:fill="F2F5F9"/>
          </w:tcPr>
          <w:p>
            <w:pPr>
              <w:spacing w:after="20" w:before="20" w:line="254" w:lineRule="auto"/>
              <w:jc w:val="left"/>
            </w:pPr>
            <w:r>
              <w:rPr>
                <w:rFonts w:ascii="Consolas" w:hAnsi="Consolas" w:eastAsia="Consolas"/>
                <w:color w:val="8A2C1F"/>
                <w:sz w:val="15"/>
              </w:rPr>
              <w:t>TotalCharges / tenure</w:t>
            </w:r>
            <w:r>
              <w:rPr>
                <w:sz w:val="16"/>
              </w:rPr>
              <w:t>, guarded at tenure = 0</w:t>
            </w:r>
          </w:p>
        </w:tc>
        <w:tc>
          <w:tcPr>
            <w:tcW w:type="dxa" w:w="5141"/>
            <w:shd w:val="clear" w:color="auto" w:fill="F2F5F9"/>
          </w:tcPr>
          <w:p>
            <w:pPr>
              <w:spacing w:after="20" w:before="20" w:line="254" w:lineRule="auto"/>
              <w:jc w:val="left"/>
            </w:pPr>
            <w:r>
              <w:rPr>
                <w:sz w:val="16"/>
              </w:rPr>
              <w:t>revenue actually realised per active month, as distinct from list price</w:t>
            </w:r>
          </w:p>
        </w:tc>
      </w:tr>
      <w:tr>
        <w:tc>
          <w:tcPr>
            <w:tcW w:type="dxa" w:w="1699"/>
          </w:tcPr>
          <w:p>
            <w:pPr>
              <w:spacing w:after="20" w:before="20" w:line="254" w:lineRule="auto"/>
              <w:jc w:val="left"/>
            </w:pPr>
            <w:r>
              <w:rPr>
                <w:rFonts w:ascii="Consolas" w:hAnsi="Consolas" w:eastAsia="Consolas"/>
                <w:color w:val="8A2C1F"/>
                <w:sz w:val="15"/>
              </w:rPr>
              <w:t>ChargeRatio</w:t>
            </w:r>
          </w:p>
        </w:tc>
        <w:tc>
          <w:tcPr>
            <w:tcW w:type="dxa" w:w="2477"/>
          </w:tcPr>
          <w:p>
            <w:pPr>
              <w:spacing w:after="20" w:before="20" w:line="254" w:lineRule="auto"/>
              <w:jc w:val="center"/>
            </w:pPr>
            <w:r>
              <w:rPr>
                <w:rFonts w:ascii="Consolas" w:hAnsi="Consolas" w:eastAsia="Consolas"/>
                <w:color w:val="8A2C1F"/>
                <w:sz w:val="15"/>
              </w:rPr>
              <w:t>MonthlyCharges / ARPU</w:t>
            </w:r>
          </w:p>
        </w:tc>
        <w:tc>
          <w:tcPr>
            <w:tcW w:type="dxa" w:w="5141"/>
          </w:tcPr>
          <w:p>
            <w:pPr>
              <w:spacing w:after="20" w:before="20" w:line="254" w:lineRule="auto"/>
              <w:jc w:val="left"/>
            </w:pPr>
            <w:r>
              <w:rPr>
                <w:sz w:val="16"/>
              </w:rPr>
              <w:t>above 1 means the customer now pays more than their historical average — a recent price rise</w:t>
            </w:r>
          </w:p>
        </w:tc>
      </w:tr>
      <w:tr>
        <w:tc>
          <w:tcPr>
            <w:tcW w:type="dxa" w:w="1699"/>
            <w:shd w:val="clear" w:color="auto" w:fill="F2F5F9"/>
          </w:tcPr>
          <w:p>
            <w:pPr>
              <w:spacing w:after="20" w:before="20" w:line="254" w:lineRule="auto"/>
              <w:jc w:val="left"/>
            </w:pPr>
            <w:r>
              <w:rPr>
                <w:rFonts w:ascii="Consolas" w:hAnsi="Consolas" w:eastAsia="Consolas"/>
                <w:color w:val="8A2C1F"/>
                <w:sz w:val="15"/>
              </w:rPr>
              <w:t>ServiceCount</w:t>
            </w:r>
          </w:p>
        </w:tc>
        <w:tc>
          <w:tcPr>
            <w:tcW w:type="dxa" w:w="2477"/>
            <w:shd w:val="clear" w:color="auto" w:fill="F2F5F9"/>
          </w:tcPr>
          <w:p>
            <w:pPr>
              <w:spacing w:after="20" w:before="20" w:line="254" w:lineRule="auto"/>
              <w:jc w:val="left"/>
            </w:pPr>
            <w:r>
              <w:rPr>
                <w:sz w:val="16"/>
              </w:rPr>
              <w:t>count of "Yes" across 6 add-on columns</w:t>
            </w:r>
          </w:p>
        </w:tc>
        <w:tc>
          <w:tcPr>
            <w:tcW w:type="dxa" w:w="5141"/>
            <w:shd w:val="clear" w:color="auto" w:fill="F2F5F9"/>
          </w:tcPr>
          <w:p>
            <w:pPr>
              <w:spacing w:after="20" w:before="20" w:line="254" w:lineRule="auto"/>
              <w:jc w:val="left"/>
            </w:pPr>
            <w:r>
              <w:rPr>
                <w:sz w:val="16"/>
              </w:rPr>
              <w:t>product entanglement; each service raises the switching cost</w:t>
            </w:r>
          </w:p>
        </w:tc>
      </w:tr>
      <w:tr>
        <w:tc>
          <w:tcPr>
            <w:tcW w:type="dxa" w:w="1699"/>
          </w:tcPr>
          <w:p>
            <w:pPr>
              <w:spacing w:after="20" w:before="20" w:line="254" w:lineRule="auto"/>
              <w:jc w:val="left"/>
            </w:pPr>
            <w:r>
              <w:rPr>
                <w:rFonts w:ascii="Consolas" w:hAnsi="Consolas" w:eastAsia="Consolas"/>
                <w:color w:val="8A2C1F"/>
                <w:sz w:val="15"/>
              </w:rPr>
              <w:t>ContractRiskFlag</w:t>
            </w:r>
          </w:p>
        </w:tc>
        <w:tc>
          <w:tcPr>
            <w:tcW w:type="dxa" w:w="2477"/>
          </w:tcPr>
          <w:p>
            <w:pPr>
              <w:spacing w:after="20" w:before="20" w:line="254" w:lineRule="auto"/>
              <w:jc w:val="left"/>
            </w:pPr>
            <w:r>
              <w:rPr>
                <w:sz w:val="16"/>
              </w:rPr>
              <w:t>1 if contract is month-to-month</w:t>
            </w:r>
          </w:p>
        </w:tc>
        <w:tc>
          <w:tcPr>
            <w:tcW w:type="dxa" w:w="5141"/>
          </w:tcPr>
          <w:p>
            <w:pPr>
              <w:spacing w:after="20" w:before="20" w:line="254" w:lineRule="auto"/>
              <w:jc w:val="left"/>
            </w:pPr>
            <w:r>
              <w:rPr>
                <w:sz w:val="16"/>
              </w:rPr>
              <w:t xml:space="preserve">a readable flag for the strongest driver in phase 3; kept in the data but </w:t>
            </w:r>
            <w:r>
              <w:rPr>
                <w:b/>
                <w:sz w:val="16"/>
              </w:rPr>
              <w:t>excluded from the model</w:t>
            </w:r>
            <w:r>
              <w:rPr>
                <w:sz w:val="16"/>
              </w:rPr>
              <w:t xml:space="preserve"> because it duplicates </w:t>
            </w:r>
            <w:r>
              <w:rPr>
                <w:rFonts w:ascii="Consolas" w:hAnsi="Consolas" w:eastAsia="Consolas"/>
                <w:color w:val="8A2C1F"/>
                <w:sz w:val="15"/>
              </w:rPr>
              <w:t>Contract</w:t>
            </w:r>
            <w:r>
              <w:rPr>
                <w:sz w:val="16"/>
              </w:rPr>
              <w:t xml:space="preserve"> (Section 22.2)</w:t>
            </w:r>
          </w:p>
        </w:tc>
      </w:tr>
      <w:tr>
        <w:tc>
          <w:tcPr>
            <w:tcW w:type="dxa" w:w="1699"/>
            <w:shd w:val="clear" w:color="auto" w:fill="F2F5F9"/>
          </w:tcPr>
          <w:p>
            <w:pPr>
              <w:spacing w:after="20" w:before="20" w:line="254" w:lineRule="auto"/>
              <w:jc w:val="left"/>
            </w:pPr>
            <w:r>
              <w:rPr>
                <w:rFonts w:ascii="Consolas" w:hAnsi="Consolas" w:eastAsia="Consolas"/>
                <w:color w:val="8A2C1F"/>
                <w:sz w:val="15"/>
              </w:rPr>
              <w:t>ValueTier</w:t>
            </w:r>
          </w:p>
        </w:tc>
        <w:tc>
          <w:tcPr>
            <w:tcW w:type="dxa" w:w="2477"/>
            <w:shd w:val="clear" w:color="auto" w:fill="F2F5F9"/>
          </w:tcPr>
          <w:p>
            <w:pPr>
              <w:spacing w:after="20" w:before="20" w:line="254" w:lineRule="auto"/>
              <w:jc w:val="left"/>
            </w:pPr>
            <w:r>
              <w:rPr>
                <w:rFonts w:ascii="Consolas" w:hAnsi="Consolas" w:eastAsia="Consolas"/>
                <w:color w:val="8A2C1F"/>
                <w:sz w:val="15"/>
              </w:rPr>
              <w:t>pd.qcut</w:t>
            </w:r>
            <w:r>
              <w:rPr>
                <w:sz w:val="16"/>
              </w:rPr>
              <w:t xml:space="preserve"> on ARPU into 4 quartiles</w:t>
            </w:r>
          </w:p>
        </w:tc>
        <w:tc>
          <w:tcPr>
            <w:tcW w:type="dxa" w:w="5141"/>
            <w:shd w:val="clear" w:color="auto" w:fill="F2F5F9"/>
          </w:tcPr>
          <w:p>
            <w:pPr>
              <w:spacing w:after="20" w:before="20" w:line="254" w:lineRule="auto"/>
              <w:jc w:val="left"/>
            </w:pPr>
            <w:r>
              <w:rPr>
                <w:sz w:val="16"/>
              </w:rPr>
              <w:t>revenue-based prioritisation, so effort can be ranked by worth</w:t>
            </w:r>
          </w:p>
        </w:tc>
      </w:tr>
      <w:tr>
        <w:tc>
          <w:tcPr>
            <w:tcW w:type="dxa" w:w="1699"/>
          </w:tcPr>
          <w:p>
            <w:pPr>
              <w:spacing w:after="20" w:before="20" w:line="254" w:lineRule="auto"/>
              <w:jc w:val="left"/>
            </w:pPr>
            <w:r>
              <w:rPr>
                <w:rFonts w:ascii="Consolas" w:hAnsi="Consolas" w:eastAsia="Consolas"/>
                <w:color w:val="8A2C1F"/>
                <w:sz w:val="15"/>
              </w:rPr>
              <w:t>AutoPayFlag</w:t>
            </w:r>
          </w:p>
        </w:tc>
        <w:tc>
          <w:tcPr>
            <w:tcW w:type="dxa" w:w="2477"/>
          </w:tcPr>
          <w:p>
            <w:pPr>
              <w:spacing w:after="20" w:before="20" w:line="254" w:lineRule="auto"/>
              <w:jc w:val="left"/>
            </w:pPr>
            <w:r>
              <w:rPr>
                <w:sz w:val="16"/>
              </w:rPr>
              <w:t>1 if payment method is automatic</w:t>
            </w:r>
          </w:p>
        </w:tc>
        <w:tc>
          <w:tcPr>
            <w:tcW w:type="dxa" w:w="5141"/>
          </w:tcPr>
          <w:p>
            <w:pPr>
              <w:spacing w:after="20" w:before="20" w:line="254" w:lineRule="auto"/>
              <w:jc w:val="left"/>
            </w:pPr>
            <w:r>
              <w:rPr>
                <w:sz w:val="16"/>
              </w:rPr>
              <w:t>automatic payment removes a recurring cancellation decision point</w:t>
            </w:r>
          </w:p>
        </w:tc>
      </w:tr>
    </w:tbl>
    <w:p>
      <w:pPr>
        <w:spacing w:before="60" w:after="200"/>
        <w:jc w:val="center"/>
      </w:pPr>
      <w:r>
        <w:rPr>
          <w:i/>
          <w:color w:val="555F6B"/>
          <w:sz w:val="17"/>
        </w:rPr>
        <w:t>Table 24: The seven engineered features and the hypothesis each encodes.</w:t>
      </w:r>
    </w:p>
    <w:p>
      <w:pPr>
        <w:keepNext/>
        <w:spacing w:before="240" w:after="80"/>
      </w:pPr>
      <w:r>
        <w:rPr>
          <w:b/>
          <w:color w:val="1B355E"/>
          <w:sz w:val="25"/>
        </w:rPr>
        <w:t>14.3  Code walk-through</w:t>
      </w:r>
    </w:p>
    <w:p>
      <w:pPr>
        <w:keepNext/>
        <w:spacing w:before="200" w:after="60"/>
      </w:pPr>
      <w:r>
        <w:rPr>
          <w:b/>
          <w:color w:val="0B5C7A"/>
          <w:sz w:val="22"/>
        </w:rPr>
        <w:t>Division guarded against zero tenure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add_arpu(df):</w:t>
            </w:r>
          </w:p>
          <w:p>
            <w:pPr>
              <w:spacing w:after="0" w:before="0" w:line="240" w:lineRule="auto"/>
            </w:pPr>
            <w:r>
              <w:rPr>
                <w:rFonts w:ascii="Consolas" w:hAnsi="Consolas" w:eastAsia="Consolas"/>
                <w:color w:val="1A232E"/>
                <w:sz w:val="16"/>
              </w:rPr>
              <w:t xml:space="preserve">    df["ARPU"] = 0.0</w:t>
            </w:r>
          </w:p>
          <w:p>
            <w:pPr>
              <w:spacing w:after="0" w:before="0" w:line="240" w:lineRule="auto"/>
            </w:pPr>
            <w:r>
              <w:rPr>
                <w:rFonts w:ascii="Consolas" w:hAnsi="Consolas" w:eastAsia="Consolas"/>
                <w:color w:val="1A232E"/>
                <w:sz w:val="16"/>
              </w:rPr>
              <w:t xml:space="preserve">    non_zero_tenure = df["tenure"] &gt; 0</w:t>
            </w:r>
          </w:p>
          <w:p>
            <w:pPr>
              <w:spacing w:after="0" w:before="0" w:line="240" w:lineRule="auto"/>
            </w:pPr>
            <w:r>
              <w:rPr>
                <w:rFonts w:ascii="Consolas" w:hAnsi="Consolas" w:eastAsia="Consolas"/>
                <w:color w:val="1A232E"/>
                <w:sz w:val="16"/>
              </w:rPr>
              <w:t xml:space="preserve">    df.loc[non_zero_tenure, "ARPU"] = (</w:t>
            </w:r>
          </w:p>
          <w:p>
            <w:pPr>
              <w:spacing w:after="0" w:before="0" w:line="240" w:lineRule="auto"/>
            </w:pPr>
            <w:r>
              <w:rPr>
                <w:rFonts w:ascii="Consolas" w:hAnsi="Consolas" w:eastAsia="Consolas"/>
                <w:color w:val="1A232E"/>
                <w:sz w:val="16"/>
              </w:rPr>
              <w:t xml:space="preserve">        df.loc[non_zero_tenure, "TotalCharges"] / df.loc[non_zero_tenure, "tenure"]</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return df</w:t>
            </w:r>
          </w:p>
        </w:tc>
      </w:tr>
    </w:tbl>
    <w:p>
      <w:pPr>
        <w:spacing w:after="80"/>
      </w:pPr>
    </w:p>
    <w:p>
      <w:pPr>
        <w:spacing w:after="120" w:before="0"/>
        <w:jc w:val="both"/>
      </w:pPr>
      <w:r>
        <w:rPr>
          <w:b w:val="0"/>
          <w:i w:val="0"/>
          <w:sz w:val="21"/>
        </w:rPr>
        <w:t>Both derived ratios divide by a quantity that is zero for the eleven newly joined customers. The pattern used — initialise the column to a safe default, compute a boolean mask of rows where the division is defined, assign only into those rows — avoids producing infinity entirely. Computing first and repairing afterwards is fragile, because an infinity that survives into a scaler poisons the mean and standard deviation of the whole column and silently corrupts every other row.</w:t>
      </w:r>
    </w:p>
    <w:p>
      <w:pPr>
        <w:keepNext/>
        <w:spacing w:before="200" w:after="60"/>
      </w:pPr>
      <w:r>
        <w:rPr>
          <w:b/>
          <w:color w:val="0B5C7A"/>
          <w:sz w:val="22"/>
        </w:rPr>
        <w:t>Tier boundaries are now fitted and persisted</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fit_value_tier_edges(df):</w:t>
            </w:r>
          </w:p>
          <w:p>
            <w:pPr>
              <w:spacing w:after="0" w:before="0" w:line="240" w:lineRule="auto"/>
            </w:pPr>
            <w:r>
              <w:rPr>
                <w:rFonts w:ascii="Consolas" w:hAnsi="Consolas" w:eastAsia="Consolas"/>
                <w:color w:val="1A232E"/>
                <w:sz w:val="16"/>
              </w:rPr>
              <w:t xml:space="preserve">    """Learn ARPU quartile edges on the training data and return them."""</w:t>
            </w:r>
          </w:p>
          <w:p>
            <w:pPr>
              <w:spacing w:after="0" w:before="0" w:line="240" w:lineRule="auto"/>
            </w:pPr>
            <w:r>
              <w:rPr>
                <w:rFonts w:ascii="Consolas" w:hAnsi="Consolas" w:eastAsia="Consolas"/>
                <w:color w:val="1A232E"/>
                <w:sz w:val="16"/>
              </w:rPr>
              <w:t xml:space="preserve">    _, edges = pd.qcut(df["ARPU"], q=4, retbins=True, duplicates="drop")</w:t>
            </w:r>
          </w:p>
          <w:p>
            <w:pPr>
              <w:spacing w:after="0" w:before="0" w:line="240" w:lineRule="auto"/>
            </w:pPr>
            <w:r>
              <w:rPr>
                <w:rFonts w:ascii="Consolas" w:hAnsi="Consolas" w:eastAsia="Consolas"/>
                <w:color w:val="1A232E"/>
                <w:sz w:val="16"/>
              </w:rPr>
              <w:t xml:space="preserve">    edges = list(edges)</w:t>
            </w:r>
          </w:p>
          <w:p>
            <w:pPr>
              <w:spacing w:after="0" w:before="0" w:line="240" w:lineRule="auto"/>
            </w:pPr>
            <w:r>
              <w:rPr>
                <w:rFonts w:ascii="Consolas" w:hAnsi="Consolas" w:eastAsia="Consolas"/>
                <w:color w:val="1A232E"/>
                <w:sz w:val="16"/>
              </w:rPr>
              <w:t xml:space="preserve">    edges[0], edges[-1] = -np.inf, np.inf      # so unseen values still bin</w:t>
            </w:r>
          </w:p>
          <w:p>
            <w:pPr>
              <w:spacing w:after="0" w:before="0" w:line="240" w:lineRule="auto"/>
            </w:pPr>
            <w:r>
              <w:rPr>
                <w:rFonts w:ascii="Consolas" w:hAnsi="Consolas" w:eastAsia="Consolas"/>
                <w:color w:val="1A232E"/>
                <w:sz w:val="16"/>
              </w:rPr>
              <w:t xml:space="preserve">    return edges</w:t>
            </w:r>
          </w:p>
        </w:tc>
      </w:tr>
    </w:tbl>
    <w:p>
      <w:pPr>
        <w:spacing w:before="60" w:after="180"/>
        <w:jc w:val="center"/>
      </w:pPr>
      <w:r>
        <w:rPr>
          <w:i/>
          <w:color w:val="555F6B"/>
          <w:sz w:val="17"/>
        </w:rPr>
        <w:t>Listing 19: Added during remediation. Without persisted edges the dashboard would recompute quartiles from whatever batch it was given, so the same customer could land in different tiers in different uploads.</w:t>
      </w:r>
    </w:p>
    <w:p>
      <w:pPr>
        <w:keepNext/>
        <w:spacing w:before="240" w:after="80"/>
      </w:pPr>
      <w:r>
        <w:rPr>
          <w:b/>
          <w:color w:val="1B355E"/>
          <w:sz w:val="25"/>
        </w:rPr>
        <w:t>14.4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024"/>
        <w:gridCol w:w="3139"/>
        <w:gridCol w:w="3153"/>
      </w:tblGrid>
      <w:tr>
        <w:tc>
          <w:tcPr>
            <w:tcW w:type="dxa" w:w="3024"/>
            <w:shd w:val="clear" w:color="auto" w:fill="1B355E"/>
          </w:tcPr>
          <w:p>
            <w:pPr>
              <w:spacing w:after="20" w:before="20"/>
              <w:jc w:val="center"/>
            </w:pPr>
            <w:r>
              <w:rPr>
                <w:b/>
                <w:color w:val="FFFFFF"/>
                <w:sz w:val="17"/>
              </w:rPr>
              <w:t>Property</w:t>
            </w:r>
          </w:p>
        </w:tc>
        <w:tc>
          <w:tcPr>
            <w:tcW w:type="dxa" w:w="3139"/>
            <w:shd w:val="clear" w:color="auto" w:fill="1B355E"/>
          </w:tcPr>
          <w:p>
            <w:pPr>
              <w:spacing w:after="20" w:before="20"/>
              <w:jc w:val="center"/>
            </w:pPr>
            <w:r>
              <w:rPr>
                <w:b/>
                <w:color w:val="FFFFFF"/>
                <w:sz w:val="17"/>
              </w:rPr>
              <w:t>Before phase 4</w:t>
            </w:r>
          </w:p>
        </w:tc>
        <w:tc>
          <w:tcPr>
            <w:tcW w:type="dxa" w:w="3154"/>
            <w:shd w:val="clear" w:color="auto" w:fill="1B355E"/>
          </w:tcPr>
          <w:p>
            <w:pPr>
              <w:spacing w:after="20" w:before="20"/>
              <w:jc w:val="center"/>
            </w:pPr>
            <w:r>
              <w:rPr>
                <w:b/>
                <w:color w:val="FFFFFF"/>
                <w:sz w:val="17"/>
              </w:rPr>
              <w:t>After phase 4</w:t>
            </w:r>
          </w:p>
        </w:tc>
      </w:tr>
      <w:tr>
        <w:tc>
          <w:tcPr>
            <w:tcW w:type="dxa" w:w="3024"/>
          </w:tcPr>
          <w:p>
            <w:pPr>
              <w:spacing w:after="20" w:before="20" w:line="254" w:lineRule="auto"/>
              <w:jc w:val="left"/>
            </w:pPr>
            <w:r>
              <w:rPr>
                <w:sz w:val="17"/>
              </w:rPr>
              <w:t>Rows</w:t>
            </w:r>
          </w:p>
        </w:tc>
        <w:tc>
          <w:tcPr>
            <w:tcW w:type="dxa" w:w="3139"/>
          </w:tcPr>
          <w:p>
            <w:pPr>
              <w:spacing w:after="20" w:before="20" w:line="254" w:lineRule="auto"/>
              <w:jc w:val="center"/>
            </w:pPr>
            <w:r>
              <w:rPr>
                <w:sz w:val="17"/>
              </w:rPr>
              <w:t>7 043</w:t>
            </w:r>
          </w:p>
        </w:tc>
        <w:tc>
          <w:tcPr>
            <w:tcW w:type="dxa" w:w="3154"/>
          </w:tcPr>
          <w:p>
            <w:pPr>
              <w:spacing w:after="20" w:before="20" w:line="254" w:lineRule="auto"/>
              <w:jc w:val="center"/>
            </w:pPr>
            <w:r>
              <w:rPr>
                <w:sz w:val="17"/>
              </w:rPr>
              <w:t>7 043</w:t>
            </w:r>
          </w:p>
        </w:tc>
      </w:tr>
      <w:tr>
        <w:tc>
          <w:tcPr>
            <w:tcW w:type="dxa" w:w="3024"/>
            <w:shd w:val="clear" w:color="auto" w:fill="F2F5F9"/>
          </w:tcPr>
          <w:p>
            <w:pPr>
              <w:spacing w:after="20" w:before="20" w:line="254" w:lineRule="auto"/>
              <w:jc w:val="left"/>
            </w:pPr>
            <w:r>
              <w:rPr>
                <w:sz w:val="17"/>
              </w:rPr>
              <w:t>Columns (model-ready copy)</w:t>
            </w:r>
          </w:p>
        </w:tc>
        <w:tc>
          <w:tcPr>
            <w:tcW w:type="dxa" w:w="3139"/>
            <w:shd w:val="clear" w:color="auto" w:fill="F2F5F9"/>
          </w:tcPr>
          <w:p>
            <w:pPr>
              <w:spacing w:after="20" w:before="20" w:line="254" w:lineRule="auto"/>
              <w:jc w:val="center"/>
            </w:pPr>
            <w:r>
              <w:rPr>
                <w:sz w:val="17"/>
              </w:rPr>
              <w:t>21</w:t>
            </w:r>
          </w:p>
        </w:tc>
        <w:tc>
          <w:tcPr>
            <w:tcW w:type="dxa" w:w="3154"/>
            <w:shd w:val="clear" w:color="auto" w:fill="F2F5F9"/>
          </w:tcPr>
          <w:p>
            <w:pPr>
              <w:spacing w:after="20" w:before="20" w:line="254" w:lineRule="auto"/>
              <w:jc w:val="center"/>
            </w:pPr>
            <w:r>
              <w:rPr>
                <w:sz w:val="17"/>
              </w:rPr>
              <w:t>36</w:t>
            </w:r>
          </w:p>
        </w:tc>
      </w:tr>
      <w:tr>
        <w:tc>
          <w:tcPr>
            <w:tcW w:type="dxa" w:w="3024"/>
          </w:tcPr>
          <w:p>
            <w:pPr>
              <w:spacing w:after="20" w:before="20" w:line="254" w:lineRule="auto"/>
              <w:jc w:val="left"/>
            </w:pPr>
            <w:r>
              <w:rPr>
                <w:sz w:val="17"/>
              </w:rPr>
              <w:t>Unscaled feature export</w:t>
            </w:r>
          </w:p>
        </w:tc>
        <w:tc>
          <w:tcPr>
            <w:tcW w:type="dxa" w:w="3139"/>
          </w:tcPr>
          <w:p>
            <w:pPr>
              <w:spacing w:after="20" w:before="20" w:line="254" w:lineRule="auto"/>
              <w:jc w:val="center"/>
            </w:pPr>
            <w:r>
              <w:rPr>
                <w:sz w:val="17"/>
              </w:rPr>
              <w:t>—</w:t>
            </w:r>
          </w:p>
        </w:tc>
        <w:tc>
          <w:tcPr>
            <w:tcW w:type="dxa" w:w="3154"/>
          </w:tcPr>
          <w:p>
            <w:pPr>
              <w:spacing w:after="20" w:before="20" w:line="254" w:lineRule="auto"/>
              <w:jc w:val="center"/>
            </w:pPr>
            <w:r>
              <w:rPr>
                <w:b/>
                <w:sz w:val="17"/>
              </w:rPr>
              <w:t>7 043 × 8 (new)</w:t>
            </w:r>
          </w:p>
        </w:tc>
      </w:tr>
      <w:tr>
        <w:tc>
          <w:tcPr>
            <w:tcW w:type="dxa" w:w="3024"/>
            <w:shd w:val="clear" w:color="auto" w:fill="F2F5F9"/>
          </w:tcPr>
          <w:p>
            <w:pPr>
              <w:spacing w:after="20" w:before="20" w:line="254" w:lineRule="auto"/>
              <w:jc w:val="left"/>
            </w:pPr>
            <w:r>
              <w:rPr>
                <w:sz w:val="17"/>
              </w:rPr>
              <w:t>Data types</w:t>
            </w:r>
          </w:p>
        </w:tc>
        <w:tc>
          <w:tcPr>
            <w:tcW w:type="dxa" w:w="3139"/>
            <w:shd w:val="clear" w:color="auto" w:fill="F2F5F9"/>
          </w:tcPr>
          <w:p>
            <w:pPr>
              <w:spacing w:after="20" w:before="20" w:line="254" w:lineRule="auto"/>
              <w:jc w:val="center"/>
            </w:pPr>
            <w:r>
              <w:rPr>
                <w:sz w:val="17"/>
              </w:rPr>
              <w:t>18 object, 3 numeric</w:t>
            </w:r>
          </w:p>
        </w:tc>
        <w:tc>
          <w:tcPr>
            <w:tcW w:type="dxa" w:w="3154"/>
            <w:shd w:val="clear" w:color="auto" w:fill="F2F5F9"/>
          </w:tcPr>
          <w:p>
            <w:pPr>
              <w:spacing w:after="20" w:before="20" w:line="254" w:lineRule="auto"/>
              <w:jc w:val="center"/>
            </w:pPr>
            <w:r>
              <w:rPr>
                <w:sz w:val="17"/>
              </w:rPr>
              <w:t>all numeric</w:t>
            </w:r>
          </w:p>
        </w:tc>
      </w:tr>
      <w:tr>
        <w:tc>
          <w:tcPr>
            <w:tcW w:type="dxa" w:w="3024"/>
          </w:tcPr>
          <w:p>
            <w:pPr>
              <w:spacing w:after="20" w:before="20" w:line="254" w:lineRule="auto"/>
              <w:jc w:val="left"/>
            </w:pPr>
            <w:r>
              <w:rPr>
                <w:sz w:val="17"/>
              </w:rPr>
              <w:t>Missing values</w:t>
            </w:r>
          </w:p>
        </w:tc>
        <w:tc>
          <w:tcPr>
            <w:tcW w:type="dxa" w:w="3139"/>
          </w:tcPr>
          <w:p>
            <w:pPr>
              <w:spacing w:after="20" w:before="20" w:line="254" w:lineRule="auto"/>
              <w:jc w:val="center"/>
            </w:pPr>
            <w:r>
              <w:rPr>
                <w:sz w:val="17"/>
              </w:rPr>
              <w:t>0</w:t>
            </w:r>
          </w:p>
        </w:tc>
        <w:tc>
          <w:tcPr>
            <w:tcW w:type="dxa" w:w="3154"/>
          </w:tcPr>
          <w:p>
            <w:pPr>
              <w:spacing w:after="20" w:before="20" w:line="254" w:lineRule="auto"/>
              <w:jc w:val="center"/>
            </w:pPr>
            <w:r>
              <w:rPr>
                <w:sz w:val="17"/>
              </w:rPr>
              <w:t>0</w:t>
            </w:r>
          </w:p>
        </w:tc>
      </w:tr>
    </w:tbl>
    <w:p>
      <w:pPr>
        <w:spacing w:before="60" w:after="200"/>
        <w:jc w:val="center"/>
      </w:pPr>
      <w:r>
        <w:rPr>
          <w:i/>
          <w:color w:val="555F6B"/>
          <w:sz w:val="17"/>
        </w:rPr>
        <w:t>Table 25: Structural transformation applied by phase 4.</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555"/>
        <w:gridCol w:w="1324"/>
        <w:gridCol w:w="1224"/>
        <w:gridCol w:w="1411"/>
        <w:gridCol w:w="3801"/>
      </w:tblGrid>
      <w:tr>
        <w:tc>
          <w:tcPr>
            <w:tcW w:type="dxa" w:w="1555"/>
            <w:shd w:val="clear" w:color="auto" w:fill="1B355E"/>
          </w:tcPr>
          <w:p>
            <w:pPr>
              <w:spacing w:after="20" w:before="20"/>
              <w:jc w:val="center"/>
            </w:pPr>
            <w:r>
              <w:rPr>
                <w:b/>
                <w:color w:val="FFFFFF"/>
                <w:sz w:val="16"/>
              </w:rPr>
              <w:t>Service count</w:t>
            </w:r>
          </w:p>
        </w:tc>
        <w:tc>
          <w:tcPr>
            <w:tcW w:type="dxa" w:w="1325"/>
            <w:shd w:val="clear" w:color="auto" w:fill="1B355E"/>
          </w:tcPr>
          <w:p>
            <w:pPr>
              <w:spacing w:after="20" w:before="20"/>
              <w:jc w:val="center"/>
            </w:pPr>
            <w:r>
              <w:rPr>
                <w:b/>
                <w:color w:val="FFFFFF"/>
                <w:sz w:val="16"/>
              </w:rPr>
              <w:t>Customers</w:t>
            </w:r>
          </w:p>
        </w:tc>
        <w:tc>
          <w:tcPr>
            <w:tcW w:type="dxa" w:w="1224"/>
            <w:shd w:val="clear" w:color="auto" w:fill="1B355E"/>
          </w:tcPr>
          <w:p>
            <w:pPr>
              <w:spacing w:after="20" w:before="20"/>
              <w:jc w:val="center"/>
            </w:pPr>
            <w:r>
              <w:rPr>
                <w:b/>
                <w:color w:val="FFFFFF"/>
                <w:sz w:val="16"/>
              </w:rPr>
              <w:t>Share</w:t>
            </w:r>
          </w:p>
        </w:tc>
        <w:tc>
          <w:tcPr>
            <w:tcW w:type="dxa" w:w="1411"/>
            <w:shd w:val="clear" w:color="auto" w:fill="1B355E"/>
          </w:tcPr>
          <w:p>
            <w:pPr>
              <w:spacing w:after="20" w:before="20"/>
              <w:jc w:val="center"/>
            </w:pPr>
            <w:r>
              <w:rPr>
                <w:b/>
                <w:color w:val="FFFFFF"/>
                <w:sz w:val="16"/>
              </w:rPr>
              <w:t>Churn rate</w:t>
            </w:r>
          </w:p>
        </w:tc>
        <w:tc>
          <w:tcPr>
            <w:tcW w:type="dxa" w:w="3802"/>
            <w:shd w:val="clear" w:color="auto" w:fill="1B355E"/>
          </w:tcPr>
          <w:p>
            <w:pPr>
              <w:spacing w:after="20" w:before="20"/>
              <w:jc w:val="center"/>
            </w:pPr>
            <w:r>
              <w:rPr>
                <w:b/>
                <w:color w:val="FFFFFF"/>
                <w:sz w:val="16"/>
              </w:rPr>
              <w:t>Reading</w:t>
            </w:r>
          </w:p>
        </w:tc>
      </w:tr>
      <w:tr>
        <w:tc>
          <w:tcPr>
            <w:tcW w:type="dxa" w:w="1555"/>
          </w:tcPr>
          <w:p>
            <w:pPr>
              <w:spacing w:after="20" w:before="20" w:line="254" w:lineRule="auto"/>
              <w:jc w:val="left"/>
            </w:pPr>
            <w:r>
              <w:rPr>
                <w:sz w:val="16"/>
              </w:rPr>
              <w:t>0 add-ons</w:t>
            </w:r>
          </w:p>
        </w:tc>
        <w:tc>
          <w:tcPr>
            <w:tcW w:type="dxa" w:w="1325"/>
          </w:tcPr>
          <w:p>
            <w:pPr>
              <w:spacing w:after="20" w:before="20" w:line="254" w:lineRule="auto"/>
              <w:jc w:val="center"/>
            </w:pPr>
            <w:r>
              <w:rPr>
                <w:sz w:val="16"/>
              </w:rPr>
              <w:t>2 219</w:t>
            </w:r>
          </w:p>
        </w:tc>
        <w:tc>
          <w:tcPr>
            <w:tcW w:type="dxa" w:w="1224"/>
          </w:tcPr>
          <w:p>
            <w:pPr>
              <w:spacing w:after="20" w:before="20" w:line="254" w:lineRule="auto"/>
              <w:jc w:val="center"/>
            </w:pPr>
            <w:r>
              <w:rPr>
                <w:sz w:val="16"/>
              </w:rPr>
              <w:t>31.51 %</w:t>
            </w:r>
          </w:p>
        </w:tc>
        <w:tc>
          <w:tcPr>
            <w:tcW w:type="dxa" w:w="1411"/>
          </w:tcPr>
          <w:p>
            <w:pPr>
              <w:spacing w:after="20" w:before="20" w:line="254" w:lineRule="auto"/>
              <w:jc w:val="center"/>
            </w:pPr>
            <w:r>
              <w:rPr>
                <w:sz w:val="16"/>
              </w:rPr>
              <w:t>21.41 %</w:t>
            </w:r>
          </w:p>
        </w:tc>
        <w:tc>
          <w:tcPr>
            <w:tcW w:type="dxa" w:w="3802"/>
          </w:tcPr>
          <w:p>
            <w:pPr>
              <w:spacing w:after="20" w:before="20" w:line="254" w:lineRule="auto"/>
              <w:jc w:val="left"/>
            </w:pPr>
            <w:r>
              <w:rPr>
                <w:sz w:val="16"/>
              </w:rPr>
              <w:t>largely no-internet customers, structurally low risk</w:t>
            </w:r>
          </w:p>
        </w:tc>
      </w:tr>
      <w:tr>
        <w:tc>
          <w:tcPr>
            <w:tcW w:type="dxa" w:w="1555"/>
            <w:shd w:val="clear" w:color="auto" w:fill="F2F5F9"/>
          </w:tcPr>
          <w:p>
            <w:pPr>
              <w:spacing w:after="20" w:before="20" w:line="254" w:lineRule="auto"/>
              <w:jc w:val="left"/>
            </w:pPr>
            <w:r>
              <w:rPr>
                <w:sz w:val="16"/>
              </w:rPr>
              <w:t>1 add-on</w:t>
            </w:r>
          </w:p>
        </w:tc>
        <w:tc>
          <w:tcPr>
            <w:tcW w:type="dxa" w:w="1325"/>
            <w:shd w:val="clear" w:color="auto" w:fill="F2F5F9"/>
          </w:tcPr>
          <w:p>
            <w:pPr>
              <w:spacing w:after="20" w:before="20" w:line="254" w:lineRule="auto"/>
              <w:jc w:val="center"/>
            </w:pPr>
            <w:r>
              <w:rPr>
                <w:sz w:val="16"/>
              </w:rPr>
              <w:t>966</w:t>
            </w:r>
          </w:p>
        </w:tc>
        <w:tc>
          <w:tcPr>
            <w:tcW w:type="dxa" w:w="1224"/>
            <w:shd w:val="clear" w:color="auto" w:fill="F2F5F9"/>
          </w:tcPr>
          <w:p>
            <w:pPr>
              <w:spacing w:after="20" w:before="20" w:line="254" w:lineRule="auto"/>
              <w:jc w:val="center"/>
            </w:pPr>
            <w:r>
              <w:rPr>
                <w:sz w:val="16"/>
              </w:rPr>
              <w:t>13.72 %</w:t>
            </w:r>
          </w:p>
        </w:tc>
        <w:tc>
          <w:tcPr>
            <w:tcW w:type="dxa" w:w="1411"/>
            <w:shd w:val="clear" w:color="auto" w:fill="F2F5F9"/>
          </w:tcPr>
          <w:p>
            <w:pPr>
              <w:spacing w:after="20" w:before="20" w:line="254" w:lineRule="auto"/>
              <w:jc w:val="center"/>
            </w:pPr>
            <w:r>
              <w:rPr>
                <w:b/>
                <w:sz w:val="16"/>
              </w:rPr>
              <w:t>45.76 %</w:t>
            </w:r>
          </w:p>
        </w:tc>
        <w:tc>
          <w:tcPr>
            <w:tcW w:type="dxa" w:w="3802"/>
            <w:shd w:val="clear" w:color="auto" w:fill="F2F5F9"/>
          </w:tcPr>
          <w:p>
            <w:pPr>
              <w:spacing w:after="20" w:before="20" w:line="254" w:lineRule="auto"/>
              <w:jc w:val="left"/>
            </w:pPr>
            <w:r>
              <w:rPr>
                <w:sz w:val="16"/>
              </w:rPr>
              <w:t>the peak-risk group in the entire base</w:t>
            </w:r>
          </w:p>
        </w:tc>
      </w:tr>
      <w:tr>
        <w:tc>
          <w:tcPr>
            <w:tcW w:type="dxa" w:w="1555"/>
          </w:tcPr>
          <w:p>
            <w:pPr>
              <w:spacing w:after="20" w:before="20" w:line="254" w:lineRule="auto"/>
              <w:jc w:val="left"/>
            </w:pPr>
            <w:r>
              <w:rPr>
                <w:sz w:val="16"/>
              </w:rPr>
              <w:t>2 add-ons</w:t>
            </w:r>
          </w:p>
        </w:tc>
        <w:tc>
          <w:tcPr>
            <w:tcW w:type="dxa" w:w="1325"/>
          </w:tcPr>
          <w:p>
            <w:pPr>
              <w:spacing w:after="20" w:before="20" w:line="254" w:lineRule="auto"/>
              <w:jc w:val="center"/>
            </w:pPr>
            <w:r>
              <w:rPr>
                <w:sz w:val="16"/>
              </w:rPr>
              <w:t>1 033</w:t>
            </w:r>
          </w:p>
        </w:tc>
        <w:tc>
          <w:tcPr>
            <w:tcW w:type="dxa" w:w="1224"/>
          </w:tcPr>
          <w:p>
            <w:pPr>
              <w:spacing w:after="20" w:before="20" w:line="254" w:lineRule="auto"/>
              <w:jc w:val="center"/>
            </w:pPr>
            <w:r>
              <w:rPr>
                <w:sz w:val="16"/>
              </w:rPr>
              <w:t>14.67 %</w:t>
            </w:r>
          </w:p>
        </w:tc>
        <w:tc>
          <w:tcPr>
            <w:tcW w:type="dxa" w:w="1411"/>
          </w:tcPr>
          <w:p>
            <w:pPr>
              <w:spacing w:after="20" w:before="20" w:line="254" w:lineRule="auto"/>
              <w:jc w:val="center"/>
            </w:pPr>
            <w:r>
              <w:rPr>
                <w:sz w:val="16"/>
              </w:rPr>
              <w:t>35.82 %</w:t>
            </w:r>
          </w:p>
        </w:tc>
        <w:tc>
          <w:tcPr>
            <w:tcW w:type="dxa" w:w="3802"/>
          </w:tcPr>
          <w:p>
            <w:pPr>
              <w:spacing w:after="20" w:before="20" w:line="254" w:lineRule="auto"/>
              <w:jc w:val="center"/>
            </w:pPr>
            <w:r>
              <w:rPr>
                <w:sz w:val="16"/>
              </w:rPr>
              <w:t>risk falling</w:t>
            </w:r>
          </w:p>
        </w:tc>
      </w:tr>
      <w:tr>
        <w:tc>
          <w:tcPr>
            <w:tcW w:type="dxa" w:w="1555"/>
            <w:shd w:val="clear" w:color="auto" w:fill="F2F5F9"/>
          </w:tcPr>
          <w:p>
            <w:pPr>
              <w:spacing w:after="20" w:before="20" w:line="254" w:lineRule="auto"/>
              <w:jc w:val="left"/>
            </w:pPr>
            <w:r>
              <w:rPr>
                <w:sz w:val="16"/>
              </w:rPr>
              <w:t>3 add-ons</w:t>
            </w:r>
          </w:p>
        </w:tc>
        <w:tc>
          <w:tcPr>
            <w:tcW w:type="dxa" w:w="1325"/>
            <w:shd w:val="clear" w:color="auto" w:fill="F2F5F9"/>
          </w:tcPr>
          <w:p>
            <w:pPr>
              <w:spacing w:after="20" w:before="20" w:line="254" w:lineRule="auto"/>
              <w:jc w:val="center"/>
            </w:pPr>
            <w:r>
              <w:rPr>
                <w:sz w:val="16"/>
              </w:rPr>
              <w:t>1 118</w:t>
            </w:r>
          </w:p>
        </w:tc>
        <w:tc>
          <w:tcPr>
            <w:tcW w:type="dxa" w:w="1224"/>
            <w:shd w:val="clear" w:color="auto" w:fill="F2F5F9"/>
          </w:tcPr>
          <w:p>
            <w:pPr>
              <w:spacing w:after="20" w:before="20" w:line="254" w:lineRule="auto"/>
              <w:jc w:val="center"/>
            </w:pPr>
            <w:r>
              <w:rPr>
                <w:sz w:val="16"/>
              </w:rPr>
              <w:t>15.87 %</w:t>
            </w:r>
          </w:p>
        </w:tc>
        <w:tc>
          <w:tcPr>
            <w:tcW w:type="dxa" w:w="1411"/>
            <w:shd w:val="clear" w:color="auto" w:fill="F2F5F9"/>
          </w:tcPr>
          <w:p>
            <w:pPr>
              <w:spacing w:after="20" w:before="20" w:line="254" w:lineRule="auto"/>
              <w:jc w:val="center"/>
            </w:pPr>
            <w:r>
              <w:rPr>
                <w:sz w:val="16"/>
              </w:rPr>
              <w:t>27.37 %</w:t>
            </w:r>
          </w:p>
        </w:tc>
        <w:tc>
          <w:tcPr>
            <w:tcW w:type="dxa" w:w="3802"/>
            <w:shd w:val="clear" w:color="auto" w:fill="F2F5F9"/>
          </w:tcPr>
          <w:p>
            <w:pPr>
              <w:spacing w:after="20" w:before="20" w:line="254" w:lineRule="auto"/>
              <w:jc w:val="center"/>
            </w:pPr>
            <w:r>
              <w:rPr>
                <w:sz w:val="16"/>
              </w:rPr>
              <w:t>at the base rate</w:t>
            </w:r>
          </w:p>
        </w:tc>
      </w:tr>
      <w:tr>
        <w:tc>
          <w:tcPr>
            <w:tcW w:type="dxa" w:w="1555"/>
          </w:tcPr>
          <w:p>
            <w:pPr>
              <w:spacing w:after="20" w:before="20" w:line="254" w:lineRule="auto"/>
              <w:jc w:val="left"/>
            </w:pPr>
            <w:r>
              <w:rPr>
                <w:sz w:val="16"/>
              </w:rPr>
              <w:t>4 add-ons</w:t>
            </w:r>
          </w:p>
        </w:tc>
        <w:tc>
          <w:tcPr>
            <w:tcW w:type="dxa" w:w="1325"/>
          </w:tcPr>
          <w:p>
            <w:pPr>
              <w:spacing w:after="20" w:before="20" w:line="254" w:lineRule="auto"/>
              <w:jc w:val="center"/>
            </w:pPr>
            <w:r>
              <w:rPr>
                <w:sz w:val="16"/>
              </w:rPr>
              <w:t>852</w:t>
            </w:r>
          </w:p>
        </w:tc>
        <w:tc>
          <w:tcPr>
            <w:tcW w:type="dxa" w:w="1224"/>
          </w:tcPr>
          <w:p>
            <w:pPr>
              <w:spacing w:after="20" w:before="20" w:line="254" w:lineRule="auto"/>
              <w:jc w:val="center"/>
            </w:pPr>
            <w:r>
              <w:rPr>
                <w:sz w:val="16"/>
              </w:rPr>
              <w:t>12.10 %</w:t>
            </w:r>
          </w:p>
        </w:tc>
        <w:tc>
          <w:tcPr>
            <w:tcW w:type="dxa" w:w="1411"/>
          </w:tcPr>
          <w:p>
            <w:pPr>
              <w:spacing w:after="20" w:before="20" w:line="254" w:lineRule="auto"/>
              <w:jc w:val="center"/>
            </w:pPr>
            <w:r>
              <w:rPr>
                <w:sz w:val="16"/>
              </w:rPr>
              <w:t>22.30 %</w:t>
            </w:r>
          </w:p>
        </w:tc>
        <w:tc>
          <w:tcPr>
            <w:tcW w:type="dxa" w:w="3802"/>
          </w:tcPr>
          <w:p>
            <w:pPr>
              <w:spacing w:after="20" w:before="20" w:line="254" w:lineRule="auto"/>
              <w:jc w:val="center"/>
            </w:pPr>
            <w:r>
              <w:rPr>
                <w:sz w:val="16"/>
              </w:rPr>
              <w:t>below base</w:t>
            </w:r>
          </w:p>
        </w:tc>
      </w:tr>
      <w:tr>
        <w:tc>
          <w:tcPr>
            <w:tcW w:type="dxa" w:w="1555"/>
            <w:shd w:val="clear" w:color="auto" w:fill="F2F5F9"/>
          </w:tcPr>
          <w:p>
            <w:pPr>
              <w:spacing w:after="20" w:before="20" w:line="254" w:lineRule="auto"/>
              <w:jc w:val="left"/>
            </w:pPr>
            <w:r>
              <w:rPr>
                <w:sz w:val="16"/>
              </w:rPr>
              <w:t>5 add-ons</w:t>
            </w:r>
          </w:p>
        </w:tc>
        <w:tc>
          <w:tcPr>
            <w:tcW w:type="dxa" w:w="1325"/>
            <w:shd w:val="clear" w:color="auto" w:fill="F2F5F9"/>
          </w:tcPr>
          <w:p>
            <w:pPr>
              <w:spacing w:after="20" w:before="20" w:line="254" w:lineRule="auto"/>
              <w:jc w:val="center"/>
            </w:pPr>
            <w:r>
              <w:rPr>
                <w:sz w:val="16"/>
              </w:rPr>
              <w:t>571</w:t>
            </w:r>
          </w:p>
        </w:tc>
        <w:tc>
          <w:tcPr>
            <w:tcW w:type="dxa" w:w="1224"/>
            <w:shd w:val="clear" w:color="auto" w:fill="F2F5F9"/>
          </w:tcPr>
          <w:p>
            <w:pPr>
              <w:spacing w:after="20" w:before="20" w:line="254" w:lineRule="auto"/>
              <w:jc w:val="center"/>
            </w:pPr>
            <w:r>
              <w:rPr>
                <w:sz w:val="16"/>
              </w:rPr>
              <w:t>8.11 %</w:t>
            </w:r>
          </w:p>
        </w:tc>
        <w:tc>
          <w:tcPr>
            <w:tcW w:type="dxa" w:w="1411"/>
            <w:shd w:val="clear" w:color="auto" w:fill="F2F5F9"/>
          </w:tcPr>
          <w:p>
            <w:pPr>
              <w:spacing w:after="20" w:before="20" w:line="254" w:lineRule="auto"/>
              <w:jc w:val="center"/>
            </w:pPr>
            <w:r>
              <w:rPr>
                <w:sz w:val="16"/>
              </w:rPr>
              <w:t>12.43 %</w:t>
            </w:r>
          </w:p>
        </w:tc>
        <w:tc>
          <w:tcPr>
            <w:tcW w:type="dxa" w:w="3802"/>
            <w:shd w:val="clear" w:color="auto" w:fill="F2F5F9"/>
          </w:tcPr>
          <w:p>
            <w:pPr>
              <w:spacing w:after="20" w:before="20" w:line="254" w:lineRule="auto"/>
              <w:jc w:val="center"/>
            </w:pPr>
            <w:r>
              <w:rPr>
                <w:sz w:val="16"/>
              </w:rPr>
              <w:t>entangled</w:t>
            </w:r>
          </w:p>
        </w:tc>
      </w:tr>
      <w:tr>
        <w:tc>
          <w:tcPr>
            <w:tcW w:type="dxa" w:w="1555"/>
          </w:tcPr>
          <w:p>
            <w:pPr>
              <w:spacing w:after="20" w:before="20" w:line="254" w:lineRule="auto"/>
              <w:jc w:val="left"/>
            </w:pPr>
            <w:r>
              <w:rPr>
                <w:sz w:val="16"/>
              </w:rPr>
              <w:t>6 add-ons</w:t>
            </w:r>
          </w:p>
        </w:tc>
        <w:tc>
          <w:tcPr>
            <w:tcW w:type="dxa" w:w="1325"/>
          </w:tcPr>
          <w:p>
            <w:pPr>
              <w:spacing w:after="20" w:before="20" w:line="254" w:lineRule="auto"/>
              <w:jc w:val="center"/>
            </w:pPr>
            <w:r>
              <w:rPr>
                <w:sz w:val="16"/>
              </w:rPr>
              <w:t>284</w:t>
            </w:r>
          </w:p>
        </w:tc>
        <w:tc>
          <w:tcPr>
            <w:tcW w:type="dxa" w:w="1224"/>
          </w:tcPr>
          <w:p>
            <w:pPr>
              <w:spacing w:after="20" w:before="20" w:line="254" w:lineRule="auto"/>
              <w:jc w:val="center"/>
            </w:pPr>
            <w:r>
              <w:rPr>
                <w:sz w:val="16"/>
              </w:rPr>
              <w:t>4.03 %</w:t>
            </w:r>
          </w:p>
        </w:tc>
        <w:tc>
          <w:tcPr>
            <w:tcW w:type="dxa" w:w="1411"/>
          </w:tcPr>
          <w:p>
            <w:pPr>
              <w:spacing w:after="20" w:before="20" w:line="254" w:lineRule="auto"/>
              <w:jc w:val="center"/>
            </w:pPr>
            <w:r>
              <w:rPr>
                <w:b/>
                <w:sz w:val="16"/>
              </w:rPr>
              <w:t>5.28 %</w:t>
            </w:r>
          </w:p>
        </w:tc>
        <w:tc>
          <w:tcPr>
            <w:tcW w:type="dxa" w:w="3802"/>
          </w:tcPr>
          <w:p>
            <w:pPr>
              <w:spacing w:after="20" w:before="20" w:line="254" w:lineRule="auto"/>
              <w:jc w:val="left"/>
            </w:pPr>
            <w:r>
              <w:rPr>
                <w:sz w:val="16"/>
              </w:rPr>
              <w:t>lowest risk of any group</w:t>
            </w:r>
          </w:p>
        </w:tc>
      </w:tr>
    </w:tbl>
    <w:p>
      <w:pPr>
        <w:spacing w:before="60" w:after="200"/>
        <w:jc w:val="center"/>
      </w:pPr>
      <w:r>
        <w:rPr>
          <w:i/>
          <w:color w:val="555F6B"/>
          <w:sz w:val="17"/>
        </w:rPr>
        <w:t>Table 26: Churn rate by number of add-on services, showing a non-monotonic relationship.</w:t>
      </w:r>
    </w:p>
    <w:p>
      <w:pPr>
        <w:spacing w:after="120" w:before="0"/>
        <w:jc w:val="both"/>
      </w:pPr>
      <w:r>
        <w:rPr>
          <w:b w:val="0"/>
          <w:i w:val="0"/>
          <w:sz w:val="21"/>
        </w:rPr>
        <w:t>The ServiceCount profile is the most interesting result phase 4 produces, because it is not monotonic. Risk peaks at exactly one add-on (45.76 %) then falls steadily to 5.28 % at six. The zero-add-on group sits low at 21.41 % for a different reason: it is dominated by customers with no internet at all, who have little to churn from. A single add-on is the worst place for a customer to sit — paying for a bundle without being anchored by it. Because a straight line cannot represent a curve that rises then falls, this is also a concrete argument for tree-based models.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944"/>
        <w:gridCol w:w="2664"/>
        <w:gridCol w:w="1655"/>
        <w:gridCol w:w="3052"/>
      </w:tblGrid>
      <w:tr>
        <w:tc>
          <w:tcPr>
            <w:tcW w:type="dxa" w:w="1944"/>
            <w:shd w:val="clear" w:color="auto" w:fill="1B355E"/>
          </w:tcPr>
          <w:p>
            <w:pPr>
              <w:spacing w:after="20" w:before="20"/>
              <w:jc w:val="center"/>
            </w:pPr>
            <w:r>
              <w:rPr>
                <w:b/>
                <w:color w:val="FFFFFF"/>
                <w:sz w:val="16"/>
              </w:rPr>
              <w:t>Feature</w:t>
            </w:r>
          </w:p>
        </w:tc>
        <w:tc>
          <w:tcPr>
            <w:tcW w:type="dxa" w:w="2664"/>
            <w:shd w:val="clear" w:color="auto" w:fill="1B355E"/>
          </w:tcPr>
          <w:p>
            <w:pPr>
              <w:spacing w:after="20" w:before="20"/>
              <w:jc w:val="center"/>
            </w:pPr>
            <w:r>
              <w:rPr>
                <w:b/>
                <w:color w:val="FFFFFF"/>
                <w:sz w:val="16"/>
              </w:rPr>
              <w:t>Level</w:t>
            </w:r>
          </w:p>
        </w:tc>
        <w:tc>
          <w:tcPr>
            <w:tcW w:type="dxa" w:w="1656"/>
            <w:shd w:val="clear" w:color="auto" w:fill="1B355E"/>
          </w:tcPr>
          <w:p>
            <w:pPr>
              <w:spacing w:after="20" w:before="20"/>
              <w:jc w:val="center"/>
            </w:pPr>
            <w:r>
              <w:rPr>
                <w:b/>
                <w:color w:val="FFFFFF"/>
                <w:sz w:val="16"/>
              </w:rPr>
              <w:t>Customers</w:t>
            </w:r>
          </w:p>
        </w:tc>
        <w:tc>
          <w:tcPr>
            <w:tcW w:type="dxa" w:w="3053"/>
            <w:shd w:val="clear" w:color="auto" w:fill="1B355E"/>
          </w:tcPr>
          <w:p>
            <w:pPr>
              <w:spacing w:after="20" w:before="20"/>
              <w:jc w:val="center"/>
            </w:pPr>
            <w:r>
              <w:rPr>
                <w:b/>
                <w:color w:val="FFFFFF"/>
                <w:sz w:val="16"/>
              </w:rPr>
              <w:t>Churn rate</w:t>
            </w:r>
          </w:p>
        </w:tc>
      </w:tr>
      <w:tr>
        <w:tc>
          <w:tcPr>
            <w:tcW w:type="dxa" w:w="1944"/>
          </w:tcPr>
          <w:p>
            <w:pPr>
              <w:spacing w:after="20" w:before="20" w:line="254" w:lineRule="auto"/>
              <w:jc w:val="left"/>
            </w:pPr>
            <w:r>
              <w:rPr>
                <w:rFonts w:ascii="Consolas" w:hAnsi="Consolas" w:eastAsia="Consolas"/>
                <w:color w:val="8A2C1F"/>
                <w:sz w:val="15"/>
              </w:rPr>
              <w:t>ValueTier</w:t>
            </w:r>
          </w:p>
        </w:tc>
        <w:tc>
          <w:tcPr>
            <w:tcW w:type="dxa" w:w="2664"/>
          </w:tcPr>
          <w:p>
            <w:pPr>
              <w:spacing w:after="20" w:before="20" w:line="254" w:lineRule="auto"/>
              <w:jc w:val="center"/>
            </w:pPr>
            <w:r>
              <w:rPr>
                <w:sz w:val="16"/>
              </w:rPr>
              <w:t>Low</w:t>
            </w:r>
          </w:p>
        </w:tc>
        <w:tc>
          <w:tcPr>
            <w:tcW w:type="dxa" w:w="1656"/>
          </w:tcPr>
          <w:p>
            <w:pPr>
              <w:spacing w:after="20" w:before="20" w:line="254" w:lineRule="auto"/>
              <w:jc w:val="center"/>
            </w:pPr>
            <w:r>
              <w:rPr>
                <w:sz w:val="16"/>
              </w:rPr>
              <w:t>1 761</w:t>
            </w:r>
          </w:p>
        </w:tc>
        <w:tc>
          <w:tcPr>
            <w:tcW w:type="dxa" w:w="3053"/>
          </w:tcPr>
          <w:p>
            <w:pPr>
              <w:spacing w:after="20" w:before="20" w:line="254" w:lineRule="auto"/>
              <w:jc w:val="center"/>
            </w:pPr>
            <w:r>
              <w:rPr>
                <w:b/>
                <w:sz w:val="16"/>
              </w:rPr>
              <w:t>11.07 %</w:t>
            </w:r>
          </w:p>
        </w:tc>
      </w:tr>
      <w:tr>
        <w:tc>
          <w:tcPr>
            <w:tcW w:type="dxa" w:w="1944"/>
            <w:shd w:val="clear" w:color="auto" w:fill="F2F5F9"/>
          </w:tcPr>
          <w:p>
            <w:pPr>
              <w:spacing w:after="20" w:before="20" w:line="254" w:lineRule="auto"/>
              <w:jc w:val="left"/>
            </w:pPr>
            <w:r>
              <w:rPr>
                <w:sz w:val="16"/>
              </w:rPr>
            </w:r>
          </w:p>
        </w:tc>
        <w:tc>
          <w:tcPr>
            <w:tcW w:type="dxa" w:w="2664"/>
            <w:shd w:val="clear" w:color="auto" w:fill="F2F5F9"/>
          </w:tcPr>
          <w:p>
            <w:pPr>
              <w:spacing w:after="20" w:before="20" w:line="254" w:lineRule="auto"/>
              <w:jc w:val="center"/>
            </w:pPr>
            <w:r>
              <w:rPr>
                <w:sz w:val="16"/>
              </w:rPr>
              <w:t>Medium</w:t>
            </w:r>
          </w:p>
        </w:tc>
        <w:tc>
          <w:tcPr>
            <w:tcW w:type="dxa" w:w="1656"/>
            <w:shd w:val="clear" w:color="auto" w:fill="F2F5F9"/>
          </w:tcPr>
          <w:p>
            <w:pPr>
              <w:spacing w:after="20" w:before="20" w:line="254" w:lineRule="auto"/>
              <w:jc w:val="center"/>
            </w:pPr>
            <w:r>
              <w:rPr>
                <w:sz w:val="16"/>
              </w:rPr>
              <w:t>1 762</w:t>
            </w:r>
          </w:p>
        </w:tc>
        <w:tc>
          <w:tcPr>
            <w:tcW w:type="dxa" w:w="3053"/>
            <w:shd w:val="clear" w:color="auto" w:fill="F2F5F9"/>
          </w:tcPr>
          <w:p>
            <w:pPr>
              <w:spacing w:after="20" w:before="20" w:line="254" w:lineRule="auto"/>
              <w:jc w:val="center"/>
            </w:pPr>
            <w:r>
              <w:rPr>
                <w:sz w:val="16"/>
              </w:rPr>
              <w:t>25.37 %</w:t>
            </w:r>
          </w:p>
        </w:tc>
      </w:tr>
      <w:tr>
        <w:tc>
          <w:tcPr>
            <w:tcW w:type="dxa" w:w="1944"/>
          </w:tcPr>
          <w:p>
            <w:pPr>
              <w:spacing w:after="20" w:before="20" w:line="254" w:lineRule="auto"/>
              <w:jc w:val="left"/>
            </w:pPr>
            <w:r>
              <w:rPr>
                <w:sz w:val="16"/>
              </w:rPr>
            </w:r>
          </w:p>
        </w:tc>
        <w:tc>
          <w:tcPr>
            <w:tcW w:type="dxa" w:w="2664"/>
          </w:tcPr>
          <w:p>
            <w:pPr>
              <w:spacing w:after="20" w:before="20" w:line="254" w:lineRule="auto"/>
              <w:jc w:val="center"/>
            </w:pPr>
            <w:r>
              <w:rPr>
                <w:sz w:val="16"/>
              </w:rPr>
              <w:t>High</w:t>
            </w:r>
          </w:p>
        </w:tc>
        <w:tc>
          <w:tcPr>
            <w:tcW w:type="dxa" w:w="1656"/>
          </w:tcPr>
          <w:p>
            <w:pPr>
              <w:spacing w:after="20" w:before="20" w:line="254" w:lineRule="auto"/>
              <w:jc w:val="center"/>
            </w:pPr>
            <w:r>
              <w:rPr>
                <w:sz w:val="16"/>
              </w:rPr>
              <w:t>1 759</w:t>
            </w:r>
          </w:p>
        </w:tc>
        <w:tc>
          <w:tcPr>
            <w:tcW w:type="dxa" w:w="3053"/>
          </w:tcPr>
          <w:p>
            <w:pPr>
              <w:spacing w:after="20" w:before="20" w:line="254" w:lineRule="auto"/>
              <w:jc w:val="center"/>
            </w:pPr>
            <w:r>
              <w:rPr>
                <w:b/>
                <w:sz w:val="16"/>
              </w:rPr>
              <w:t>36.33 %</w:t>
            </w:r>
          </w:p>
        </w:tc>
      </w:tr>
      <w:tr>
        <w:tc>
          <w:tcPr>
            <w:tcW w:type="dxa" w:w="1944"/>
            <w:shd w:val="clear" w:color="auto" w:fill="F2F5F9"/>
          </w:tcPr>
          <w:p>
            <w:pPr>
              <w:spacing w:after="20" w:before="20" w:line="254" w:lineRule="auto"/>
              <w:jc w:val="left"/>
            </w:pPr>
            <w:r>
              <w:rPr>
                <w:sz w:val="16"/>
              </w:rPr>
            </w:r>
          </w:p>
        </w:tc>
        <w:tc>
          <w:tcPr>
            <w:tcW w:type="dxa" w:w="2664"/>
            <w:shd w:val="clear" w:color="auto" w:fill="F2F5F9"/>
          </w:tcPr>
          <w:p>
            <w:pPr>
              <w:spacing w:after="20" w:before="20" w:line="254" w:lineRule="auto"/>
              <w:jc w:val="center"/>
            </w:pPr>
            <w:r>
              <w:rPr>
                <w:sz w:val="16"/>
              </w:rPr>
              <w:t>Premium</w:t>
            </w:r>
          </w:p>
        </w:tc>
        <w:tc>
          <w:tcPr>
            <w:tcW w:type="dxa" w:w="1656"/>
            <w:shd w:val="clear" w:color="auto" w:fill="F2F5F9"/>
          </w:tcPr>
          <w:p>
            <w:pPr>
              <w:spacing w:after="20" w:before="20" w:line="254" w:lineRule="auto"/>
              <w:jc w:val="center"/>
            </w:pPr>
            <w:r>
              <w:rPr>
                <w:sz w:val="16"/>
              </w:rPr>
              <w:t>1 761</w:t>
            </w:r>
          </w:p>
        </w:tc>
        <w:tc>
          <w:tcPr>
            <w:tcW w:type="dxa" w:w="3053"/>
            <w:shd w:val="clear" w:color="auto" w:fill="F2F5F9"/>
          </w:tcPr>
          <w:p>
            <w:pPr>
              <w:spacing w:after="20" w:before="20" w:line="254" w:lineRule="auto"/>
              <w:jc w:val="center"/>
            </w:pPr>
            <w:r>
              <w:rPr>
                <w:sz w:val="16"/>
              </w:rPr>
              <w:t>33.39 %</w:t>
            </w:r>
          </w:p>
        </w:tc>
      </w:tr>
      <w:tr>
        <w:tc>
          <w:tcPr>
            <w:tcW w:type="dxa" w:w="1944"/>
          </w:tcPr>
          <w:p>
            <w:pPr>
              <w:spacing w:after="20" w:before="20" w:line="254" w:lineRule="auto"/>
              <w:jc w:val="left"/>
            </w:pPr>
            <w:r>
              <w:rPr>
                <w:rFonts w:ascii="Consolas" w:hAnsi="Consolas" w:eastAsia="Consolas"/>
                <w:color w:val="8A2C1F"/>
                <w:sz w:val="15"/>
              </w:rPr>
              <w:t>ContractRiskFlag</w:t>
            </w:r>
          </w:p>
        </w:tc>
        <w:tc>
          <w:tcPr>
            <w:tcW w:type="dxa" w:w="2664"/>
          </w:tcPr>
          <w:p>
            <w:pPr>
              <w:spacing w:after="20" w:before="20" w:line="254" w:lineRule="auto"/>
              <w:jc w:val="center"/>
            </w:pPr>
            <w:r>
              <w:rPr>
                <w:sz w:val="16"/>
              </w:rPr>
              <w:t>0 (annual or two-year)</w:t>
            </w:r>
          </w:p>
        </w:tc>
        <w:tc>
          <w:tcPr>
            <w:tcW w:type="dxa" w:w="1656"/>
          </w:tcPr>
          <w:p>
            <w:pPr>
              <w:spacing w:after="20" w:before="20" w:line="254" w:lineRule="auto"/>
              <w:jc w:val="center"/>
            </w:pPr>
            <w:r>
              <w:rPr>
                <w:sz w:val="16"/>
              </w:rPr>
              <w:t>3 168</w:t>
            </w:r>
          </w:p>
        </w:tc>
        <w:tc>
          <w:tcPr>
            <w:tcW w:type="dxa" w:w="3053"/>
          </w:tcPr>
          <w:p>
            <w:pPr>
              <w:spacing w:after="20" w:before="20" w:line="254" w:lineRule="auto"/>
              <w:jc w:val="center"/>
            </w:pPr>
            <w:r>
              <w:rPr>
                <w:b/>
                <w:sz w:val="16"/>
              </w:rPr>
              <w:t>6.76 %</w:t>
            </w:r>
          </w:p>
        </w:tc>
      </w:tr>
      <w:tr>
        <w:tc>
          <w:tcPr>
            <w:tcW w:type="dxa" w:w="1944"/>
            <w:shd w:val="clear" w:color="auto" w:fill="F2F5F9"/>
          </w:tcPr>
          <w:p>
            <w:pPr>
              <w:spacing w:after="20" w:before="20" w:line="254" w:lineRule="auto"/>
              <w:jc w:val="left"/>
            </w:pPr>
            <w:r>
              <w:rPr>
                <w:sz w:val="16"/>
              </w:rPr>
            </w:r>
          </w:p>
        </w:tc>
        <w:tc>
          <w:tcPr>
            <w:tcW w:type="dxa" w:w="2664"/>
            <w:shd w:val="clear" w:color="auto" w:fill="F2F5F9"/>
          </w:tcPr>
          <w:p>
            <w:pPr>
              <w:spacing w:after="20" w:before="20" w:line="254" w:lineRule="auto"/>
              <w:jc w:val="center"/>
            </w:pPr>
            <w:r>
              <w:rPr>
                <w:sz w:val="16"/>
              </w:rPr>
              <w:t>1 (month-to-month)</w:t>
            </w:r>
          </w:p>
        </w:tc>
        <w:tc>
          <w:tcPr>
            <w:tcW w:type="dxa" w:w="1656"/>
            <w:shd w:val="clear" w:color="auto" w:fill="F2F5F9"/>
          </w:tcPr>
          <w:p>
            <w:pPr>
              <w:spacing w:after="20" w:before="20" w:line="254" w:lineRule="auto"/>
              <w:jc w:val="center"/>
            </w:pPr>
            <w:r>
              <w:rPr>
                <w:sz w:val="16"/>
              </w:rPr>
              <w:t>3 875</w:t>
            </w:r>
          </w:p>
        </w:tc>
        <w:tc>
          <w:tcPr>
            <w:tcW w:type="dxa" w:w="3053"/>
            <w:shd w:val="clear" w:color="auto" w:fill="F2F5F9"/>
          </w:tcPr>
          <w:p>
            <w:pPr>
              <w:spacing w:after="20" w:before="20" w:line="254" w:lineRule="auto"/>
              <w:jc w:val="center"/>
            </w:pPr>
            <w:r>
              <w:rPr>
                <w:b/>
                <w:sz w:val="16"/>
              </w:rPr>
              <w:t>42.71 %</w:t>
            </w:r>
          </w:p>
        </w:tc>
      </w:tr>
      <w:tr>
        <w:tc>
          <w:tcPr>
            <w:tcW w:type="dxa" w:w="1944"/>
          </w:tcPr>
          <w:p>
            <w:pPr>
              <w:spacing w:after="20" w:before="20" w:line="254" w:lineRule="auto"/>
              <w:jc w:val="left"/>
            </w:pPr>
            <w:r>
              <w:rPr>
                <w:rFonts w:ascii="Consolas" w:hAnsi="Consolas" w:eastAsia="Consolas"/>
                <w:color w:val="8A2C1F"/>
                <w:sz w:val="15"/>
              </w:rPr>
              <w:t>AutoPayFlag</w:t>
            </w:r>
          </w:p>
        </w:tc>
        <w:tc>
          <w:tcPr>
            <w:tcW w:type="dxa" w:w="2664"/>
          </w:tcPr>
          <w:p>
            <w:pPr>
              <w:spacing w:after="20" w:before="20" w:line="254" w:lineRule="auto"/>
              <w:jc w:val="center"/>
            </w:pPr>
            <w:r>
              <w:rPr>
                <w:sz w:val="16"/>
              </w:rPr>
              <w:t>0 (manual payment)</w:t>
            </w:r>
          </w:p>
        </w:tc>
        <w:tc>
          <w:tcPr>
            <w:tcW w:type="dxa" w:w="1656"/>
          </w:tcPr>
          <w:p>
            <w:pPr>
              <w:spacing w:after="20" w:before="20" w:line="254" w:lineRule="auto"/>
              <w:jc w:val="center"/>
            </w:pPr>
            <w:r>
              <w:rPr>
                <w:sz w:val="16"/>
              </w:rPr>
              <w:t>3 977</w:t>
            </w:r>
          </w:p>
        </w:tc>
        <w:tc>
          <w:tcPr>
            <w:tcW w:type="dxa" w:w="3053"/>
          </w:tcPr>
          <w:p>
            <w:pPr>
              <w:spacing w:after="20" w:before="20" w:line="254" w:lineRule="auto"/>
              <w:jc w:val="center"/>
            </w:pPr>
            <w:r>
              <w:rPr>
                <w:sz w:val="16"/>
              </w:rPr>
              <w:t>34.67 %</w:t>
            </w:r>
          </w:p>
        </w:tc>
      </w:tr>
      <w:tr>
        <w:tc>
          <w:tcPr>
            <w:tcW w:type="dxa" w:w="1944"/>
            <w:shd w:val="clear" w:color="auto" w:fill="F2F5F9"/>
          </w:tcPr>
          <w:p>
            <w:pPr>
              <w:spacing w:after="20" w:before="20" w:line="254" w:lineRule="auto"/>
              <w:jc w:val="left"/>
            </w:pPr>
            <w:r>
              <w:rPr>
                <w:sz w:val="16"/>
              </w:rPr>
            </w:r>
          </w:p>
        </w:tc>
        <w:tc>
          <w:tcPr>
            <w:tcW w:type="dxa" w:w="2664"/>
            <w:shd w:val="clear" w:color="auto" w:fill="F2F5F9"/>
          </w:tcPr>
          <w:p>
            <w:pPr>
              <w:spacing w:after="20" w:before="20" w:line="254" w:lineRule="auto"/>
              <w:jc w:val="center"/>
            </w:pPr>
            <w:r>
              <w:rPr>
                <w:sz w:val="16"/>
              </w:rPr>
              <w:t>1 (automatic payment)</w:t>
            </w:r>
          </w:p>
        </w:tc>
        <w:tc>
          <w:tcPr>
            <w:tcW w:type="dxa" w:w="1656"/>
            <w:shd w:val="clear" w:color="auto" w:fill="F2F5F9"/>
          </w:tcPr>
          <w:p>
            <w:pPr>
              <w:spacing w:after="20" w:before="20" w:line="254" w:lineRule="auto"/>
              <w:jc w:val="center"/>
            </w:pPr>
            <w:r>
              <w:rPr>
                <w:sz w:val="16"/>
              </w:rPr>
              <w:t>3 066</w:t>
            </w:r>
          </w:p>
        </w:tc>
        <w:tc>
          <w:tcPr>
            <w:tcW w:type="dxa" w:w="3053"/>
            <w:shd w:val="clear" w:color="auto" w:fill="F2F5F9"/>
          </w:tcPr>
          <w:p>
            <w:pPr>
              <w:spacing w:after="20" w:before="20" w:line="254" w:lineRule="auto"/>
              <w:jc w:val="center"/>
            </w:pPr>
            <w:r>
              <w:rPr>
                <w:sz w:val="16"/>
              </w:rPr>
              <w:t>15.98 %</w:t>
            </w:r>
          </w:p>
        </w:tc>
      </w:tr>
    </w:tbl>
    <w:p>
      <w:pPr>
        <w:spacing w:before="60" w:after="200"/>
        <w:jc w:val="center"/>
      </w:pPr>
      <w:r>
        <w:rPr>
          <w:i/>
          <w:color w:val="555F6B"/>
          <w:sz w:val="17"/>
        </w:rPr>
        <w:t>Table 27: Churn rate across the engineered flags and tiers, measured on the cleaned dataset.</w:t>
      </w:r>
    </w:p>
    <w:p>
      <w:pPr>
        <w:spacing w:after="120" w:before="0"/>
        <w:jc w:val="both"/>
      </w:pPr>
      <w:r>
        <w:rPr>
          <w:b w:val="0"/>
          <w:i w:val="0"/>
          <w:sz w:val="21"/>
        </w:rPr>
        <w:t>Churn rises sharply with value tier before easing slightly at the top. The High tier is the commercially dangerous one: it combines a high churn rate with substantial per-customer revenue, so it carries the largest revenue at risk. The slight decline in Premium is consistent with those customers being heavily bundled, which ServiceCount has already shown to be protective.</w:t>
      </w:r>
    </w:p>
    <w:p>
      <w:r>
        <w:br w:type="page"/>
      </w:r>
    </w:p>
    <w:p>
      <w:pPr>
        <w:spacing w:after="0"/>
      </w:pPr>
    </w:p>
    <w:p>
      <w:pPr>
        <w:keepNext/>
        <w:spacing w:before="80" w:after="40"/>
        <w:pBdr>
          <w:bottom w:val="single" w:sz="10" w:space="3" w:color="1B355E"/>
        </w:pBdr>
      </w:pPr>
      <w:r>
        <w:rPr>
          <w:b/>
          <w:color w:val="1B355E"/>
          <w:sz w:val="30"/>
        </w:rPr>
        <w:t>15.  Phase 5 — Customer Segmentation</w:t>
      </w:r>
    </w:p>
    <w:p>
      <w:pPr>
        <w:spacing w:after="40"/>
      </w:pPr>
    </w:p>
    <w:p>
      <w:pPr>
        <w:keepNext/>
        <w:spacing w:before="240" w:after="80"/>
      </w:pPr>
      <w:r>
        <w:rPr>
          <w:b/>
          <w:color w:val="1B355E"/>
          <w:sz w:val="25"/>
        </w:rPr>
        <w:t>15.1  Purpose</w:t>
      </w:r>
    </w:p>
    <w:p>
      <w:pPr>
        <w:spacing w:after="120" w:before="0"/>
        <w:jc w:val="both"/>
      </w:pPr>
      <w:r>
        <w:rPr>
          <w:b w:val="0"/>
          <w:i w:val="0"/>
          <w:sz w:val="21"/>
        </w:rPr>
        <w:t xml:space="preserve">Phase 5 groups the customer base into behavioural segments without reference to the churn label. The value of unsupervised work here is that the groups are defined by how customers behave rather than by what happened to them, so they remain meaningful for customers whose outcome is not yet known. </w:t>
      </w:r>
      <w:r>
        <w:rPr>
          <w:b/>
          <w:i w:val="0"/>
          <w:sz w:val="21"/>
        </w:rPr>
        <w:t>Modified during remediation</w:t>
      </w:r>
      <w:r>
        <w:rPr>
          <w:b w:val="0"/>
          <w:i w:val="0"/>
          <w:sz w:val="21"/>
        </w:rPr>
        <w:t xml:space="preserve"> for defects 2 and 3.</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Inputs</w:t>
            </w:r>
          </w:p>
        </w:tc>
        <w:tc>
          <w:tcPr>
            <w:tcW w:type="dxa" w:w="7085"/>
          </w:tcPr>
          <w:p>
            <w:pPr>
              <w:spacing w:after="20" w:before="20" w:line="254" w:lineRule="auto"/>
              <w:jc w:val="center"/>
            </w:pPr>
            <w:r>
              <w:rPr>
                <w:rFonts w:ascii="Consolas" w:hAnsi="Consolas" w:eastAsia="Consolas"/>
                <w:color w:val="8A2C1F"/>
                <w:sz w:val="16"/>
              </w:rPr>
              <w:t>Customer-Churn-Cleaned.csv</w:t>
            </w:r>
            <w:r>
              <w:rPr>
                <w:sz w:val="17"/>
              </w:rPr>
              <w:t xml:space="preserve"> + </w:t>
            </w:r>
            <w:r>
              <w:rPr>
                <w:rFonts w:ascii="Consolas" w:hAnsi="Consolas" w:eastAsia="Consolas"/>
                <w:color w:val="8A2C1F"/>
                <w:sz w:val="16"/>
              </w:rPr>
              <w:t>Customer-Churn-Features-Unscaled.csv</w:t>
            </w:r>
          </w:p>
        </w:tc>
      </w:tr>
      <w:tr>
        <w:tc>
          <w:tcPr>
            <w:tcW w:type="dxa" w:w="2232"/>
            <w:shd w:val="clear" w:color="auto" w:fill="F2F5F9"/>
          </w:tcPr>
          <w:p>
            <w:pPr>
              <w:spacing w:after="20" w:before="20" w:line="254" w:lineRule="auto"/>
              <w:jc w:val="left"/>
            </w:pPr>
            <w:r>
              <w:rPr>
                <w:sz w:val="17"/>
              </w:rPr>
              <w:t>Outputs</w:t>
            </w:r>
          </w:p>
        </w:tc>
        <w:tc>
          <w:tcPr>
            <w:tcW w:type="dxa" w:w="7085"/>
            <w:shd w:val="clear" w:color="auto" w:fill="F2F5F9"/>
          </w:tcPr>
          <w:p>
            <w:pPr>
              <w:spacing w:after="20" w:before="20" w:line="254" w:lineRule="auto"/>
              <w:jc w:val="left"/>
            </w:pPr>
            <w:r>
              <w:rPr>
                <w:rFonts w:ascii="Consolas" w:hAnsi="Consolas" w:eastAsia="Consolas"/>
                <w:color w:val="8A2C1F"/>
                <w:sz w:val="16"/>
              </w:rPr>
              <w:t>Customer-Churn-Segmented.csv</w:t>
            </w:r>
            <w:r>
              <w:rPr>
                <w:sz w:val="17"/>
              </w:rPr>
              <w:t xml:space="preserve"> (7 043 × 31), </w:t>
            </w:r>
            <w:r>
              <w:rPr>
                <w:rFonts w:ascii="Consolas" w:hAnsi="Consolas" w:eastAsia="Consolas"/>
                <w:color w:val="8A2C1F"/>
                <w:sz w:val="16"/>
              </w:rPr>
              <w:t>customer_segmentation_model.joblib</w:t>
            </w:r>
            <w:r>
              <w:rPr>
                <w:sz w:val="17"/>
              </w:rPr>
              <w:t>, 4 charts</w:t>
            </w:r>
          </w:p>
        </w:tc>
      </w:tr>
      <w:tr>
        <w:tc>
          <w:tcPr>
            <w:tcW w:type="dxa" w:w="2232"/>
          </w:tcPr>
          <w:p>
            <w:pPr>
              <w:spacing w:after="20" w:before="20" w:line="254" w:lineRule="auto"/>
              <w:jc w:val="left"/>
            </w:pPr>
            <w:r>
              <w:rPr>
                <w:sz w:val="17"/>
              </w:rPr>
              <w:t>Algorithm</w:t>
            </w:r>
          </w:p>
        </w:tc>
        <w:tc>
          <w:tcPr>
            <w:tcW w:type="dxa" w:w="7085"/>
          </w:tcPr>
          <w:p>
            <w:pPr>
              <w:spacing w:after="20" w:before="20" w:line="254" w:lineRule="auto"/>
              <w:jc w:val="center"/>
            </w:pPr>
            <w:r>
              <w:rPr>
                <w:rFonts w:ascii="Consolas" w:hAnsi="Consolas" w:eastAsia="Consolas"/>
                <w:color w:val="8A2C1F"/>
                <w:sz w:val="16"/>
              </w:rPr>
              <w:t>KMeans</w:t>
            </w:r>
            <w:r>
              <w:rPr>
                <w:sz w:val="17"/>
              </w:rPr>
              <w:t xml:space="preserve">, </w:t>
            </w:r>
            <w:r>
              <w:rPr>
                <w:rFonts w:ascii="Consolas" w:hAnsi="Consolas" w:eastAsia="Consolas"/>
                <w:color w:val="8A2C1F"/>
                <w:sz w:val="16"/>
              </w:rPr>
              <w:t>n_init=10</w:t>
            </w:r>
            <w:r>
              <w:rPr>
                <w:sz w:val="17"/>
              </w:rPr>
              <w:t xml:space="preserve">, </w:t>
            </w:r>
            <w:r>
              <w:rPr>
                <w:rFonts w:ascii="Consolas" w:hAnsi="Consolas" w:eastAsia="Consolas"/>
                <w:color w:val="8A2C1F"/>
                <w:sz w:val="16"/>
              </w:rPr>
              <w:t>random_state=42</w:t>
            </w:r>
            <w:r>
              <w:rPr>
                <w:sz w:val="17"/>
              </w:rPr>
              <w:t xml:space="preserve">, </w:t>
            </w:r>
            <w:r>
              <w:rPr>
                <w:rFonts w:ascii="Consolas" w:hAnsi="Consolas" w:eastAsia="Consolas"/>
                <w:color w:val="8A2C1F"/>
                <w:sz w:val="16"/>
              </w:rPr>
              <w:t>OPTIMAL_K = 4</w:t>
            </w:r>
          </w:p>
        </w:tc>
      </w:tr>
      <w:tr>
        <w:tc>
          <w:tcPr>
            <w:tcW w:type="dxa" w:w="2232"/>
            <w:shd w:val="clear" w:color="auto" w:fill="F2F5F9"/>
          </w:tcPr>
          <w:p>
            <w:pPr>
              <w:spacing w:after="20" w:before="20" w:line="254" w:lineRule="auto"/>
              <w:jc w:val="left"/>
            </w:pPr>
            <w:r>
              <w:rPr>
                <w:sz w:val="17"/>
              </w:rPr>
              <w:t>Clustering dimensions</w:t>
            </w:r>
          </w:p>
        </w:tc>
        <w:tc>
          <w:tcPr>
            <w:tcW w:type="dxa" w:w="7085"/>
            <w:shd w:val="clear" w:color="auto" w:fill="F2F5F9"/>
          </w:tcPr>
          <w:p>
            <w:pPr>
              <w:spacing w:after="20" w:before="20" w:line="254" w:lineRule="auto"/>
              <w:jc w:val="center"/>
            </w:pPr>
            <w:r>
              <w:rPr>
                <w:rFonts w:ascii="Consolas" w:hAnsi="Consolas" w:eastAsia="Consolas"/>
                <w:color w:val="8A2C1F"/>
                <w:sz w:val="16"/>
              </w:rPr>
              <w:t>tenure</w:t>
            </w:r>
            <w:r>
              <w:rPr>
                <w:sz w:val="17"/>
              </w:rPr>
              <w:t xml:space="preserve">, </w:t>
            </w:r>
            <w:r>
              <w:rPr>
                <w:rFonts w:ascii="Consolas" w:hAnsi="Consolas" w:eastAsia="Consolas"/>
                <w:color w:val="8A2C1F"/>
                <w:sz w:val="16"/>
              </w:rPr>
              <w:t>ServiceCount</w:t>
            </w:r>
            <w:r>
              <w:rPr>
                <w:sz w:val="17"/>
              </w:rPr>
              <w:t xml:space="preserve">, </w:t>
            </w:r>
            <w:r>
              <w:rPr>
                <w:rFonts w:ascii="Consolas" w:hAnsi="Consolas" w:eastAsia="Consolas"/>
                <w:color w:val="8A2C1F"/>
                <w:sz w:val="16"/>
              </w:rPr>
              <w:t>MonthlyCharges</w:t>
            </w:r>
          </w:p>
        </w:tc>
      </w:tr>
      <w:tr>
        <w:tc>
          <w:tcPr>
            <w:tcW w:type="dxa" w:w="2232"/>
          </w:tcPr>
          <w:p>
            <w:pPr>
              <w:spacing w:after="20" w:before="20" w:line="254" w:lineRule="auto"/>
              <w:jc w:val="left"/>
            </w:pPr>
            <w:r>
              <w:rPr>
                <w:sz w:val="17"/>
              </w:rPr>
              <w:t>Status</w:t>
            </w:r>
          </w:p>
        </w:tc>
        <w:tc>
          <w:tcPr>
            <w:tcW w:type="dxa" w:w="7085"/>
          </w:tcPr>
          <w:p>
            <w:pPr>
              <w:spacing w:after="20" w:before="20" w:line="254" w:lineRule="auto"/>
              <w:jc w:val="center"/>
            </w:pPr>
            <w:r>
              <w:rPr>
                <w:b/>
                <w:sz w:val="17"/>
              </w:rPr>
              <w:t>Modified — defects 2 and 3</w:t>
            </w:r>
          </w:p>
        </w:tc>
      </w:tr>
    </w:tbl>
    <w:p>
      <w:pPr>
        <w:spacing w:before="60" w:after="200"/>
        <w:jc w:val="center"/>
      </w:pPr>
      <w:r>
        <w:rPr>
          <w:i/>
          <w:color w:val="555F6B"/>
          <w:sz w:val="17"/>
        </w:rPr>
        <w:t>Table 28: Phase 5 interface summary.</w:t>
      </w:r>
    </w:p>
    <w:p>
      <w:pPr>
        <w:keepNext/>
        <w:spacing w:before="240" w:after="80"/>
      </w:pPr>
      <w:r>
        <w:rPr>
          <w:b/>
          <w:color w:val="1B355E"/>
          <w:sz w:val="25"/>
        </w:rPr>
        <w:t>15.2  Choice of clustering dimensions</w:t>
      </w:r>
    </w:p>
    <w:p>
      <w:pPr>
        <w:spacing w:after="120" w:before="0"/>
        <w:jc w:val="both"/>
      </w:pPr>
      <w:r>
        <w:rPr>
          <w:b w:val="0"/>
          <w:i w:val="0"/>
          <w:sz w:val="21"/>
        </w:rPr>
        <w:t>The three dimensions are an RFM adaptation to a subscription business, where the classical recency-frequency-monetary triple does not translate directly: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728"/>
        <w:gridCol w:w="1944"/>
        <w:gridCol w:w="5644"/>
      </w:tblGrid>
      <w:tr>
        <w:tc>
          <w:tcPr>
            <w:tcW w:type="dxa" w:w="1728"/>
            <w:shd w:val="clear" w:color="auto" w:fill="1B355E"/>
          </w:tcPr>
          <w:p>
            <w:pPr>
              <w:spacing w:after="20" w:before="20"/>
              <w:jc w:val="center"/>
            </w:pPr>
            <w:r>
              <w:rPr>
                <w:b/>
                <w:color w:val="FFFFFF"/>
                <w:sz w:val="16"/>
              </w:rPr>
              <w:t>Dimension</w:t>
            </w:r>
          </w:p>
        </w:tc>
        <w:tc>
          <w:tcPr>
            <w:tcW w:type="dxa" w:w="1944"/>
            <w:shd w:val="clear" w:color="auto" w:fill="1B355E"/>
          </w:tcPr>
          <w:p>
            <w:pPr>
              <w:spacing w:after="20" w:before="20"/>
              <w:jc w:val="center"/>
            </w:pPr>
            <w:r>
              <w:rPr>
                <w:b/>
                <w:color w:val="FFFFFF"/>
                <w:sz w:val="16"/>
              </w:rPr>
              <w:t>RFM analogue</w:t>
            </w:r>
          </w:p>
        </w:tc>
        <w:tc>
          <w:tcPr>
            <w:tcW w:type="dxa" w:w="5645"/>
            <w:shd w:val="clear" w:color="auto" w:fill="1B355E"/>
          </w:tcPr>
          <w:p>
            <w:pPr>
              <w:spacing w:after="20" w:before="20"/>
              <w:jc w:val="center"/>
            </w:pPr>
            <w:r>
              <w:rPr>
                <w:b/>
                <w:color w:val="FFFFFF"/>
                <w:sz w:val="16"/>
              </w:rPr>
              <w:t>Why it is the right proxy</w:t>
            </w:r>
          </w:p>
        </w:tc>
      </w:tr>
      <w:tr>
        <w:tc>
          <w:tcPr>
            <w:tcW w:type="dxa" w:w="1728"/>
          </w:tcPr>
          <w:p>
            <w:pPr>
              <w:spacing w:after="20" w:before="20" w:line="254" w:lineRule="auto"/>
              <w:jc w:val="left"/>
            </w:pPr>
            <w:r>
              <w:rPr>
                <w:rFonts w:ascii="Consolas" w:hAnsi="Consolas" w:eastAsia="Consolas"/>
                <w:color w:val="8A2C1F"/>
                <w:sz w:val="15"/>
              </w:rPr>
              <w:t>tenure</w:t>
            </w:r>
          </w:p>
        </w:tc>
        <w:tc>
          <w:tcPr>
            <w:tcW w:type="dxa" w:w="1944"/>
          </w:tcPr>
          <w:p>
            <w:pPr>
              <w:spacing w:after="20" w:before="20" w:line="254" w:lineRule="auto"/>
              <w:jc w:val="center"/>
            </w:pPr>
            <w:r>
              <w:rPr>
                <w:sz w:val="16"/>
              </w:rPr>
              <w:t>Recency / longevity</w:t>
            </w:r>
          </w:p>
        </w:tc>
        <w:tc>
          <w:tcPr>
            <w:tcW w:type="dxa" w:w="5645"/>
          </w:tcPr>
          <w:p>
            <w:pPr>
              <w:spacing w:after="20" w:before="20" w:line="254" w:lineRule="auto"/>
              <w:jc w:val="left"/>
            </w:pPr>
            <w:r>
              <w:rPr>
                <w:sz w:val="16"/>
              </w:rPr>
              <w:t>every active subscriber transacted this month, so recency is uninformative; relationship length is the meaningful time dimension</w:t>
            </w:r>
          </w:p>
        </w:tc>
      </w:tr>
      <w:tr>
        <w:tc>
          <w:tcPr>
            <w:tcW w:type="dxa" w:w="1728"/>
            <w:shd w:val="clear" w:color="auto" w:fill="F2F5F9"/>
          </w:tcPr>
          <w:p>
            <w:pPr>
              <w:spacing w:after="20" w:before="20" w:line="254" w:lineRule="auto"/>
              <w:jc w:val="left"/>
            </w:pPr>
            <w:r>
              <w:rPr>
                <w:rFonts w:ascii="Consolas" w:hAnsi="Consolas" w:eastAsia="Consolas"/>
                <w:color w:val="8A2C1F"/>
                <w:sz w:val="15"/>
              </w:rPr>
              <w:t>ServiceCount</w:t>
            </w:r>
          </w:p>
        </w:tc>
        <w:tc>
          <w:tcPr>
            <w:tcW w:type="dxa" w:w="1944"/>
            <w:shd w:val="clear" w:color="auto" w:fill="F2F5F9"/>
          </w:tcPr>
          <w:p>
            <w:pPr>
              <w:spacing w:after="20" w:before="20" w:line="254" w:lineRule="auto"/>
              <w:jc w:val="center"/>
            </w:pPr>
            <w:r>
              <w:rPr>
                <w:sz w:val="16"/>
              </w:rPr>
              <w:t>Frequency / engagement</w:t>
            </w:r>
          </w:p>
        </w:tc>
        <w:tc>
          <w:tcPr>
            <w:tcW w:type="dxa" w:w="5645"/>
            <w:shd w:val="clear" w:color="auto" w:fill="F2F5F9"/>
          </w:tcPr>
          <w:p>
            <w:pPr>
              <w:spacing w:after="20" w:before="20" w:line="254" w:lineRule="auto"/>
              <w:jc w:val="left"/>
            </w:pPr>
            <w:r>
              <w:rPr>
                <w:sz w:val="16"/>
              </w:rPr>
              <w:t>purchase frequency is fixed at one per month by the billing cycle; breadth of product adoption is the true engagement signal</w:t>
            </w:r>
          </w:p>
        </w:tc>
      </w:tr>
      <w:tr>
        <w:tc>
          <w:tcPr>
            <w:tcW w:type="dxa" w:w="1728"/>
          </w:tcPr>
          <w:p>
            <w:pPr>
              <w:spacing w:after="20" w:before="20" w:line="254" w:lineRule="auto"/>
              <w:jc w:val="left"/>
            </w:pPr>
            <w:r>
              <w:rPr>
                <w:rFonts w:ascii="Consolas" w:hAnsi="Consolas" w:eastAsia="Consolas"/>
                <w:color w:val="8A2C1F"/>
                <w:sz w:val="15"/>
              </w:rPr>
              <w:t>MonthlyCharges</w:t>
            </w:r>
          </w:p>
        </w:tc>
        <w:tc>
          <w:tcPr>
            <w:tcW w:type="dxa" w:w="1944"/>
          </w:tcPr>
          <w:p>
            <w:pPr>
              <w:spacing w:after="20" w:before="20" w:line="254" w:lineRule="auto"/>
              <w:jc w:val="center"/>
            </w:pPr>
            <w:r>
              <w:rPr>
                <w:sz w:val="16"/>
              </w:rPr>
              <w:t>Monetary</w:t>
            </w:r>
          </w:p>
        </w:tc>
        <w:tc>
          <w:tcPr>
            <w:tcW w:type="dxa" w:w="5645"/>
          </w:tcPr>
          <w:p>
            <w:pPr>
              <w:spacing w:after="20" w:before="20" w:line="254" w:lineRule="auto"/>
              <w:jc w:val="left"/>
            </w:pPr>
            <w:r>
              <w:rPr>
                <w:sz w:val="16"/>
              </w:rPr>
              <w:t>the recurring rate is forward-looking, whereas total charges merely restate tenure</w:t>
            </w:r>
          </w:p>
        </w:tc>
      </w:tr>
    </w:tbl>
    <w:p>
      <w:pPr>
        <w:spacing w:before="60" w:after="200"/>
        <w:jc w:val="center"/>
      </w:pPr>
      <w:r>
        <w:rPr>
          <w:i/>
          <w:color w:val="555F6B"/>
          <w:sz w:val="17"/>
        </w:rPr>
        <w:t>Table 29: Mapping of classical RFM dimensions onto subscription-business proxies.</w:t>
      </w:r>
    </w:p>
    <w:p>
      <w:pPr>
        <w:keepNext/>
        <w:spacing w:before="240" w:after="80"/>
      </w:pPr>
      <w:r>
        <w:rPr>
          <w:b/>
          <w:color w:val="1B355E"/>
          <w:sz w:val="25"/>
        </w:rPr>
        <w:t>15.3  Standardisation before clustering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X = df[["tenure", "ServiceCount", "MonthlyCharges"]].copy()</w:t>
            </w:r>
          </w:p>
          <w:p>
            <w:pPr>
              <w:spacing w:after="0" w:before="0" w:line="240" w:lineRule="auto"/>
            </w:pPr>
            <w:r>
              <w:rPr>
                <w:rFonts w:ascii="Consolas" w:hAnsi="Consolas" w:eastAsia="Consolas"/>
                <w:color w:val="1A232E"/>
                <w:sz w:val="16"/>
              </w:rPr>
              <w:t>scaler = StandardScaler()</w:t>
            </w:r>
          </w:p>
          <w:p>
            <w:pPr>
              <w:spacing w:after="0" w:before="0" w:line="240" w:lineRule="auto"/>
            </w:pPr>
            <w:r>
              <w:rPr>
                <w:rFonts w:ascii="Consolas" w:hAnsi="Consolas" w:eastAsia="Consolas"/>
                <w:color w:val="1A232E"/>
                <w:sz w:val="16"/>
              </w:rPr>
              <w:t>X_scaled = scaler.fit_transform(X)</w:t>
            </w:r>
          </w:p>
        </w:tc>
      </w:tr>
    </w:tbl>
    <w:p>
      <w:pPr>
        <w:spacing w:after="80"/>
      </w:pPr>
    </w:p>
    <w:p>
      <w:pPr>
        <w:spacing w:after="120" w:before="0"/>
        <w:jc w:val="both"/>
      </w:pPr>
      <w:r>
        <w:rPr>
          <w:b w:val="0"/>
          <w:i w:val="0"/>
          <w:sz w:val="21"/>
        </w:rPr>
        <w:t>Standardisation is a correctness requirement here, not a convenience. K-Means assigns points by Euclidean distance, and the raw dimensions have incompatible scales: tenure spans 0 to 72, monthly charges 18.25 to 118.75, service count 0 to 6. Unscaled, monthly charges would contribute roughly four hundred times more squared distance than service count, and the clusters would be little more than a partition of the price axis.</w:t>
      </w:r>
    </w:p>
    <w:p>
      <w:pPr>
        <w:keepNext/>
        <w:spacing w:before="240" w:after="80"/>
      </w:pPr>
      <w:r>
        <w:rPr>
          <w:b/>
          <w:color w:val="1B355E"/>
          <w:sz w:val="25"/>
        </w:rPr>
        <w:t>15.4  Selecting the number of segments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648"/>
        <w:gridCol w:w="1512"/>
        <w:gridCol w:w="1655"/>
        <w:gridCol w:w="1468"/>
        <w:gridCol w:w="4031"/>
      </w:tblGrid>
      <w:tr>
        <w:tc>
          <w:tcPr>
            <w:tcW w:type="dxa" w:w="648"/>
            <w:shd w:val="clear" w:color="auto" w:fill="1B355E"/>
          </w:tcPr>
          <w:p>
            <w:pPr>
              <w:spacing w:after="20" w:before="20"/>
              <w:jc w:val="center"/>
            </w:pPr>
            <w:r>
              <w:rPr>
                <w:b/>
                <w:color w:val="FFFFFF"/>
                <w:sz w:val="16"/>
              </w:rPr>
              <w:t>K</w:t>
            </w:r>
          </w:p>
        </w:tc>
        <w:tc>
          <w:tcPr>
            <w:tcW w:type="dxa" w:w="1512"/>
            <w:shd w:val="clear" w:color="auto" w:fill="1B355E"/>
          </w:tcPr>
          <w:p>
            <w:pPr>
              <w:spacing w:after="20" w:before="20"/>
              <w:jc w:val="center"/>
            </w:pPr>
            <w:r>
              <w:rPr>
                <w:b/>
                <w:color w:val="FFFFFF"/>
                <w:sz w:val="16"/>
              </w:rPr>
              <w:t>Inertia</w:t>
            </w:r>
          </w:p>
        </w:tc>
        <w:tc>
          <w:tcPr>
            <w:tcW w:type="dxa" w:w="1656"/>
            <w:shd w:val="clear" w:color="auto" w:fill="1B355E"/>
          </w:tcPr>
          <w:p>
            <w:pPr>
              <w:spacing w:after="20" w:before="20"/>
              <w:jc w:val="center"/>
            </w:pPr>
            <w:r>
              <w:rPr>
                <w:b/>
                <w:color w:val="FFFFFF"/>
                <w:sz w:val="16"/>
              </w:rPr>
              <w:t>Inertia reduction</w:t>
            </w:r>
          </w:p>
        </w:tc>
        <w:tc>
          <w:tcPr>
            <w:tcW w:type="dxa" w:w="1469"/>
            <w:shd w:val="clear" w:color="auto" w:fill="1B355E"/>
          </w:tcPr>
          <w:p>
            <w:pPr>
              <w:spacing w:after="20" w:before="20"/>
              <w:jc w:val="center"/>
            </w:pPr>
            <w:r>
              <w:rPr>
                <w:b/>
                <w:color w:val="FFFFFF"/>
                <w:sz w:val="16"/>
              </w:rPr>
              <w:t>Silhouette</w:t>
            </w:r>
          </w:p>
        </w:tc>
        <w:tc>
          <w:tcPr>
            <w:tcW w:type="dxa" w:w="4032"/>
            <w:shd w:val="clear" w:color="auto" w:fill="1B355E"/>
          </w:tcPr>
          <w:p>
            <w:pPr>
              <w:spacing w:after="20" w:before="20"/>
              <w:jc w:val="center"/>
            </w:pPr>
            <w:r>
              <w:rPr>
                <w:b/>
                <w:color w:val="FFFFFF"/>
                <w:sz w:val="16"/>
              </w:rPr>
              <w:t>Assessment</w:t>
            </w:r>
          </w:p>
        </w:tc>
      </w:tr>
      <w:tr>
        <w:tc>
          <w:tcPr>
            <w:tcW w:type="dxa" w:w="648"/>
          </w:tcPr>
          <w:p>
            <w:pPr>
              <w:spacing w:after="20" w:before="20" w:line="254" w:lineRule="auto"/>
              <w:jc w:val="left"/>
            </w:pPr>
            <w:r>
              <w:rPr>
                <w:sz w:val="16"/>
              </w:rPr>
              <w:t>2</w:t>
            </w:r>
          </w:p>
        </w:tc>
        <w:tc>
          <w:tcPr>
            <w:tcW w:type="dxa" w:w="1512"/>
          </w:tcPr>
          <w:p>
            <w:pPr>
              <w:spacing w:after="20" w:before="20" w:line="254" w:lineRule="auto"/>
              <w:jc w:val="center"/>
            </w:pPr>
            <w:r>
              <w:rPr>
                <w:sz w:val="16"/>
              </w:rPr>
              <w:t>10 782.45</w:t>
            </w:r>
          </w:p>
        </w:tc>
        <w:tc>
          <w:tcPr>
            <w:tcW w:type="dxa" w:w="1656"/>
          </w:tcPr>
          <w:p>
            <w:pPr>
              <w:spacing w:after="20" w:before="20" w:line="254" w:lineRule="auto"/>
              <w:jc w:val="center"/>
            </w:pPr>
            <w:r>
              <w:rPr>
                <w:sz w:val="16"/>
              </w:rPr>
              <w:t>—</w:t>
            </w:r>
          </w:p>
        </w:tc>
        <w:tc>
          <w:tcPr>
            <w:tcW w:type="dxa" w:w="1469"/>
          </w:tcPr>
          <w:p>
            <w:pPr>
              <w:spacing w:after="20" w:before="20" w:line="254" w:lineRule="auto"/>
              <w:jc w:val="center"/>
            </w:pPr>
            <w:r>
              <w:rPr>
                <w:b/>
                <w:sz w:val="16"/>
              </w:rPr>
              <w:t>0.4163</w:t>
            </w:r>
          </w:p>
        </w:tc>
        <w:tc>
          <w:tcPr>
            <w:tcW w:type="dxa" w:w="4032"/>
          </w:tcPr>
          <w:p>
            <w:pPr>
              <w:spacing w:after="20" w:before="20" w:line="254" w:lineRule="auto"/>
              <w:jc w:val="left"/>
            </w:pPr>
            <w:r>
              <w:rPr>
                <w:sz w:val="16"/>
              </w:rPr>
              <w:t>highest silhouette, but only splits cheap from expensive</w:t>
            </w:r>
          </w:p>
        </w:tc>
      </w:tr>
      <w:tr>
        <w:tc>
          <w:tcPr>
            <w:tcW w:type="dxa" w:w="648"/>
            <w:shd w:val="clear" w:color="auto" w:fill="F2F5F9"/>
          </w:tcPr>
          <w:p>
            <w:pPr>
              <w:spacing w:after="20" w:before="20" w:line="254" w:lineRule="auto"/>
              <w:jc w:val="left"/>
            </w:pPr>
            <w:r>
              <w:rPr>
                <w:sz w:val="16"/>
              </w:rPr>
              <w:t>3</w:t>
            </w:r>
          </w:p>
        </w:tc>
        <w:tc>
          <w:tcPr>
            <w:tcW w:type="dxa" w:w="1512"/>
            <w:shd w:val="clear" w:color="auto" w:fill="F2F5F9"/>
          </w:tcPr>
          <w:p>
            <w:pPr>
              <w:spacing w:after="20" w:before="20" w:line="254" w:lineRule="auto"/>
              <w:jc w:val="center"/>
            </w:pPr>
            <w:r>
              <w:rPr>
                <w:sz w:val="16"/>
              </w:rPr>
              <w:t>7 295.42</w:t>
            </w:r>
          </w:p>
        </w:tc>
        <w:tc>
          <w:tcPr>
            <w:tcW w:type="dxa" w:w="1656"/>
            <w:shd w:val="clear" w:color="auto" w:fill="F2F5F9"/>
          </w:tcPr>
          <w:p>
            <w:pPr>
              <w:spacing w:after="20" w:before="20" w:line="254" w:lineRule="auto"/>
              <w:jc w:val="center"/>
            </w:pPr>
            <w:r>
              <w:rPr>
                <w:sz w:val="16"/>
              </w:rPr>
              <w:t>32.3 %</w:t>
            </w:r>
          </w:p>
        </w:tc>
        <w:tc>
          <w:tcPr>
            <w:tcW w:type="dxa" w:w="1469"/>
            <w:shd w:val="clear" w:color="auto" w:fill="F2F5F9"/>
          </w:tcPr>
          <w:p>
            <w:pPr>
              <w:spacing w:after="20" w:before="20" w:line="254" w:lineRule="auto"/>
              <w:jc w:val="center"/>
            </w:pPr>
            <w:r>
              <w:rPr>
                <w:sz w:val="16"/>
              </w:rPr>
              <w:t>0.3968</w:t>
            </w:r>
          </w:p>
        </w:tc>
        <w:tc>
          <w:tcPr>
            <w:tcW w:type="dxa" w:w="4032"/>
            <w:shd w:val="clear" w:color="auto" w:fill="F2F5F9"/>
          </w:tcPr>
          <w:p>
            <w:pPr>
              <w:spacing w:after="20" w:before="20" w:line="254" w:lineRule="auto"/>
              <w:jc w:val="left"/>
            </w:pPr>
            <w:r>
              <w:rPr>
                <w:sz w:val="16"/>
              </w:rPr>
              <w:t>improving, still coarse</w:t>
            </w:r>
          </w:p>
        </w:tc>
      </w:tr>
      <w:tr>
        <w:tc>
          <w:tcPr>
            <w:tcW w:type="dxa" w:w="648"/>
          </w:tcPr>
          <w:p>
            <w:pPr>
              <w:spacing w:after="20" w:before="20" w:line="254" w:lineRule="auto"/>
              <w:jc w:val="left"/>
            </w:pPr>
            <w:r>
              <w:rPr>
                <w:sz w:val="16"/>
              </w:rPr>
              <w:t>4</w:t>
            </w:r>
          </w:p>
        </w:tc>
        <w:tc>
          <w:tcPr>
            <w:tcW w:type="dxa" w:w="1512"/>
          </w:tcPr>
          <w:p>
            <w:pPr>
              <w:spacing w:after="20" w:before="20" w:line="254" w:lineRule="auto"/>
              <w:jc w:val="center"/>
            </w:pPr>
            <w:r>
              <w:rPr>
                <w:sz w:val="16"/>
              </w:rPr>
              <w:t>5 615.08</w:t>
            </w:r>
          </w:p>
        </w:tc>
        <w:tc>
          <w:tcPr>
            <w:tcW w:type="dxa" w:w="1656"/>
          </w:tcPr>
          <w:p>
            <w:pPr>
              <w:spacing w:after="20" w:before="20" w:line="254" w:lineRule="auto"/>
              <w:jc w:val="center"/>
            </w:pPr>
            <w:r>
              <w:rPr>
                <w:sz w:val="16"/>
              </w:rPr>
              <w:t>23.0 %</w:t>
            </w:r>
          </w:p>
        </w:tc>
        <w:tc>
          <w:tcPr>
            <w:tcW w:type="dxa" w:w="1469"/>
          </w:tcPr>
          <w:p>
            <w:pPr>
              <w:spacing w:after="20" w:before="20" w:line="254" w:lineRule="auto"/>
              <w:jc w:val="center"/>
            </w:pPr>
            <w:r>
              <w:rPr>
                <w:sz w:val="16"/>
              </w:rPr>
              <w:t>0.4042</w:t>
            </w:r>
          </w:p>
        </w:tc>
        <w:tc>
          <w:tcPr>
            <w:tcW w:type="dxa" w:w="4032"/>
          </w:tcPr>
          <w:p>
            <w:pPr>
              <w:spacing w:after="20" w:before="20" w:line="254" w:lineRule="auto"/>
              <w:jc w:val="center"/>
            </w:pPr>
            <w:r>
              <w:rPr>
                <w:b/>
                <w:sz w:val="16"/>
              </w:rPr>
              <w:t>selected — elbow region, silhouette recovers</w:t>
            </w:r>
          </w:p>
        </w:tc>
      </w:tr>
      <w:tr>
        <w:tc>
          <w:tcPr>
            <w:tcW w:type="dxa" w:w="648"/>
            <w:shd w:val="clear" w:color="auto" w:fill="F2F5F9"/>
          </w:tcPr>
          <w:p>
            <w:pPr>
              <w:spacing w:after="20" w:before="20" w:line="254" w:lineRule="auto"/>
              <w:jc w:val="left"/>
            </w:pPr>
            <w:r>
              <w:rPr>
                <w:sz w:val="16"/>
              </w:rPr>
              <w:t>5</w:t>
            </w:r>
          </w:p>
        </w:tc>
        <w:tc>
          <w:tcPr>
            <w:tcW w:type="dxa" w:w="1512"/>
            <w:shd w:val="clear" w:color="auto" w:fill="F2F5F9"/>
          </w:tcPr>
          <w:p>
            <w:pPr>
              <w:spacing w:after="20" w:before="20" w:line="254" w:lineRule="auto"/>
              <w:jc w:val="center"/>
            </w:pPr>
            <w:r>
              <w:rPr>
                <w:sz w:val="16"/>
              </w:rPr>
              <w:t>4 647.43</w:t>
            </w:r>
          </w:p>
        </w:tc>
        <w:tc>
          <w:tcPr>
            <w:tcW w:type="dxa" w:w="1656"/>
            <w:shd w:val="clear" w:color="auto" w:fill="F2F5F9"/>
          </w:tcPr>
          <w:p>
            <w:pPr>
              <w:spacing w:after="20" w:before="20" w:line="254" w:lineRule="auto"/>
              <w:jc w:val="center"/>
            </w:pPr>
            <w:r>
              <w:rPr>
                <w:sz w:val="16"/>
              </w:rPr>
              <w:t>17.2 %</w:t>
            </w:r>
          </w:p>
        </w:tc>
        <w:tc>
          <w:tcPr>
            <w:tcW w:type="dxa" w:w="1469"/>
            <w:shd w:val="clear" w:color="auto" w:fill="F2F5F9"/>
          </w:tcPr>
          <w:p>
            <w:pPr>
              <w:spacing w:after="20" w:before="20" w:line="254" w:lineRule="auto"/>
              <w:jc w:val="center"/>
            </w:pPr>
            <w:r>
              <w:rPr>
                <w:sz w:val="16"/>
              </w:rPr>
              <w:t>0.3641</w:t>
            </w:r>
          </w:p>
        </w:tc>
        <w:tc>
          <w:tcPr>
            <w:tcW w:type="dxa" w:w="4032"/>
            <w:shd w:val="clear" w:color="auto" w:fill="F2F5F9"/>
          </w:tcPr>
          <w:p>
            <w:pPr>
              <w:spacing w:after="20" w:before="20" w:line="254" w:lineRule="auto"/>
              <w:jc w:val="center"/>
            </w:pPr>
            <w:r>
              <w:rPr>
                <w:sz w:val="16"/>
              </w:rPr>
              <w:t>silhouette degrades</w:t>
            </w:r>
          </w:p>
        </w:tc>
      </w:tr>
      <w:tr>
        <w:tc>
          <w:tcPr>
            <w:tcW w:type="dxa" w:w="648"/>
          </w:tcPr>
          <w:p>
            <w:pPr>
              <w:spacing w:after="20" w:before="20" w:line="254" w:lineRule="auto"/>
              <w:jc w:val="left"/>
            </w:pPr>
            <w:r>
              <w:rPr>
                <w:sz w:val="16"/>
              </w:rPr>
              <w:t>6</w:t>
            </w:r>
          </w:p>
        </w:tc>
        <w:tc>
          <w:tcPr>
            <w:tcW w:type="dxa" w:w="1512"/>
          </w:tcPr>
          <w:p>
            <w:pPr>
              <w:spacing w:after="20" w:before="20" w:line="254" w:lineRule="auto"/>
              <w:jc w:val="center"/>
            </w:pPr>
            <w:r>
              <w:rPr>
                <w:sz w:val="16"/>
              </w:rPr>
              <w:t>3 812.39</w:t>
            </w:r>
          </w:p>
        </w:tc>
        <w:tc>
          <w:tcPr>
            <w:tcW w:type="dxa" w:w="1656"/>
          </w:tcPr>
          <w:p>
            <w:pPr>
              <w:spacing w:after="20" w:before="20" w:line="254" w:lineRule="auto"/>
              <w:jc w:val="center"/>
            </w:pPr>
            <w:r>
              <w:rPr>
                <w:sz w:val="16"/>
              </w:rPr>
              <w:t>18.0 %</w:t>
            </w:r>
          </w:p>
        </w:tc>
        <w:tc>
          <w:tcPr>
            <w:tcW w:type="dxa" w:w="1469"/>
          </w:tcPr>
          <w:p>
            <w:pPr>
              <w:spacing w:after="20" w:before="20" w:line="254" w:lineRule="auto"/>
              <w:jc w:val="center"/>
            </w:pPr>
            <w:r>
              <w:rPr>
                <w:sz w:val="16"/>
              </w:rPr>
              <w:t>0.3704</w:t>
            </w:r>
          </w:p>
        </w:tc>
        <w:tc>
          <w:tcPr>
            <w:tcW w:type="dxa" w:w="4032"/>
          </w:tcPr>
          <w:p>
            <w:pPr>
              <w:spacing w:after="20" w:before="20" w:line="254" w:lineRule="auto"/>
              <w:jc w:val="center"/>
            </w:pPr>
            <w:r>
              <w:rPr>
                <w:sz w:val="16"/>
              </w:rPr>
              <w:t>no separation gain</w:t>
            </w:r>
          </w:p>
        </w:tc>
      </w:tr>
    </w:tbl>
    <w:p>
      <w:pPr>
        <w:spacing w:before="60" w:after="200"/>
        <w:jc w:val="center"/>
      </w:pPr>
      <w:r>
        <w:rPr>
          <w:i/>
          <w:color w:val="555F6B"/>
          <w:sz w:val="17"/>
        </w:rPr>
        <w:t>Table 30: Elbow and silhouette results for K from 2 to 6.</w:t>
      </w:r>
    </w:p>
    <w:p>
      <w:pPr>
        <w:keepNext/>
        <w:spacing w:before="120" w:after="60"/>
        <w:jc w:val="center"/>
      </w:pPr>
      <w:r>
        <w:drawing>
          <wp:inline xmlns:a="http://schemas.openxmlformats.org/drawingml/2006/main" xmlns:pic="http://schemas.openxmlformats.org/drawingml/2006/picture">
            <wp:extent cx="4526280" cy="2792811"/>
            <wp:docPr id="13" name="Picture 13"/>
            <wp:cNvGraphicFramePr>
              <a:graphicFrameLocks noChangeAspect="1"/>
            </wp:cNvGraphicFramePr>
            <a:graphic>
              <a:graphicData uri="http://schemas.openxmlformats.org/drawingml/2006/picture">
                <pic:pic>
                  <pic:nvPicPr>
                    <pic:cNvPr id="0" name="phase5_elbow_method.png"/>
                    <pic:cNvPicPr/>
                  </pic:nvPicPr>
                  <pic:blipFill>
                    <a:blip r:embed="rId21"/>
                    <a:stretch>
                      <a:fillRect/>
                    </a:stretch>
                  </pic:blipFill>
                  <pic:spPr>
                    <a:xfrm>
                      <a:off x="0" y="0"/>
                      <a:ext cx="4526280" cy="2792811"/>
                    </a:xfrm>
                    <a:prstGeom prst="rect"/>
                  </pic:spPr>
                </pic:pic>
              </a:graphicData>
            </a:graphic>
          </wp:inline>
        </w:drawing>
      </w:r>
    </w:p>
    <w:p>
      <w:pPr>
        <w:spacing w:before="60" w:after="220"/>
        <w:jc w:val="center"/>
      </w:pPr>
      <w:r>
        <w:rPr>
          <w:i/>
          <w:color w:val="555F6B"/>
          <w:sz w:val="17"/>
        </w:rPr>
        <w:t>Figure 13: Elbow analysis. The inertia curve flattens noticeably after K = 4.</w:t>
      </w:r>
    </w:p>
    <w:p>
      <w:pPr>
        <w:keepNext/>
        <w:spacing w:before="120" w:after="60"/>
        <w:jc w:val="center"/>
      </w:pPr>
      <w:r>
        <w:drawing>
          <wp:inline xmlns:a="http://schemas.openxmlformats.org/drawingml/2006/main" xmlns:pic="http://schemas.openxmlformats.org/drawingml/2006/picture">
            <wp:extent cx="4526280" cy="2792811"/>
            <wp:docPr id="14" name="Picture 14"/>
            <wp:cNvGraphicFramePr>
              <a:graphicFrameLocks noChangeAspect="1"/>
            </wp:cNvGraphicFramePr>
            <a:graphic>
              <a:graphicData uri="http://schemas.openxmlformats.org/drawingml/2006/picture">
                <pic:pic>
                  <pic:nvPicPr>
                    <pic:cNvPr id="0" name="phase5_silhouette_scores.png"/>
                    <pic:cNvPicPr/>
                  </pic:nvPicPr>
                  <pic:blipFill>
                    <a:blip r:embed="rId22"/>
                    <a:stretch>
                      <a:fillRect/>
                    </a:stretch>
                  </pic:blipFill>
                  <pic:spPr>
                    <a:xfrm>
                      <a:off x="0" y="0"/>
                      <a:ext cx="4526280" cy="2792811"/>
                    </a:xfrm>
                    <a:prstGeom prst="rect"/>
                  </pic:spPr>
                </pic:pic>
              </a:graphicData>
            </a:graphic>
          </wp:inline>
        </w:drawing>
      </w:r>
    </w:p>
    <w:p>
      <w:pPr>
        <w:spacing w:before="60" w:after="220"/>
        <w:jc w:val="center"/>
      </w:pPr>
      <w:r>
        <w:rPr>
          <w:i/>
          <w:color w:val="555F6B"/>
          <w:sz w:val="17"/>
        </w:rPr>
        <w:t>Figure 14: Silhouette score by K.</w:t>
      </w:r>
    </w:p>
    <w:p>
      <w:pPr>
        <w:spacing w:after="120" w:before="0"/>
        <w:jc w:val="both"/>
      </w:pPr>
      <w:r>
        <w:rPr>
          <w:b w:val="0"/>
          <w:i w:val="0"/>
          <w:sz w:val="21"/>
        </w:rPr>
        <w:t>The two criteria disagree, and the resolution deserves stating openly. K = 2 attains the highest silhouette at 0.4163, so a purely geometric reading would choose two clusters. Four is selected on three grounds: the inertia curve shows its clearest elbow there (23.0 % reduction from K = 3 against only 17.2 % moving to K = 5); the silhouette at K = 4 is within 0.012 of the K = 2 value, so almost no cluster quality is sacrificed; and decisively, a two-cluster solution divides the base into cheap and expensive customers, supporting no retention decision that pricing data alone would not already support.</w:t>
      </w:r>
    </w:p>
    <w:p>
      <w:r>
        <w:br w:type="page"/>
      </w:r>
    </w:p>
    <w:p>
      <w:pPr>
        <w:keepNext/>
        <w:spacing w:before="240" w:after="80"/>
      </w:pPr>
      <w:r>
        <w:rPr>
          <w:b/>
          <w:color w:val="1B355E"/>
          <w:sz w:val="25"/>
        </w:rPr>
        <w:t>15.5  Segment profiles after centroid-based naming</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131"/>
        <w:gridCol w:w="748"/>
        <w:gridCol w:w="1036"/>
        <w:gridCol w:w="864"/>
        <w:gridCol w:w="1123"/>
        <w:gridCol w:w="1123"/>
        <w:gridCol w:w="1080"/>
        <w:gridCol w:w="1209"/>
      </w:tblGrid>
      <w:tr>
        <w:tc>
          <w:tcPr>
            <w:tcW w:type="dxa" w:w="2131"/>
            <w:shd w:val="clear" w:color="auto" w:fill="1B355E"/>
          </w:tcPr>
          <w:p>
            <w:pPr>
              <w:spacing w:after="20" w:before="20"/>
              <w:jc w:val="center"/>
            </w:pPr>
            <w:r>
              <w:rPr>
                <w:b/>
                <w:color w:val="FFFFFF"/>
                <w:sz w:val="15"/>
              </w:rPr>
              <w:t>Segment</w:t>
            </w:r>
          </w:p>
        </w:tc>
        <w:tc>
          <w:tcPr>
            <w:tcW w:type="dxa" w:w="749"/>
            <w:shd w:val="clear" w:color="auto" w:fill="1B355E"/>
          </w:tcPr>
          <w:p>
            <w:pPr>
              <w:spacing w:after="20" w:before="20"/>
              <w:jc w:val="center"/>
            </w:pPr>
            <w:r>
              <w:rPr>
                <w:b/>
                <w:color w:val="FFFFFF"/>
                <w:sz w:val="15"/>
              </w:rPr>
              <w:t>Cluster</w:t>
            </w:r>
          </w:p>
        </w:tc>
        <w:tc>
          <w:tcPr>
            <w:tcW w:type="dxa" w:w="1037"/>
            <w:shd w:val="clear" w:color="auto" w:fill="1B355E"/>
          </w:tcPr>
          <w:p>
            <w:pPr>
              <w:spacing w:after="20" w:before="20"/>
              <w:jc w:val="center"/>
            </w:pPr>
            <w:r>
              <w:rPr>
                <w:b/>
                <w:color w:val="FFFFFF"/>
                <w:sz w:val="15"/>
              </w:rPr>
              <w:t>Customers</w:t>
            </w:r>
          </w:p>
        </w:tc>
        <w:tc>
          <w:tcPr>
            <w:tcW w:type="dxa" w:w="864"/>
            <w:shd w:val="clear" w:color="auto" w:fill="1B355E"/>
          </w:tcPr>
          <w:p>
            <w:pPr>
              <w:spacing w:after="20" w:before="20"/>
              <w:jc w:val="center"/>
            </w:pPr>
            <w:r>
              <w:rPr>
                <w:b/>
                <w:color w:val="FFFFFF"/>
                <w:sz w:val="15"/>
              </w:rPr>
              <w:t>Share</w:t>
            </w:r>
          </w:p>
        </w:tc>
        <w:tc>
          <w:tcPr>
            <w:tcW w:type="dxa" w:w="1123"/>
            <w:shd w:val="clear" w:color="auto" w:fill="1B355E"/>
          </w:tcPr>
          <w:p>
            <w:pPr>
              <w:spacing w:after="20" w:before="20"/>
              <w:jc w:val="center"/>
            </w:pPr>
            <w:r>
              <w:rPr>
                <w:b/>
                <w:color w:val="FFFFFF"/>
                <w:sz w:val="15"/>
              </w:rPr>
              <w:t>Mean tenure</w:t>
            </w:r>
          </w:p>
        </w:tc>
        <w:tc>
          <w:tcPr>
            <w:tcW w:type="dxa" w:w="1123"/>
            <w:shd w:val="clear" w:color="auto" w:fill="1B355E"/>
          </w:tcPr>
          <w:p>
            <w:pPr>
              <w:spacing w:after="20" w:before="20"/>
              <w:jc w:val="center"/>
            </w:pPr>
            <w:r>
              <w:rPr>
                <w:b/>
                <w:color w:val="FFFFFF"/>
                <w:sz w:val="15"/>
              </w:rPr>
              <w:t>Mean monthly</w:t>
            </w:r>
          </w:p>
        </w:tc>
        <w:tc>
          <w:tcPr>
            <w:tcW w:type="dxa" w:w="1080"/>
            <w:shd w:val="clear" w:color="auto" w:fill="1B355E"/>
          </w:tcPr>
          <w:p>
            <w:pPr>
              <w:spacing w:after="20" w:before="20"/>
              <w:jc w:val="center"/>
            </w:pPr>
            <w:r>
              <w:rPr>
                <w:b/>
                <w:color w:val="FFFFFF"/>
                <w:sz w:val="15"/>
              </w:rPr>
              <w:t>Mean services</w:t>
            </w:r>
          </w:p>
        </w:tc>
        <w:tc>
          <w:tcPr>
            <w:tcW w:type="dxa" w:w="1210"/>
            <w:shd w:val="clear" w:color="auto" w:fill="1B355E"/>
          </w:tcPr>
          <w:p>
            <w:pPr>
              <w:spacing w:after="20" w:before="20"/>
              <w:jc w:val="center"/>
            </w:pPr>
            <w:r>
              <w:rPr>
                <w:b/>
                <w:color w:val="FFFFFF"/>
                <w:sz w:val="15"/>
              </w:rPr>
              <w:t>Churn rate</w:t>
            </w:r>
          </w:p>
        </w:tc>
      </w:tr>
      <w:tr>
        <w:tc>
          <w:tcPr>
            <w:tcW w:type="dxa" w:w="2131"/>
          </w:tcPr>
          <w:p>
            <w:pPr>
              <w:spacing w:after="20" w:before="20" w:line="254" w:lineRule="auto"/>
              <w:jc w:val="left"/>
            </w:pPr>
            <w:r>
              <w:rPr>
                <w:sz w:val="15"/>
              </w:rPr>
              <w:t>New High-Spend</w:t>
            </w:r>
          </w:p>
        </w:tc>
        <w:tc>
          <w:tcPr>
            <w:tcW w:type="dxa" w:w="749"/>
          </w:tcPr>
          <w:p>
            <w:pPr>
              <w:spacing w:after="20" w:before="20" w:line="254" w:lineRule="auto"/>
              <w:jc w:val="center"/>
            </w:pPr>
            <w:r>
              <w:rPr>
                <w:sz w:val="15"/>
              </w:rPr>
              <w:t>3</w:t>
            </w:r>
          </w:p>
        </w:tc>
        <w:tc>
          <w:tcPr>
            <w:tcW w:type="dxa" w:w="1037"/>
          </w:tcPr>
          <w:p>
            <w:pPr>
              <w:spacing w:after="20" w:before="20" w:line="254" w:lineRule="auto"/>
              <w:jc w:val="center"/>
            </w:pPr>
            <w:r>
              <w:rPr>
                <w:sz w:val="15"/>
              </w:rPr>
              <w:t>2 373</w:t>
            </w:r>
          </w:p>
        </w:tc>
        <w:tc>
          <w:tcPr>
            <w:tcW w:type="dxa" w:w="864"/>
          </w:tcPr>
          <w:p>
            <w:pPr>
              <w:spacing w:after="20" w:before="20" w:line="254" w:lineRule="auto"/>
              <w:jc w:val="center"/>
            </w:pPr>
            <w:r>
              <w:rPr>
                <w:sz w:val="15"/>
              </w:rPr>
              <w:t>33.69 %</w:t>
            </w:r>
          </w:p>
        </w:tc>
        <w:tc>
          <w:tcPr>
            <w:tcW w:type="dxa" w:w="1123"/>
          </w:tcPr>
          <w:p>
            <w:pPr>
              <w:spacing w:after="20" w:before="20" w:line="254" w:lineRule="auto"/>
              <w:jc w:val="center"/>
            </w:pPr>
            <w:r>
              <w:rPr>
                <w:sz w:val="15"/>
              </w:rPr>
              <w:t>15.05</w:t>
            </w:r>
          </w:p>
        </w:tc>
        <w:tc>
          <w:tcPr>
            <w:tcW w:type="dxa" w:w="1123"/>
          </w:tcPr>
          <w:p>
            <w:pPr>
              <w:spacing w:after="20" w:before="20" w:line="254" w:lineRule="auto"/>
              <w:jc w:val="center"/>
            </w:pPr>
            <w:r>
              <w:rPr>
                <w:sz w:val="15"/>
              </w:rPr>
              <w:t>77.58</w:t>
            </w:r>
          </w:p>
        </w:tc>
        <w:tc>
          <w:tcPr>
            <w:tcW w:type="dxa" w:w="1080"/>
          </w:tcPr>
          <w:p>
            <w:pPr>
              <w:spacing w:after="20" w:before="20" w:line="254" w:lineRule="auto"/>
              <w:jc w:val="center"/>
            </w:pPr>
            <w:r>
              <w:rPr>
                <w:sz w:val="15"/>
              </w:rPr>
              <w:t>1.83</w:t>
            </w:r>
          </w:p>
        </w:tc>
        <w:tc>
          <w:tcPr>
            <w:tcW w:type="dxa" w:w="1210"/>
          </w:tcPr>
          <w:p>
            <w:pPr>
              <w:spacing w:after="20" w:before="20" w:line="254" w:lineRule="auto"/>
              <w:jc w:val="center"/>
            </w:pPr>
            <w:r>
              <w:rPr>
                <w:b/>
                <w:sz w:val="15"/>
              </w:rPr>
              <w:t>47.37 %</w:t>
            </w:r>
          </w:p>
        </w:tc>
      </w:tr>
      <w:tr>
        <w:tc>
          <w:tcPr>
            <w:tcW w:type="dxa" w:w="2131"/>
            <w:shd w:val="clear" w:color="auto" w:fill="F2F5F9"/>
          </w:tcPr>
          <w:p>
            <w:pPr>
              <w:spacing w:after="20" w:before="20" w:line="254" w:lineRule="auto"/>
              <w:jc w:val="left"/>
            </w:pPr>
            <w:r>
              <w:rPr>
                <w:sz w:val="15"/>
              </w:rPr>
              <w:t>New Budget</w:t>
            </w:r>
          </w:p>
        </w:tc>
        <w:tc>
          <w:tcPr>
            <w:tcW w:type="dxa" w:w="749"/>
            <w:shd w:val="clear" w:color="auto" w:fill="F2F5F9"/>
          </w:tcPr>
          <w:p>
            <w:pPr>
              <w:spacing w:after="20" w:before="20" w:line="254" w:lineRule="auto"/>
              <w:jc w:val="center"/>
            </w:pPr>
            <w:r>
              <w:rPr>
                <w:sz w:val="15"/>
              </w:rPr>
              <w:t>0</w:t>
            </w:r>
          </w:p>
        </w:tc>
        <w:tc>
          <w:tcPr>
            <w:tcW w:type="dxa" w:w="1037"/>
            <w:shd w:val="clear" w:color="auto" w:fill="F2F5F9"/>
          </w:tcPr>
          <w:p>
            <w:pPr>
              <w:spacing w:after="20" w:before="20" w:line="254" w:lineRule="auto"/>
              <w:jc w:val="center"/>
            </w:pPr>
            <w:r>
              <w:rPr>
                <w:sz w:val="15"/>
              </w:rPr>
              <w:t>1 521</w:t>
            </w:r>
          </w:p>
        </w:tc>
        <w:tc>
          <w:tcPr>
            <w:tcW w:type="dxa" w:w="864"/>
            <w:shd w:val="clear" w:color="auto" w:fill="F2F5F9"/>
          </w:tcPr>
          <w:p>
            <w:pPr>
              <w:spacing w:after="20" w:before="20" w:line="254" w:lineRule="auto"/>
              <w:jc w:val="center"/>
            </w:pPr>
            <w:r>
              <w:rPr>
                <w:sz w:val="15"/>
              </w:rPr>
              <w:t>21.60 %</w:t>
            </w:r>
          </w:p>
        </w:tc>
        <w:tc>
          <w:tcPr>
            <w:tcW w:type="dxa" w:w="1123"/>
            <w:shd w:val="clear" w:color="auto" w:fill="F2F5F9"/>
          </w:tcPr>
          <w:p>
            <w:pPr>
              <w:spacing w:after="20" w:before="20" w:line="254" w:lineRule="auto"/>
              <w:jc w:val="center"/>
            </w:pPr>
            <w:r>
              <w:rPr>
                <w:sz w:val="15"/>
              </w:rPr>
              <w:t>10.16</w:t>
            </w:r>
          </w:p>
        </w:tc>
        <w:tc>
          <w:tcPr>
            <w:tcW w:type="dxa" w:w="1123"/>
            <w:shd w:val="clear" w:color="auto" w:fill="F2F5F9"/>
          </w:tcPr>
          <w:p>
            <w:pPr>
              <w:spacing w:after="20" w:before="20" w:line="254" w:lineRule="auto"/>
              <w:jc w:val="center"/>
            </w:pPr>
            <w:r>
              <w:rPr>
                <w:sz w:val="15"/>
              </w:rPr>
              <w:t>29.58</w:t>
            </w:r>
          </w:p>
        </w:tc>
        <w:tc>
          <w:tcPr>
            <w:tcW w:type="dxa" w:w="1080"/>
            <w:shd w:val="clear" w:color="auto" w:fill="F2F5F9"/>
          </w:tcPr>
          <w:p>
            <w:pPr>
              <w:spacing w:after="20" w:before="20" w:line="254" w:lineRule="auto"/>
              <w:jc w:val="center"/>
            </w:pPr>
            <w:r>
              <w:rPr>
                <w:sz w:val="15"/>
              </w:rPr>
              <w:t>0.30</w:t>
            </w:r>
          </w:p>
        </w:tc>
        <w:tc>
          <w:tcPr>
            <w:tcW w:type="dxa" w:w="1210"/>
            <w:shd w:val="clear" w:color="auto" w:fill="F2F5F9"/>
          </w:tcPr>
          <w:p>
            <w:pPr>
              <w:spacing w:after="20" w:before="20" w:line="254" w:lineRule="auto"/>
              <w:jc w:val="center"/>
            </w:pPr>
            <w:r>
              <w:rPr>
                <w:sz w:val="15"/>
              </w:rPr>
              <w:t>24.19 %</w:t>
            </w:r>
          </w:p>
        </w:tc>
      </w:tr>
      <w:tr>
        <w:tc>
          <w:tcPr>
            <w:tcW w:type="dxa" w:w="2131"/>
          </w:tcPr>
          <w:p>
            <w:pPr>
              <w:spacing w:after="20" w:before="20" w:line="254" w:lineRule="auto"/>
              <w:jc w:val="left"/>
            </w:pPr>
            <w:r>
              <w:rPr>
                <w:sz w:val="15"/>
              </w:rPr>
              <w:t>Established High-Value</w:t>
            </w:r>
          </w:p>
        </w:tc>
        <w:tc>
          <w:tcPr>
            <w:tcW w:type="dxa" w:w="749"/>
          </w:tcPr>
          <w:p>
            <w:pPr>
              <w:spacing w:after="20" w:before="20" w:line="254" w:lineRule="auto"/>
              <w:jc w:val="center"/>
            </w:pPr>
            <w:r>
              <w:rPr>
                <w:sz w:val="15"/>
              </w:rPr>
              <w:t>1</w:t>
            </w:r>
          </w:p>
        </w:tc>
        <w:tc>
          <w:tcPr>
            <w:tcW w:type="dxa" w:w="1037"/>
          </w:tcPr>
          <w:p>
            <w:pPr>
              <w:spacing w:after="20" w:before="20" w:line="254" w:lineRule="auto"/>
              <w:jc w:val="center"/>
            </w:pPr>
            <w:r>
              <w:rPr>
                <w:sz w:val="15"/>
              </w:rPr>
              <w:t>2 158</w:t>
            </w:r>
          </w:p>
        </w:tc>
        <w:tc>
          <w:tcPr>
            <w:tcW w:type="dxa" w:w="864"/>
          </w:tcPr>
          <w:p>
            <w:pPr>
              <w:spacing w:after="20" w:before="20" w:line="254" w:lineRule="auto"/>
              <w:jc w:val="center"/>
            </w:pPr>
            <w:r>
              <w:rPr>
                <w:sz w:val="15"/>
              </w:rPr>
              <w:t>30.64 %</w:t>
            </w:r>
          </w:p>
        </w:tc>
        <w:tc>
          <w:tcPr>
            <w:tcW w:type="dxa" w:w="1123"/>
          </w:tcPr>
          <w:p>
            <w:pPr>
              <w:spacing w:after="20" w:before="20" w:line="254" w:lineRule="auto"/>
              <w:jc w:val="center"/>
            </w:pPr>
            <w:r>
              <w:rPr>
                <w:sz w:val="15"/>
              </w:rPr>
              <w:t>56.89</w:t>
            </w:r>
          </w:p>
        </w:tc>
        <w:tc>
          <w:tcPr>
            <w:tcW w:type="dxa" w:w="1123"/>
          </w:tcPr>
          <w:p>
            <w:pPr>
              <w:spacing w:after="20" w:before="20" w:line="254" w:lineRule="auto"/>
              <w:jc w:val="center"/>
            </w:pPr>
            <w:r>
              <w:rPr>
                <w:sz w:val="15"/>
              </w:rPr>
              <w:t>90.59</w:t>
            </w:r>
          </w:p>
        </w:tc>
        <w:tc>
          <w:tcPr>
            <w:tcW w:type="dxa" w:w="1080"/>
          </w:tcPr>
          <w:p>
            <w:pPr>
              <w:spacing w:after="20" w:before="20" w:line="254" w:lineRule="auto"/>
              <w:jc w:val="center"/>
            </w:pPr>
            <w:r>
              <w:rPr>
                <w:sz w:val="15"/>
              </w:rPr>
              <w:t>4.16</w:t>
            </w:r>
          </w:p>
        </w:tc>
        <w:tc>
          <w:tcPr>
            <w:tcW w:type="dxa" w:w="1210"/>
          </w:tcPr>
          <w:p>
            <w:pPr>
              <w:spacing w:after="20" w:before="20" w:line="254" w:lineRule="auto"/>
              <w:jc w:val="center"/>
            </w:pPr>
            <w:r>
              <w:rPr>
                <w:sz w:val="15"/>
              </w:rPr>
              <w:t>15.43 %</w:t>
            </w:r>
          </w:p>
        </w:tc>
      </w:tr>
      <w:tr>
        <w:tc>
          <w:tcPr>
            <w:tcW w:type="dxa" w:w="2131"/>
            <w:shd w:val="clear" w:color="auto" w:fill="F2F5F9"/>
          </w:tcPr>
          <w:p>
            <w:pPr>
              <w:spacing w:after="20" w:before="20" w:line="254" w:lineRule="auto"/>
              <w:jc w:val="left"/>
            </w:pPr>
            <w:r>
              <w:rPr>
                <w:sz w:val="15"/>
              </w:rPr>
              <w:t>Established Budget</w:t>
            </w:r>
          </w:p>
        </w:tc>
        <w:tc>
          <w:tcPr>
            <w:tcW w:type="dxa" w:w="749"/>
            <w:shd w:val="clear" w:color="auto" w:fill="F2F5F9"/>
          </w:tcPr>
          <w:p>
            <w:pPr>
              <w:spacing w:after="20" w:before="20" w:line="254" w:lineRule="auto"/>
              <w:jc w:val="center"/>
            </w:pPr>
            <w:r>
              <w:rPr>
                <w:sz w:val="15"/>
              </w:rPr>
              <w:t>2</w:t>
            </w:r>
          </w:p>
        </w:tc>
        <w:tc>
          <w:tcPr>
            <w:tcW w:type="dxa" w:w="1037"/>
            <w:shd w:val="clear" w:color="auto" w:fill="F2F5F9"/>
          </w:tcPr>
          <w:p>
            <w:pPr>
              <w:spacing w:after="20" w:before="20" w:line="254" w:lineRule="auto"/>
              <w:jc w:val="center"/>
            </w:pPr>
            <w:r>
              <w:rPr>
                <w:sz w:val="15"/>
              </w:rPr>
              <w:t>991</w:t>
            </w:r>
          </w:p>
        </w:tc>
        <w:tc>
          <w:tcPr>
            <w:tcW w:type="dxa" w:w="864"/>
            <w:shd w:val="clear" w:color="auto" w:fill="F2F5F9"/>
          </w:tcPr>
          <w:p>
            <w:pPr>
              <w:spacing w:after="20" w:before="20" w:line="254" w:lineRule="auto"/>
              <w:jc w:val="center"/>
            </w:pPr>
            <w:r>
              <w:rPr>
                <w:sz w:val="15"/>
              </w:rPr>
              <w:t>14.07 %</w:t>
            </w:r>
          </w:p>
        </w:tc>
        <w:tc>
          <w:tcPr>
            <w:tcW w:type="dxa" w:w="1123"/>
            <w:shd w:val="clear" w:color="auto" w:fill="F2F5F9"/>
          </w:tcPr>
          <w:p>
            <w:pPr>
              <w:spacing w:after="20" w:before="20" w:line="254" w:lineRule="auto"/>
              <w:jc w:val="center"/>
            </w:pPr>
            <w:r>
              <w:rPr>
                <w:sz w:val="15"/>
              </w:rPr>
              <w:t>54.54</w:t>
            </w:r>
          </w:p>
        </w:tc>
        <w:tc>
          <w:tcPr>
            <w:tcW w:type="dxa" w:w="1123"/>
            <w:shd w:val="clear" w:color="auto" w:fill="F2F5F9"/>
          </w:tcPr>
          <w:p>
            <w:pPr>
              <w:spacing w:after="20" w:before="20" w:line="254" w:lineRule="auto"/>
              <w:jc w:val="center"/>
            </w:pPr>
            <w:r>
              <w:rPr>
                <w:sz w:val="15"/>
              </w:rPr>
              <w:t>31.81</w:t>
            </w:r>
          </w:p>
        </w:tc>
        <w:tc>
          <w:tcPr>
            <w:tcW w:type="dxa" w:w="1080"/>
            <w:shd w:val="clear" w:color="auto" w:fill="F2F5F9"/>
          </w:tcPr>
          <w:p>
            <w:pPr>
              <w:spacing w:after="20" w:before="20" w:line="254" w:lineRule="auto"/>
              <w:jc w:val="center"/>
            </w:pPr>
            <w:r>
              <w:rPr>
                <w:sz w:val="15"/>
              </w:rPr>
              <w:t>0.58</w:t>
            </w:r>
          </w:p>
        </w:tc>
        <w:tc>
          <w:tcPr>
            <w:tcW w:type="dxa" w:w="1210"/>
            <w:shd w:val="clear" w:color="auto" w:fill="F2F5F9"/>
          </w:tcPr>
          <w:p>
            <w:pPr>
              <w:spacing w:after="20" w:before="20" w:line="254" w:lineRule="auto"/>
              <w:jc w:val="center"/>
            </w:pPr>
            <w:r>
              <w:rPr>
                <w:b/>
                <w:sz w:val="15"/>
              </w:rPr>
              <w:t>4.44 %</w:t>
            </w:r>
          </w:p>
        </w:tc>
      </w:tr>
    </w:tbl>
    <w:p>
      <w:pPr>
        <w:spacing w:before="60" w:after="200"/>
        <w:jc w:val="center"/>
      </w:pPr>
      <w:r>
        <w:rPr>
          <w:i/>
          <w:color w:val="555F6B"/>
          <w:sz w:val="17"/>
        </w:rPr>
        <w:t>Table 31: The four segments, ordered by churn rate. Names derive from centroid geometry; churn rate is a measured outcome, not a naming input.</w:t>
      </w:r>
    </w:p>
    <w:p>
      <w:pPr>
        <w:keepNext/>
        <w:spacing w:before="120" w:after="60"/>
        <w:jc w:val="center"/>
      </w:pPr>
      <w:r>
        <w:drawing>
          <wp:inline xmlns:a="http://schemas.openxmlformats.org/drawingml/2006/main" xmlns:pic="http://schemas.openxmlformats.org/drawingml/2006/picture">
            <wp:extent cx="5623560" cy="2777903"/>
            <wp:docPr id="15" name="Picture 15"/>
            <wp:cNvGraphicFramePr>
              <a:graphicFrameLocks noChangeAspect="1"/>
            </wp:cNvGraphicFramePr>
            <a:graphic>
              <a:graphicData uri="http://schemas.openxmlformats.org/drawingml/2006/picture">
                <pic:pic>
                  <pic:nvPicPr>
                    <pic:cNvPr id="0" name="phase5_cluster_profiles.png"/>
                    <pic:cNvPicPr/>
                  </pic:nvPicPr>
                  <pic:blipFill>
                    <a:blip r:embed="rId23"/>
                    <a:stretch>
                      <a:fillRect/>
                    </a:stretch>
                  </pic:blipFill>
                  <pic:spPr>
                    <a:xfrm>
                      <a:off x="0" y="0"/>
                      <a:ext cx="5623560" cy="2777903"/>
                    </a:xfrm>
                    <a:prstGeom prst="rect"/>
                  </pic:spPr>
                </pic:pic>
              </a:graphicData>
            </a:graphic>
          </wp:inline>
        </w:drawing>
      </w:r>
    </w:p>
    <w:p>
      <w:pPr>
        <w:spacing w:before="60" w:after="220"/>
        <w:jc w:val="center"/>
      </w:pPr>
      <w:r>
        <w:rPr>
          <w:i/>
          <w:color w:val="555F6B"/>
          <w:sz w:val="17"/>
        </w:rPr>
        <w:t>Figure 15: Segment profile comparison across tenure, monthly charges, service count and churn rate.</w:t>
      </w:r>
    </w:p>
    <w:p>
      <w:pPr>
        <w:keepNext/>
        <w:spacing w:before="120" w:after="60"/>
        <w:jc w:val="center"/>
      </w:pPr>
      <w:r>
        <w:drawing>
          <wp:inline xmlns:a="http://schemas.openxmlformats.org/drawingml/2006/main" xmlns:pic="http://schemas.openxmlformats.org/drawingml/2006/picture">
            <wp:extent cx="5486400" cy="2958767"/>
            <wp:docPr id="16" name="Picture 16"/>
            <wp:cNvGraphicFramePr>
              <a:graphicFrameLocks noChangeAspect="1"/>
            </wp:cNvGraphicFramePr>
            <a:graphic>
              <a:graphicData uri="http://schemas.openxmlformats.org/drawingml/2006/picture">
                <pic:pic>
                  <pic:nvPicPr>
                    <pic:cNvPr id="0" name="phase5_customer_segments.png"/>
                    <pic:cNvPicPr/>
                  </pic:nvPicPr>
                  <pic:blipFill>
                    <a:blip r:embed="rId24"/>
                    <a:stretch>
                      <a:fillRect/>
                    </a:stretch>
                  </pic:blipFill>
                  <pic:spPr>
                    <a:xfrm>
                      <a:off x="0" y="0"/>
                      <a:ext cx="5486400" cy="2958767"/>
                    </a:xfrm>
                    <a:prstGeom prst="rect"/>
                  </pic:spPr>
                </pic:pic>
              </a:graphicData>
            </a:graphic>
          </wp:inline>
        </w:drawing>
      </w:r>
    </w:p>
    <w:p>
      <w:pPr>
        <w:spacing w:before="60" w:after="220"/>
        <w:jc w:val="center"/>
      </w:pPr>
      <w:r>
        <w:rPr>
          <w:i/>
          <w:color w:val="555F6B"/>
          <w:sz w:val="17"/>
        </w:rPr>
        <w:t>Figure 16: Segments plotted on tenure against monthly charges, with marker size encoding service count.</w:t>
      </w:r>
    </w:p>
    <w:p>
      <w:pPr>
        <w:keepNext/>
        <w:spacing w:before="200" w:after="60"/>
      </w:pPr>
      <w:r>
        <w:rPr>
          <w:b/>
          <w:color w:val="0B5C7A"/>
          <w:sz w:val="22"/>
        </w:rPr>
        <w:t>Reading the four segments</w:t>
      </w:r>
    </w:p>
    <w:p>
      <w:pPr>
        <w:pStyle w:val="ListBullet"/>
        <w:spacing w:after="60" w:line="264" w:lineRule="auto"/>
        <w:ind w:left="547"/>
        <w:jc w:val="both"/>
      </w:pPr>
      <w:r>
        <w:rPr>
          <w:b/>
          <w:sz w:val="21"/>
        </w:rPr>
        <w:t xml:space="preserve">New High-Spend — the retention priority. </w:t>
      </w:r>
      <w:r>
        <w:rPr>
          <w:b w:val="0"/>
          <w:sz w:val="21"/>
        </w:rPr>
        <w:t>2 373 customers, a third of the base, averaging fifteen months of tenure and 77.58 in monthly charges. Nearly half leave. This segment combines the highest churn rate with substantial recurring revenue, making it the largest pool of recoverable revenue in the business.</w:t>
      </w:r>
    </w:p>
    <w:p>
      <w:pPr>
        <w:pStyle w:val="ListBullet"/>
        <w:spacing w:after="60" w:line="264" w:lineRule="auto"/>
        <w:ind w:left="547"/>
        <w:jc w:val="both"/>
      </w:pPr>
      <w:r>
        <w:rPr>
          <w:b/>
          <w:sz w:val="21"/>
        </w:rPr>
        <w:t xml:space="preserve">Established High-Value — protect, do not discount. </w:t>
      </w:r>
      <w:r>
        <w:rPr>
          <w:b w:val="0"/>
          <w:sz w:val="21"/>
        </w:rPr>
        <w:t>2 158 customers averaging fifty-seven months, 90.59 per month and 4.16 add-on services. At 15.43 % their churn is well below base, and their 5 160 mean accumulated revenue makes each loss expensive. The correct posture is service quality and early-warning monitoring.</w:t>
      </w:r>
    </w:p>
    <w:p>
      <w:pPr>
        <w:pStyle w:val="ListBullet"/>
        <w:spacing w:after="60" w:line="264" w:lineRule="auto"/>
        <w:ind w:left="547"/>
        <w:jc w:val="both"/>
      </w:pPr>
      <w:r>
        <w:rPr>
          <w:b/>
          <w:sz w:val="21"/>
        </w:rPr>
        <w:t xml:space="preserve">New Budget — low value, moderate risk. </w:t>
      </w:r>
      <w:r>
        <w:rPr>
          <w:b w:val="0"/>
          <w:sz w:val="21"/>
        </w:rPr>
        <w:t>1 521 customers on 29.58 per month with almost no add-on adoption. At 24.19 % their churn sits below base and their low revenue means each loss is small. Retention spend here earns a poor return.</w:t>
      </w:r>
    </w:p>
    <w:p>
      <w:pPr>
        <w:pStyle w:val="ListBullet"/>
        <w:spacing w:after="60" w:line="264" w:lineRule="auto"/>
        <w:ind w:left="547"/>
        <w:jc w:val="both"/>
      </w:pPr>
      <w:r>
        <w:rPr>
          <w:b/>
          <w:sz w:val="21"/>
        </w:rPr>
        <w:t xml:space="preserve">Established Budget — leave alone. </w:t>
      </w:r>
      <w:r>
        <w:rPr>
          <w:b w:val="0"/>
          <w:sz w:val="21"/>
        </w:rPr>
        <w:t>991 long-tenured customers on minimal spend, churning at just 4.44 %. The most stable group in the base; no intervention needed.</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The segments separate churn strongly without ever seeing it.</w:t>
            </w:r>
          </w:p>
          <w:p>
            <w:pPr>
              <w:spacing w:after="0"/>
              <w:jc w:val="both"/>
            </w:pPr>
            <w:r>
              <w:rPr>
                <w:sz w:val="19"/>
              </w:rPr>
              <w:t>Churn rates across the four segments span 4.44 % to 47.37 %, a ten-fold spread, and K-Means was given only tenure, service count and monthly charges. This is the evidence that the behavioural structure is real rather than an artefact of the naming rule — and it is exactly the demonstration the leaking version could not make, because there the separation was partly built into the labels by construction.</w:t>
            </w:r>
          </w:p>
        </w:tc>
      </w:tr>
    </w:tbl>
    <w:p>
      <w:pPr>
        <w:spacing w:after="120"/>
      </w:pPr>
    </w:p>
    <w:p>
      <w:r>
        <w:br w:type="page"/>
      </w:r>
    </w:p>
    <w:p>
      <w:pPr>
        <w:spacing w:after="0"/>
      </w:pPr>
    </w:p>
    <w:p>
      <w:pPr>
        <w:keepNext/>
        <w:spacing w:before="80" w:after="40"/>
        <w:pBdr>
          <w:bottom w:val="single" w:sz="10" w:space="3" w:color="1B355E"/>
        </w:pBdr>
      </w:pPr>
      <w:r>
        <w:rPr>
          <w:b/>
          <w:color w:val="1B355E"/>
          <w:sz w:val="30"/>
        </w:rPr>
        <w:t>16.  Phase 6 — Model Development</w:t>
      </w:r>
    </w:p>
    <w:p>
      <w:pPr>
        <w:spacing w:after="40"/>
      </w:pPr>
    </w:p>
    <w:p>
      <w:pPr>
        <w:keepNext/>
        <w:spacing w:before="240" w:after="80"/>
      </w:pPr>
      <w:r>
        <w:rPr>
          <w:b/>
          <w:color w:val="1B355E"/>
          <w:sz w:val="25"/>
        </w:rPr>
        <w:t>16.1  Purpose</w:t>
      </w:r>
    </w:p>
    <w:p>
      <w:pPr>
        <w:spacing w:after="120" w:before="0"/>
        <w:jc w:val="both"/>
      </w:pPr>
      <w:r>
        <w:rPr>
          <w:b w:val="0"/>
          <w:i w:val="0"/>
          <w:sz w:val="21"/>
        </w:rPr>
        <w:t xml:space="preserve">Phase 6 trains five classifiers, selects among them by cross-validated ROC-AUC, tunes the strongest family by randomized search, evaluates every candidate on the hold-out partition and serialises the winner with its full preprocessing pipeline. </w:t>
      </w:r>
      <w:r>
        <w:rPr>
          <w:b/>
          <w:i w:val="0"/>
          <w:sz w:val="21"/>
        </w:rPr>
        <w:t>Modified during remediation</w:t>
      </w:r>
      <w:r>
        <w:rPr>
          <w:b w:val="0"/>
          <w:i w:val="0"/>
          <w:sz w:val="21"/>
        </w:rPr>
        <w:t xml:space="preserve"> for defects 1 and 2, and again in the second round so labels are assigned by an explicit probability threshold.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center"/>
            </w:pPr>
            <w:r>
              <w:rPr>
                <w:rFonts w:ascii="Consolas" w:hAnsi="Consolas" w:eastAsia="Consolas"/>
                <w:color w:val="8A2C1F"/>
                <w:sz w:val="16"/>
              </w:rPr>
              <w:t>data/Customer-Churn-Segmented.csv</w:t>
            </w:r>
            <w:r>
              <w:rPr>
                <w:sz w:val="17"/>
              </w:rPr>
              <w:t xml:space="preserve"> (7 043 × 31)</w:t>
            </w:r>
          </w:p>
        </w:tc>
      </w:tr>
      <w:tr>
        <w:tc>
          <w:tcPr>
            <w:tcW w:type="dxa" w:w="2232"/>
            <w:shd w:val="clear" w:color="auto" w:fill="F2F5F9"/>
          </w:tcPr>
          <w:p>
            <w:pPr>
              <w:spacing w:after="20" w:before="20" w:line="254" w:lineRule="auto"/>
              <w:jc w:val="left"/>
            </w:pPr>
            <w:r>
              <w:rPr>
                <w:sz w:val="17"/>
              </w:rPr>
              <w:t>Outputs</w:t>
            </w:r>
          </w:p>
        </w:tc>
        <w:tc>
          <w:tcPr>
            <w:tcW w:type="dxa" w:w="7085"/>
            <w:shd w:val="clear" w:color="auto" w:fill="F2F5F9"/>
          </w:tcPr>
          <w:p>
            <w:pPr>
              <w:spacing w:after="20" w:before="20" w:line="254" w:lineRule="auto"/>
              <w:jc w:val="center"/>
            </w:pPr>
            <w:r>
              <w:rPr>
                <w:rFonts w:ascii="Consolas" w:hAnsi="Consolas" w:eastAsia="Consolas"/>
                <w:color w:val="8A2C1F"/>
                <w:sz w:val="16"/>
              </w:rPr>
              <w:t>best_churn_model.joblib</w:t>
            </w:r>
            <w:r>
              <w:rPr>
                <w:sz w:val="17"/>
              </w:rPr>
              <w:t xml:space="preserve">, </w:t>
            </w:r>
            <w:r>
              <w:rPr>
                <w:rFonts w:ascii="Consolas" w:hAnsi="Consolas" w:eastAsia="Consolas"/>
                <w:color w:val="8A2C1F"/>
                <w:sz w:val="16"/>
              </w:rPr>
              <w:t>phase6_model_performance.csv</w:t>
            </w:r>
            <w:r>
              <w:rPr>
                <w:sz w:val="17"/>
              </w:rPr>
              <w:t>, 3 charts</w:t>
            </w:r>
          </w:p>
        </w:tc>
      </w:tr>
      <w:tr>
        <w:tc>
          <w:tcPr>
            <w:tcW w:type="dxa" w:w="2232"/>
          </w:tcPr>
          <w:p>
            <w:pPr>
              <w:spacing w:after="20" w:before="20" w:line="254" w:lineRule="auto"/>
              <w:jc w:val="left"/>
            </w:pPr>
            <w:r>
              <w:rPr>
                <w:sz w:val="17"/>
              </w:rPr>
              <w:t>Models trained</w:t>
            </w:r>
          </w:p>
        </w:tc>
        <w:tc>
          <w:tcPr>
            <w:tcW w:type="dxa" w:w="7085"/>
          </w:tcPr>
          <w:p>
            <w:pPr>
              <w:spacing w:after="20" w:before="20" w:line="254" w:lineRule="auto"/>
              <w:jc w:val="left"/>
            </w:pPr>
            <w:r>
              <w:rPr>
                <w:sz w:val="17"/>
              </w:rPr>
              <w:t>5 (LR, RF, SVM, XGBoost baseline, XGBoost tuned)</w:t>
            </w:r>
          </w:p>
        </w:tc>
      </w:tr>
      <w:tr>
        <w:tc>
          <w:tcPr>
            <w:tcW w:type="dxa" w:w="2232"/>
            <w:shd w:val="clear" w:color="auto" w:fill="F2F5F9"/>
          </w:tcPr>
          <w:p>
            <w:pPr>
              <w:spacing w:after="20" w:before="20" w:line="254" w:lineRule="auto"/>
              <w:jc w:val="left"/>
            </w:pPr>
            <w:r>
              <w:rPr>
                <w:sz w:val="17"/>
              </w:rPr>
              <w:t>Split</w:t>
            </w:r>
          </w:p>
        </w:tc>
        <w:tc>
          <w:tcPr>
            <w:tcW w:type="dxa" w:w="7085"/>
            <w:shd w:val="clear" w:color="auto" w:fill="F2F5F9"/>
          </w:tcPr>
          <w:p>
            <w:pPr>
              <w:spacing w:after="20" w:before="20" w:line="254" w:lineRule="auto"/>
              <w:jc w:val="left"/>
            </w:pPr>
            <w:r>
              <w:rPr>
                <w:rFonts w:ascii="Consolas" w:hAnsi="Consolas" w:eastAsia="Consolas"/>
                <w:color w:val="8A2C1F"/>
                <w:sz w:val="16"/>
              </w:rPr>
              <w:t>TEST_SIZE = 0.20</w:t>
            </w:r>
            <w:r>
              <w:rPr>
                <w:sz w:val="17"/>
              </w:rPr>
              <w:t xml:space="preserve"> — 5 634 train / 1 409 test</w:t>
            </w:r>
          </w:p>
        </w:tc>
      </w:tr>
      <w:tr>
        <w:tc>
          <w:tcPr>
            <w:tcW w:type="dxa" w:w="2232"/>
          </w:tcPr>
          <w:p>
            <w:pPr>
              <w:spacing w:after="20" w:before="20" w:line="254" w:lineRule="auto"/>
              <w:jc w:val="left"/>
            </w:pPr>
            <w:r>
              <w:rPr>
                <w:sz w:val="17"/>
              </w:rPr>
              <w:t>Labelling</w:t>
            </w:r>
          </w:p>
        </w:tc>
        <w:tc>
          <w:tcPr>
            <w:tcW w:type="dxa" w:w="7085"/>
          </w:tcPr>
          <w:p>
            <w:pPr>
              <w:spacing w:after="20" w:before="20" w:line="254" w:lineRule="auto"/>
              <w:jc w:val="center"/>
            </w:pPr>
            <w:r>
              <w:rPr>
                <w:rFonts w:ascii="Consolas" w:hAnsi="Consolas" w:eastAsia="Consolas"/>
                <w:color w:val="8A2C1F"/>
                <w:sz w:val="16"/>
              </w:rPr>
              <w:t>predict_proba &gt;= DECISION_THRESHOLD</w:t>
            </w:r>
            <w:r>
              <w:rPr>
                <w:sz w:val="17"/>
              </w:rPr>
              <w:t xml:space="preserve"> (0.50)</w:t>
            </w:r>
          </w:p>
        </w:tc>
      </w:tr>
      <w:tr>
        <w:tc>
          <w:tcPr>
            <w:tcW w:type="dxa" w:w="2232"/>
            <w:shd w:val="clear" w:color="auto" w:fill="F2F5F9"/>
          </w:tcPr>
          <w:p>
            <w:pPr>
              <w:spacing w:after="20" w:before="20" w:line="254" w:lineRule="auto"/>
              <w:jc w:val="left"/>
            </w:pPr>
            <w:r>
              <w:rPr>
                <w:sz w:val="17"/>
              </w:rPr>
              <w:t>Status</w:t>
            </w:r>
          </w:p>
        </w:tc>
        <w:tc>
          <w:tcPr>
            <w:tcW w:type="dxa" w:w="7085"/>
            <w:shd w:val="clear" w:color="auto" w:fill="F2F5F9"/>
          </w:tcPr>
          <w:p>
            <w:pPr>
              <w:spacing w:after="20" w:before="20" w:line="254" w:lineRule="auto"/>
              <w:jc w:val="center"/>
            </w:pPr>
            <w:r>
              <w:rPr>
                <w:b/>
                <w:sz w:val="17"/>
              </w:rPr>
              <w:t>Modified — defects 1, 2 and issue 4</w:t>
            </w:r>
          </w:p>
        </w:tc>
      </w:tr>
    </w:tbl>
    <w:p>
      <w:pPr>
        <w:spacing w:before="60" w:after="200"/>
        <w:jc w:val="center"/>
      </w:pPr>
      <w:r>
        <w:rPr>
          <w:i/>
          <w:color w:val="555F6B"/>
          <w:sz w:val="17"/>
        </w:rPr>
        <w:t>Table 32: Phase 6 interface summary.</w:t>
      </w:r>
    </w:p>
    <w:p>
      <w:pPr>
        <w:keepNext/>
        <w:spacing w:before="240" w:after="80"/>
      </w:pPr>
      <w:r>
        <w:rPr>
          <w:b/>
          <w:color w:val="1B355E"/>
          <w:sz w:val="25"/>
        </w:rPr>
        <w:t>16.2  Leakage-safe preprocessing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numeric_transformer = Pipeline(steps=[</w:t>
            </w:r>
          </w:p>
          <w:p>
            <w:pPr>
              <w:spacing w:after="0" w:before="0" w:line="240" w:lineRule="auto"/>
            </w:pPr>
            <w:r>
              <w:rPr>
                <w:rFonts w:ascii="Consolas" w:hAnsi="Consolas" w:eastAsia="Consolas"/>
                <w:color w:val="1A232E"/>
                <w:sz w:val="16"/>
              </w:rPr>
              <w:t xml:space="preserve">    ("imputer", SimpleImputer(strategy="median")),</w:t>
            </w:r>
          </w:p>
          <w:p>
            <w:pPr>
              <w:spacing w:after="0" w:before="0" w:line="240" w:lineRule="auto"/>
            </w:pPr>
            <w:r>
              <w:rPr>
                <w:rFonts w:ascii="Consolas" w:hAnsi="Consolas" w:eastAsia="Consolas"/>
                <w:color w:val="1A232E"/>
                <w:sz w:val="16"/>
              </w:rPr>
              <w:t xml:space="preserve">    ("scaler", StandardScaler())])</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categorical_transformer = Pipeline(steps=[</w:t>
            </w:r>
          </w:p>
          <w:p>
            <w:pPr>
              <w:spacing w:after="0" w:before="0" w:line="240" w:lineRule="auto"/>
            </w:pPr>
            <w:r>
              <w:rPr>
                <w:rFonts w:ascii="Consolas" w:hAnsi="Consolas" w:eastAsia="Consolas"/>
                <w:color w:val="1A232E"/>
                <w:sz w:val="16"/>
              </w:rPr>
              <w:t xml:space="preserve">    ("imputer", SimpleImputer(strategy="most_frequent")),</w:t>
            </w:r>
          </w:p>
          <w:p>
            <w:pPr>
              <w:spacing w:after="0" w:before="0" w:line="240" w:lineRule="auto"/>
            </w:pPr>
            <w:r>
              <w:rPr>
                <w:rFonts w:ascii="Consolas" w:hAnsi="Consolas" w:eastAsia="Consolas"/>
                <w:color w:val="1A232E"/>
                <w:sz w:val="16"/>
              </w:rPr>
              <w:t xml:space="preserve">    ("encoder", OneHotEncoder(handle_unknown="ignore"))])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preprocessor = ColumnTransformer(transformers=[</w:t>
            </w:r>
          </w:p>
          <w:p>
            <w:pPr>
              <w:spacing w:after="0" w:before="0" w:line="240" w:lineRule="auto"/>
            </w:pPr>
            <w:r>
              <w:rPr>
                <w:rFonts w:ascii="Consolas" w:hAnsi="Consolas" w:eastAsia="Consolas"/>
                <w:color w:val="1A232E"/>
                <w:sz w:val="16"/>
              </w:rPr>
              <w:t xml:space="preserve">    ("numeric", numeric_transformer, numeric_features),</w:t>
            </w:r>
          </w:p>
          <w:p>
            <w:pPr>
              <w:spacing w:after="0" w:before="0" w:line="240" w:lineRule="auto"/>
            </w:pPr>
            <w:r>
              <w:rPr>
                <w:rFonts w:ascii="Consolas" w:hAnsi="Consolas" w:eastAsia="Consolas"/>
                <w:color w:val="1A232E"/>
                <w:sz w:val="16"/>
              </w:rPr>
              <w:t xml:space="preserve">    ("categorical", categorical_transformer, categorical_features)])</w:t>
            </w:r>
          </w:p>
        </w:tc>
      </w:tr>
    </w:tbl>
    <w:p>
      <w:pPr>
        <w:spacing w:after="80"/>
      </w:pPr>
    </w:p>
    <w:p>
      <w:pPr>
        <w:spacing w:after="120" w:before="0"/>
        <w:jc w:val="both"/>
      </w:pPr>
      <w:r>
        <w:rPr>
          <w:b w:val="0"/>
          <w:i w:val="0"/>
          <w:sz w:val="21"/>
        </w:rPr>
        <w:t xml:space="preserve">This is the most important structural decision in phase 6, and the delivered code got it right. Wrapping imputation, scaling and encoding inside a ColumnTransformer that is itself the first pipeline step means the fitted statistics — medians, means, standard deviations, category vocabularies — are learned only from the training rows of each fold and then applied to the validation rows. It is also why defect 3 had to be fixed by merging </w:t>
      </w:r>
      <w:r>
        <w:rPr>
          <w:b/>
          <w:i w:val="0"/>
          <w:sz w:val="21"/>
        </w:rPr>
        <w:t>unscaled</w:t>
      </w:r>
      <w:r>
        <w:rPr>
          <w:b w:val="0"/>
          <w:i w:val="0"/>
          <w:sz w:val="21"/>
        </w:rPr>
        <w:t xml:space="preserve"> features: handing this pipeline pre-scaled columns would have defeated the very protection it provides.</w:t>
      </w:r>
    </w:p>
    <w:p>
      <w:pPr>
        <w:keepNext/>
        <w:spacing w:before="240" w:after="80"/>
      </w:pPr>
      <w:r>
        <w:rPr>
          <w:b/>
          <w:color w:val="1B355E"/>
          <w:sz w:val="25"/>
        </w:rPr>
        <w:t>16.3  Class-imbalance correction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negative_class_count = (y_train == 0).sum()</w:t>
            </w:r>
          </w:p>
          <w:p>
            <w:pPr>
              <w:spacing w:after="0" w:before="0" w:line="240" w:lineRule="auto"/>
            </w:pPr>
            <w:r>
              <w:rPr>
                <w:rFonts w:ascii="Consolas" w:hAnsi="Consolas" w:eastAsia="Consolas"/>
                <w:color w:val="1A232E"/>
                <w:sz w:val="16"/>
              </w:rPr>
              <w:t>positive_class_count = (y_train == 1).sum()</w:t>
            </w:r>
          </w:p>
          <w:p>
            <w:pPr>
              <w:spacing w:after="0" w:before="0" w:line="240" w:lineRule="auto"/>
            </w:pPr>
            <w:r>
              <w:rPr>
                <w:rFonts w:ascii="Consolas" w:hAnsi="Consolas" w:eastAsia="Consolas"/>
                <w:color w:val="1A232E"/>
                <w:sz w:val="16"/>
              </w:rPr>
              <w:t>scale_pos_weight = negative_class_count / positive_class_count</w:t>
            </w:r>
          </w:p>
        </w:tc>
      </w:tr>
    </w:tbl>
    <w:p>
      <w:pPr>
        <w:spacing w:after="80"/>
      </w:pPr>
    </w:p>
    <w:p>
      <w:pPr>
        <w:spacing w:after="120" w:before="0"/>
        <w:jc w:val="both"/>
      </w:pPr>
      <w:r>
        <w:rPr>
          <w:b w:val="0"/>
          <w:i w:val="0"/>
          <w:sz w:val="21"/>
        </w:rPr>
        <w:t xml:space="preserve">With a 73.46 / 26.54 split, an unweighted learner minimises its loss most easily by predicting the majority class. Three of the four baseline models counter this with </w:t>
      </w:r>
      <w:r>
        <w:rPr>
          <w:rFonts w:ascii="Consolas" w:hAnsi="Consolas" w:eastAsia="Consolas"/>
          <w:b w:val="0"/>
          <w:i w:val="0"/>
          <w:color w:val="8A2C1F"/>
          <w:sz w:val="19"/>
        </w:rPr>
        <w:t>class_weight="balanced"</w:t>
      </w:r>
      <w:r>
        <w:rPr>
          <w:b w:val="0"/>
          <w:i w:val="0"/>
          <w:sz w:val="21"/>
        </w:rPr>
        <w:t xml:space="preserve">; XGBoost exposes the same correction through </w:t>
      </w:r>
      <w:r>
        <w:rPr>
          <w:rFonts w:ascii="Consolas" w:hAnsi="Consolas" w:eastAsia="Consolas"/>
          <w:b w:val="0"/>
          <w:i w:val="0"/>
          <w:color w:val="8A2C1F"/>
          <w:sz w:val="19"/>
        </w:rPr>
        <w:t>scale_pos_weight</w:t>
      </w:r>
      <w:r>
        <w:rPr>
          <w:b w:val="0"/>
          <w:i w:val="0"/>
          <w:sz w:val="21"/>
        </w:rPr>
        <w:t>, approximately 2.77 on the training partition. This is why every weighted model achieves recall above 0.78.</w:t>
      </w:r>
    </w:p>
    <w:p>
      <w:pPr>
        <w:keepNext/>
        <w:spacing w:before="240" w:after="80"/>
      </w:pPr>
      <w:r>
        <w:rPr>
          <w:b/>
          <w:color w:val="1B355E"/>
          <w:sz w:val="25"/>
        </w:rPr>
        <w:t>16.4  Hyper-parameter tuning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xgb_search = RandomizedSearchCV(</w:t>
            </w:r>
          </w:p>
          <w:p>
            <w:pPr>
              <w:spacing w:after="0" w:before="0" w:line="240" w:lineRule="auto"/>
            </w:pPr>
            <w:r>
              <w:rPr>
                <w:rFonts w:ascii="Consolas" w:hAnsi="Consolas" w:eastAsia="Consolas"/>
                <w:color w:val="1A232E"/>
                <w:sz w:val="16"/>
              </w:rPr>
              <w:t xml:space="preserve">    estimator=xgb_pipeline,</w:t>
            </w:r>
          </w:p>
          <w:p>
            <w:pPr>
              <w:spacing w:after="0" w:before="0" w:line="240" w:lineRule="auto"/>
            </w:pPr>
            <w:r>
              <w:rPr>
                <w:rFonts w:ascii="Consolas" w:hAnsi="Consolas" w:eastAsia="Consolas"/>
                <w:color w:val="1A232E"/>
                <w:sz w:val="16"/>
              </w:rPr>
              <w:t xml:space="preserve">    param_distributions=xgb_parameter_grid,   # 10 parameters</w:t>
            </w:r>
          </w:p>
          <w:p>
            <w:pPr>
              <w:spacing w:after="0" w:before="0" w:line="240" w:lineRule="auto"/>
            </w:pPr>
            <w:r>
              <w:rPr>
                <w:rFonts w:ascii="Consolas" w:hAnsi="Consolas" w:eastAsia="Consolas"/>
                <w:color w:val="1A232E"/>
                <w:sz w:val="16"/>
              </w:rPr>
              <w:t xml:space="preserve">    n_iter=30, scoring="roc_auc", cv=cv,</w:t>
            </w:r>
          </w:p>
          <w:p>
            <w:pPr>
              <w:spacing w:after="0" w:before="0" w:line="240" w:lineRule="auto"/>
            </w:pPr>
            <w:r>
              <w:rPr>
                <w:rFonts w:ascii="Consolas" w:hAnsi="Consolas" w:eastAsia="Consolas"/>
                <w:color w:val="1A232E"/>
                <w:sz w:val="16"/>
              </w:rPr>
              <w:t xml:space="preserve">    random_state=RANDOM_STATE, n_jobs=-1, refit=True)</w:t>
            </w:r>
          </w:p>
        </w:tc>
      </w:tr>
    </w:tbl>
    <w:p>
      <w:pPr>
        <w:spacing w:after="80"/>
      </w:pPr>
    </w:p>
    <w:p>
      <w:pPr>
        <w:spacing w:after="120" w:before="0"/>
        <w:jc w:val="both"/>
      </w:pPr>
      <w:r>
        <w:rPr>
          <w:b w:val="0"/>
          <w:i w:val="0"/>
          <w:sz w:val="21"/>
        </w:rPr>
        <w:t xml:space="preserve">The grid spans ten hyper-parameters with four candidate values for most, defining a space of well over a million combinations. Exhaustive search is infeasible; thirty random draws across five folds is 150 fits, a budget that completes in minutes while reliably locating a near-optimal region. </w:t>
      </w:r>
      <w:r>
        <w:rPr>
          <w:rFonts w:ascii="Consolas" w:hAnsi="Consolas" w:eastAsia="Consolas"/>
          <w:b w:val="0"/>
          <w:i w:val="0"/>
          <w:color w:val="8A2C1F"/>
          <w:sz w:val="19"/>
        </w:rPr>
        <w:t>refit=True</w:t>
      </w:r>
      <w:r>
        <w:rPr>
          <w:b w:val="0"/>
          <w:i w:val="0"/>
          <w:sz w:val="21"/>
        </w:rPr>
        <w:t xml:space="preserve"> retrains the best configuration on the entire training partition once the search concludes.</w:t>
      </w:r>
    </w:p>
    <w:p>
      <w:pPr>
        <w:keepNext/>
        <w:spacing w:before="240" w:after="80"/>
      </w:pPr>
      <w:r>
        <w:rPr>
          <w:b/>
          <w:color w:val="1B355E"/>
          <w:sz w:val="25"/>
        </w:rPr>
        <w:t>16.5  Cross-validation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476"/>
        <w:gridCol w:w="1800"/>
        <w:gridCol w:w="1296"/>
        <w:gridCol w:w="3744"/>
      </w:tblGrid>
      <w:tr>
        <w:tc>
          <w:tcPr>
            <w:tcW w:type="dxa" w:w="2477"/>
            <w:shd w:val="clear" w:color="auto" w:fill="1B355E"/>
          </w:tcPr>
          <w:p>
            <w:pPr>
              <w:spacing w:after="20" w:before="20"/>
              <w:jc w:val="center"/>
            </w:pPr>
            <w:r>
              <w:rPr>
                <w:b/>
                <w:color w:val="FFFFFF"/>
                <w:sz w:val="17"/>
              </w:rPr>
              <w:t>Model</w:t>
            </w:r>
          </w:p>
        </w:tc>
        <w:tc>
          <w:tcPr>
            <w:tcW w:type="dxa" w:w="1800"/>
            <w:shd w:val="clear" w:color="auto" w:fill="1B355E"/>
          </w:tcPr>
          <w:p>
            <w:pPr>
              <w:spacing w:after="20" w:before="20"/>
              <w:jc w:val="center"/>
            </w:pPr>
            <w:r>
              <w:rPr>
                <w:b/>
                <w:color w:val="FFFFFF"/>
                <w:sz w:val="17"/>
              </w:rPr>
              <w:t>Mean CV ROC-AUC</w:t>
            </w:r>
          </w:p>
        </w:tc>
        <w:tc>
          <w:tcPr>
            <w:tcW w:type="dxa" w:w="1296"/>
            <w:shd w:val="clear" w:color="auto" w:fill="1B355E"/>
          </w:tcPr>
          <w:p>
            <w:pPr>
              <w:spacing w:after="20" w:before="20"/>
              <w:jc w:val="center"/>
            </w:pPr>
            <w:r>
              <w:rPr>
                <w:b/>
                <w:color w:val="FFFFFF"/>
                <w:sz w:val="17"/>
              </w:rPr>
              <w:t>Std dev</w:t>
            </w:r>
          </w:p>
        </w:tc>
        <w:tc>
          <w:tcPr>
            <w:tcW w:type="dxa" w:w="3744"/>
            <w:shd w:val="clear" w:color="auto" w:fill="1B355E"/>
          </w:tcPr>
          <w:p>
            <w:pPr>
              <w:spacing w:after="20" w:before="20"/>
              <w:jc w:val="center"/>
            </w:pPr>
            <w:r>
              <w:rPr>
                <w:b/>
                <w:color w:val="FFFFFF"/>
                <w:sz w:val="17"/>
              </w:rPr>
              <w:t>Reading</w:t>
            </w:r>
          </w:p>
        </w:tc>
      </w:tr>
      <w:tr>
        <w:tc>
          <w:tcPr>
            <w:tcW w:type="dxa" w:w="2477"/>
          </w:tcPr>
          <w:p>
            <w:pPr>
              <w:spacing w:after="20" w:before="20" w:line="254" w:lineRule="auto"/>
              <w:jc w:val="left"/>
            </w:pPr>
            <w:r>
              <w:rPr>
                <w:sz w:val="17"/>
              </w:rPr>
              <w:t>Logistic Regression</w:t>
            </w:r>
          </w:p>
        </w:tc>
        <w:tc>
          <w:tcPr>
            <w:tcW w:type="dxa" w:w="1800"/>
          </w:tcPr>
          <w:p>
            <w:pPr>
              <w:spacing w:after="20" w:before="20" w:line="254" w:lineRule="auto"/>
              <w:jc w:val="center"/>
            </w:pPr>
            <w:r>
              <w:rPr>
                <w:b/>
                <w:sz w:val="17"/>
              </w:rPr>
              <w:t>0.8465</w:t>
            </w:r>
          </w:p>
        </w:tc>
        <w:tc>
          <w:tcPr>
            <w:tcW w:type="dxa" w:w="1296"/>
          </w:tcPr>
          <w:p>
            <w:pPr>
              <w:spacing w:after="20" w:before="20" w:line="254" w:lineRule="auto"/>
              <w:jc w:val="center"/>
            </w:pPr>
            <w:r>
              <w:rPr>
                <w:sz w:val="17"/>
              </w:rPr>
              <w:t>0.0113</w:t>
            </w:r>
          </w:p>
        </w:tc>
        <w:tc>
          <w:tcPr>
            <w:tcW w:type="dxa" w:w="3744"/>
          </w:tcPr>
          <w:p>
            <w:pPr>
              <w:spacing w:after="20" w:before="20" w:line="254" w:lineRule="auto"/>
              <w:jc w:val="left"/>
            </w:pPr>
            <w:r>
              <w:rPr>
                <w:sz w:val="17"/>
              </w:rPr>
              <w:t>strongest on cross-validation</w:t>
            </w:r>
          </w:p>
        </w:tc>
      </w:tr>
      <w:tr>
        <w:tc>
          <w:tcPr>
            <w:tcW w:type="dxa" w:w="2477"/>
            <w:shd w:val="clear" w:color="auto" w:fill="F2F5F9"/>
          </w:tcPr>
          <w:p>
            <w:pPr>
              <w:spacing w:after="20" w:before="20" w:line="254" w:lineRule="auto"/>
              <w:jc w:val="left"/>
            </w:pPr>
            <w:r>
              <w:rPr>
                <w:sz w:val="17"/>
              </w:rPr>
              <w:t>Random Forest</w:t>
            </w:r>
          </w:p>
        </w:tc>
        <w:tc>
          <w:tcPr>
            <w:tcW w:type="dxa" w:w="1800"/>
            <w:shd w:val="clear" w:color="auto" w:fill="F2F5F9"/>
          </w:tcPr>
          <w:p>
            <w:pPr>
              <w:spacing w:after="20" w:before="20" w:line="254" w:lineRule="auto"/>
              <w:jc w:val="center"/>
            </w:pPr>
            <w:r>
              <w:rPr>
                <w:sz w:val="17"/>
              </w:rPr>
              <w:t>0.8455</w:t>
            </w:r>
          </w:p>
        </w:tc>
        <w:tc>
          <w:tcPr>
            <w:tcW w:type="dxa" w:w="1296"/>
            <w:shd w:val="clear" w:color="auto" w:fill="F2F5F9"/>
          </w:tcPr>
          <w:p>
            <w:pPr>
              <w:spacing w:after="20" w:before="20" w:line="254" w:lineRule="auto"/>
              <w:jc w:val="center"/>
            </w:pPr>
            <w:r>
              <w:rPr>
                <w:sz w:val="17"/>
              </w:rPr>
              <w:t>0.0093</w:t>
            </w:r>
          </w:p>
        </w:tc>
        <w:tc>
          <w:tcPr>
            <w:tcW w:type="dxa" w:w="3744"/>
            <w:shd w:val="clear" w:color="auto" w:fill="F2F5F9"/>
          </w:tcPr>
          <w:p>
            <w:pPr>
              <w:spacing w:after="20" w:before="20" w:line="254" w:lineRule="auto"/>
              <w:jc w:val="left"/>
            </w:pPr>
            <w:r>
              <w:rPr>
                <w:sz w:val="17"/>
              </w:rPr>
              <w:t>within one standard deviation</w:t>
            </w:r>
          </w:p>
        </w:tc>
      </w:tr>
      <w:tr>
        <w:tc>
          <w:tcPr>
            <w:tcW w:type="dxa" w:w="2477"/>
          </w:tcPr>
          <w:p>
            <w:pPr>
              <w:spacing w:after="20" w:before="20" w:line="254" w:lineRule="auto"/>
              <w:jc w:val="left"/>
            </w:pPr>
            <w:r>
              <w:rPr>
                <w:sz w:val="17"/>
              </w:rPr>
              <w:t>Support Vector Machine</w:t>
            </w:r>
          </w:p>
        </w:tc>
        <w:tc>
          <w:tcPr>
            <w:tcW w:type="dxa" w:w="1800"/>
          </w:tcPr>
          <w:p>
            <w:pPr>
              <w:spacing w:after="20" w:before="20" w:line="254" w:lineRule="auto"/>
              <w:jc w:val="center"/>
            </w:pPr>
            <w:r>
              <w:rPr>
                <w:sz w:val="17"/>
              </w:rPr>
              <w:t>0.8298</w:t>
            </w:r>
          </w:p>
        </w:tc>
        <w:tc>
          <w:tcPr>
            <w:tcW w:type="dxa" w:w="1296"/>
          </w:tcPr>
          <w:p>
            <w:pPr>
              <w:spacing w:after="20" w:before="20" w:line="254" w:lineRule="auto"/>
              <w:jc w:val="center"/>
            </w:pPr>
            <w:r>
              <w:rPr>
                <w:sz w:val="17"/>
              </w:rPr>
              <w:t>0.0109</w:t>
            </w:r>
          </w:p>
        </w:tc>
        <w:tc>
          <w:tcPr>
            <w:tcW w:type="dxa" w:w="3744"/>
          </w:tcPr>
          <w:p>
            <w:pPr>
              <w:spacing w:after="20" w:before="20" w:line="254" w:lineRule="auto"/>
              <w:jc w:val="center"/>
            </w:pPr>
            <w:r>
              <w:rPr>
                <w:sz w:val="17"/>
              </w:rPr>
              <w:t>clearly behind</w:t>
            </w:r>
          </w:p>
        </w:tc>
      </w:tr>
      <w:tr>
        <w:tc>
          <w:tcPr>
            <w:tcW w:type="dxa" w:w="2477"/>
            <w:shd w:val="clear" w:color="auto" w:fill="F2F5F9"/>
          </w:tcPr>
          <w:p>
            <w:pPr>
              <w:spacing w:after="20" w:before="20" w:line="254" w:lineRule="auto"/>
              <w:jc w:val="left"/>
            </w:pPr>
            <w:r>
              <w:rPr>
                <w:sz w:val="17"/>
              </w:rPr>
              <w:t>XGBoost Baseline</w:t>
            </w:r>
          </w:p>
        </w:tc>
        <w:tc>
          <w:tcPr>
            <w:tcW w:type="dxa" w:w="1800"/>
            <w:shd w:val="clear" w:color="auto" w:fill="F2F5F9"/>
          </w:tcPr>
          <w:p>
            <w:pPr>
              <w:spacing w:after="20" w:before="20" w:line="254" w:lineRule="auto"/>
              <w:jc w:val="center"/>
            </w:pPr>
            <w:r>
              <w:rPr>
                <w:sz w:val="17"/>
              </w:rPr>
              <w:t>0.8003</w:t>
            </w:r>
          </w:p>
        </w:tc>
        <w:tc>
          <w:tcPr>
            <w:tcW w:type="dxa" w:w="1296"/>
            <w:shd w:val="clear" w:color="auto" w:fill="F2F5F9"/>
          </w:tcPr>
          <w:p>
            <w:pPr>
              <w:spacing w:after="20" w:before="20" w:line="254" w:lineRule="auto"/>
              <w:jc w:val="center"/>
            </w:pPr>
            <w:r>
              <w:rPr>
                <w:sz w:val="17"/>
              </w:rPr>
              <w:t>0.0047</w:t>
            </w:r>
          </w:p>
        </w:tc>
        <w:tc>
          <w:tcPr>
            <w:tcW w:type="dxa" w:w="3744"/>
            <w:shd w:val="clear" w:color="auto" w:fill="F2F5F9"/>
          </w:tcPr>
          <w:p>
            <w:pPr>
              <w:spacing w:after="20" w:before="20" w:line="254" w:lineRule="auto"/>
              <w:jc w:val="left"/>
            </w:pPr>
            <w:r>
              <w:rPr>
                <w:sz w:val="17"/>
              </w:rPr>
              <w:t>untuned; 2 000 rounds at lr 0.10 overfits</w:t>
            </w:r>
          </w:p>
        </w:tc>
      </w:tr>
    </w:tbl>
    <w:p>
      <w:pPr>
        <w:spacing w:before="60" w:after="200"/>
        <w:jc w:val="center"/>
      </w:pPr>
      <w:r>
        <w:rPr>
          <w:i/>
          <w:color w:val="555F6B"/>
          <w:sz w:val="17"/>
        </w:rPr>
        <w:t>Table 33: Five-fold stratified cross-validation on the training partition (26-column matrix).</w:t>
      </w:r>
    </w:p>
    <w:p>
      <w:pPr>
        <w:keepNext/>
        <w:spacing w:before="240" w:after="80"/>
      </w:pPr>
      <w:r>
        <w:rPr>
          <w:b/>
          <w:color w:val="1B355E"/>
          <w:sz w:val="25"/>
        </w:rPr>
        <w:t>16.6  Labelling predictions consistently</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DECISION_THRESHOLD = 0.50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predicted_probabilities = pipeline.predict_proba(X_test)[:, 1]</w:t>
            </w:r>
          </w:p>
          <w:p>
            <w:pPr>
              <w:spacing w:after="0" w:before="0" w:line="240" w:lineRule="auto"/>
            </w:pPr>
            <w:r>
              <w:rPr>
                <w:rFonts w:ascii="Consolas" w:hAnsi="Consolas" w:eastAsia="Consolas"/>
                <w:color w:val="1A232E"/>
                <w:sz w:val="16"/>
              </w:rPr>
              <w:t>predicted_labels = (predicted_probabilities &gt;= DECISION_THRESHOLD).astype(int)</w:t>
            </w:r>
          </w:p>
        </w:tc>
      </w:tr>
    </w:tbl>
    <w:p>
      <w:pPr>
        <w:spacing w:before="60" w:after="180"/>
        <w:jc w:val="center"/>
      </w:pPr>
      <w:r>
        <w:rPr>
          <w:i/>
          <w:color w:val="555F6B"/>
          <w:sz w:val="17"/>
        </w:rPr>
        <w:t>Listing 20a: Phase 6 labels predictions exactly as phase 7 does (second-round correction, Section 22.1).</w:t>
      </w:r>
    </w:p>
    <w:p>
      <w:pPr>
        <w:spacing w:after="120" w:before="0"/>
        <w:jc w:val="both"/>
      </w:pPr>
      <w:r>
        <w:rPr>
          <w:b w:val="0"/>
          <w:i w:val="0"/>
          <w:sz w:val="21"/>
        </w:rPr>
        <w:t xml:space="preserve">Phase 6 previously called </w:t>
      </w:r>
      <w:r>
        <w:rPr>
          <w:rFonts w:ascii="Consolas" w:hAnsi="Consolas" w:eastAsia="Consolas"/>
          <w:b w:val="0"/>
          <w:i w:val="0"/>
          <w:color w:val="8A2C1F"/>
          <w:sz w:val="19"/>
        </w:rPr>
        <w:t>pipeline.predict()</w:t>
      </w:r>
      <w:r>
        <w:rPr>
          <w:b w:val="0"/>
          <w:i w:val="0"/>
          <w:sz w:val="21"/>
        </w:rPr>
        <w:t xml:space="preserve">. For Random Forest and XGBoost that is the same as thresholding the probability at 0.50, but for an </w:t>
      </w:r>
      <w:r>
        <w:rPr>
          <w:rFonts w:ascii="Consolas" w:hAnsi="Consolas" w:eastAsia="Consolas"/>
          <w:b w:val="0"/>
          <w:i w:val="0"/>
          <w:color w:val="8A2C1F"/>
          <w:sz w:val="19"/>
        </w:rPr>
        <w:t>SVC</w:t>
      </w:r>
      <w:r>
        <w:rPr>
          <w:b w:val="0"/>
          <w:i w:val="0"/>
          <w:sz w:val="21"/>
        </w:rPr>
        <w:t xml:space="preserve"> it is not: </w:t>
      </w:r>
      <w:r>
        <w:rPr>
          <w:rFonts w:ascii="Consolas" w:hAnsi="Consolas" w:eastAsia="Consolas"/>
          <w:b w:val="0"/>
          <w:i w:val="0"/>
          <w:color w:val="8A2C1F"/>
          <w:sz w:val="19"/>
        </w:rPr>
        <w:t>predict()</w:t>
      </w:r>
      <w:r>
        <w:rPr>
          <w:b w:val="0"/>
          <w:i w:val="0"/>
          <w:sz w:val="21"/>
        </w:rPr>
        <w:t xml:space="preserve"> uses the sign of the decision function while </w:t>
      </w:r>
      <w:r>
        <w:rPr>
          <w:rFonts w:ascii="Consolas" w:hAnsi="Consolas" w:eastAsia="Consolas"/>
          <w:b w:val="0"/>
          <w:i w:val="0"/>
          <w:color w:val="8A2C1F"/>
          <w:sz w:val="19"/>
        </w:rPr>
        <w:t>predict_proba</w:t>
      </w:r>
      <w:r>
        <w:rPr>
          <w:b w:val="0"/>
          <w:i w:val="0"/>
          <w:sz w:val="21"/>
        </w:rPr>
        <w:t xml:space="preserve"> uses Platt scaling fitted by internal cross-validation. Using one explicit threshold everywhere makes the operating point visible and makes phases 6 and 7 agree.</w:t>
      </w:r>
    </w:p>
    <w:p>
      <w:pPr>
        <w:keepNext/>
        <w:spacing w:before="240" w:after="80"/>
      </w:pPr>
      <w:r>
        <w:rPr>
          <w:b/>
          <w:color w:val="1B355E"/>
          <w:sz w:val="25"/>
        </w:rPr>
        <w:t>16.7  Hold-out test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1180"/>
        <w:gridCol w:w="1180"/>
        <w:gridCol w:w="1224"/>
        <w:gridCol w:w="1123"/>
        <w:gridCol w:w="1036"/>
        <w:gridCol w:w="835"/>
      </w:tblGrid>
      <w:tr>
        <w:tc>
          <w:tcPr>
            <w:tcW w:type="dxa" w:w="2333"/>
            <w:shd w:val="clear" w:color="auto" w:fill="1B355E"/>
          </w:tcPr>
          <w:p>
            <w:pPr>
              <w:spacing w:after="20" w:before="20"/>
              <w:jc w:val="center"/>
            </w:pPr>
            <w:r>
              <w:rPr>
                <w:b/>
                <w:color w:val="FFFFFF"/>
                <w:sz w:val="16"/>
              </w:rPr>
              <w:t>Model</w:t>
            </w:r>
          </w:p>
        </w:tc>
        <w:tc>
          <w:tcPr>
            <w:tcW w:type="dxa" w:w="1181"/>
            <w:shd w:val="clear" w:color="auto" w:fill="1B355E"/>
          </w:tcPr>
          <w:p>
            <w:pPr>
              <w:spacing w:after="20" w:before="20"/>
              <w:jc w:val="center"/>
            </w:pPr>
            <w:r>
              <w:rPr>
                <w:b/>
                <w:color w:val="FFFFFF"/>
                <w:sz w:val="16"/>
              </w:rPr>
              <w:t>ROC-AUC</w:t>
            </w:r>
          </w:p>
        </w:tc>
        <w:tc>
          <w:tcPr>
            <w:tcW w:type="dxa" w:w="1181"/>
            <w:shd w:val="clear" w:color="auto" w:fill="1B355E"/>
          </w:tcPr>
          <w:p>
            <w:pPr>
              <w:spacing w:after="20" w:before="20"/>
              <w:jc w:val="center"/>
            </w:pPr>
            <w:r>
              <w:rPr>
                <w:b/>
                <w:color w:val="FFFFFF"/>
                <w:sz w:val="16"/>
              </w:rPr>
              <w:t>Accuracy</w:t>
            </w:r>
          </w:p>
        </w:tc>
        <w:tc>
          <w:tcPr>
            <w:tcW w:type="dxa" w:w="1224"/>
            <w:shd w:val="clear" w:color="auto" w:fill="1B355E"/>
          </w:tcPr>
          <w:p>
            <w:pPr>
              <w:spacing w:after="20" w:before="20"/>
              <w:jc w:val="center"/>
            </w:pPr>
            <w:r>
              <w:rPr>
                <w:b/>
                <w:color w:val="FFFFFF"/>
                <w:sz w:val="16"/>
              </w:rPr>
              <w:t>Precision</w:t>
            </w:r>
          </w:p>
        </w:tc>
        <w:tc>
          <w:tcPr>
            <w:tcW w:type="dxa" w:w="1123"/>
            <w:shd w:val="clear" w:color="auto" w:fill="1B355E"/>
          </w:tcPr>
          <w:p>
            <w:pPr>
              <w:spacing w:after="20" w:before="20"/>
              <w:jc w:val="center"/>
            </w:pPr>
            <w:r>
              <w:rPr>
                <w:b/>
                <w:color w:val="FFFFFF"/>
                <w:sz w:val="16"/>
              </w:rPr>
              <w:t>Recall</w:t>
            </w:r>
          </w:p>
        </w:tc>
        <w:tc>
          <w:tcPr>
            <w:tcW w:type="dxa" w:w="1037"/>
            <w:shd w:val="clear" w:color="auto" w:fill="1B355E"/>
          </w:tcPr>
          <w:p>
            <w:pPr>
              <w:spacing w:after="20" w:before="20"/>
              <w:jc w:val="center"/>
            </w:pPr>
            <w:r>
              <w:rPr>
                <w:b/>
                <w:color w:val="FFFFFF"/>
                <w:sz w:val="16"/>
              </w:rPr>
              <w:t>F1</w:t>
            </w:r>
          </w:p>
        </w:tc>
        <w:tc>
          <w:tcPr>
            <w:tcW w:type="dxa" w:w="835"/>
            <w:shd w:val="clear" w:color="auto" w:fill="1B355E"/>
          </w:tcPr>
          <w:p>
            <w:pPr>
              <w:spacing w:after="20" w:before="20"/>
              <w:jc w:val="center"/>
            </w:pPr>
            <w:r>
              <w:rPr>
                <w:b/>
                <w:color w:val="FFFFFF"/>
                <w:sz w:val="16"/>
              </w:rPr>
              <w:t>Rank</w:t>
            </w:r>
          </w:p>
        </w:tc>
      </w:tr>
      <w:tr>
        <w:tc>
          <w:tcPr>
            <w:tcW w:type="dxa" w:w="2333"/>
          </w:tcPr>
          <w:p>
            <w:pPr>
              <w:spacing w:after="20" w:before="20" w:line="254" w:lineRule="auto"/>
              <w:jc w:val="left"/>
            </w:pPr>
            <w:r>
              <w:rPr>
                <w:b/>
                <w:sz w:val="16"/>
              </w:rPr>
              <w:t>Tuned XGBoost</w:t>
            </w:r>
          </w:p>
        </w:tc>
        <w:tc>
          <w:tcPr>
            <w:tcW w:type="dxa" w:w="1181"/>
          </w:tcPr>
          <w:p>
            <w:pPr>
              <w:spacing w:after="20" w:before="20" w:line="254" w:lineRule="auto"/>
              <w:jc w:val="center"/>
            </w:pPr>
            <w:r>
              <w:rPr>
                <w:b/>
                <w:sz w:val="16"/>
              </w:rPr>
              <w:t>0.8472</w:t>
            </w:r>
          </w:p>
        </w:tc>
        <w:tc>
          <w:tcPr>
            <w:tcW w:type="dxa" w:w="1181"/>
          </w:tcPr>
          <w:p>
            <w:pPr>
              <w:spacing w:after="20" w:before="20" w:line="254" w:lineRule="auto"/>
              <w:jc w:val="center"/>
            </w:pPr>
            <w:r>
              <w:rPr>
                <w:sz w:val="16"/>
              </w:rPr>
              <w:t>0.7339</w:t>
            </w:r>
          </w:p>
        </w:tc>
        <w:tc>
          <w:tcPr>
            <w:tcW w:type="dxa" w:w="1224"/>
          </w:tcPr>
          <w:p>
            <w:pPr>
              <w:spacing w:after="20" w:before="20" w:line="254" w:lineRule="auto"/>
              <w:jc w:val="center"/>
            </w:pPr>
            <w:r>
              <w:rPr>
                <w:sz w:val="16"/>
              </w:rPr>
              <w:t>0.4992</w:t>
            </w:r>
          </w:p>
        </w:tc>
        <w:tc>
          <w:tcPr>
            <w:tcW w:type="dxa" w:w="1123"/>
          </w:tcPr>
          <w:p>
            <w:pPr>
              <w:spacing w:after="20" w:before="20" w:line="254" w:lineRule="auto"/>
              <w:jc w:val="center"/>
            </w:pPr>
            <w:r>
              <w:rPr>
                <w:b/>
                <w:sz w:val="16"/>
              </w:rPr>
              <w:t>0.8262</w:t>
            </w:r>
          </w:p>
        </w:tc>
        <w:tc>
          <w:tcPr>
            <w:tcW w:type="dxa" w:w="1037"/>
          </w:tcPr>
          <w:p>
            <w:pPr>
              <w:spacing w:after="20" w:before="20" w:line="254" w:lineRule="auto"/>
              <w:jc w:val="center"/>
            </w:pPr>
            <w:r>
              <w:rPr>
                <w:sz w:val="16"/>
              </w:rPr>
              <w:t>0.6224</w:t>
            </w:r>
          </w:p>
        </w:tc>
        <w:tc>
          <w:tcPr>
            <w:tcW w:type="dxa" w:w="835"/>
          </w:tcPr>
          <w:p>
            <w:pPr>
              <w:spacing w:after="20" w:before="20" w:line="254" w:lineRule="auto"/>
              <w:jc w:val="center"/>
            </w:pPr>
            <w:r>
              <w:rPr>
                <w:b/>
                <w:sz w:val="16"/>
              </w:rPr>
              <w:t>1</w:t>
            </w:r>
          </w:p>
        </w:tc>
      </w:tr>
      <w:tr>
        <w:tc>
          <w:tcPr>
            <w:tcW w:type="dxa" w:w="2333"/>
            <w:shd w:val="clear" w:color="auto" w:fill="F2F5F9"/>
          </w:tcPr>
          <w:p>
            <w:pPr>
              <w:spacing w:after="20" w:before="20" w:line="254" w:lineRule="auto"/>
              <w:jc w:val="left"/>
            </w:pPr>
            <w:r>
              <w:rPr>
                <w:sz w:val="16"/>
              </w:rPr>
              <w:t>Logistic Regression</w:t>
            </w:r>
          </w:p>
        </w:tc>
        <w:tc>
          <w:tcPr>
            <w:tcW w:type="dxa" w:w="1181"/>
            <w:shd w:val="clear" w:color="auto" w:fill="F2F5F9"/>
          </w:tcPr>
          <w:p>
            <w:pPr>
              <w:spacing w:after="20" w:before="20" w:line="254" w:lineRule="auto"/>
              <w:jc w:val="center"/>
            </w:pPr>
            <w:r>
              <w:rPr>
                <w:sz w:val="16"/>
              </w:rPr>
              <w:t>0.8448</w:t>
            </w:r>
          </w:p>
        </w:tc>
        <w:tc>
          <w:tcPr>
            <w:tcW w:type="dxa" w:w="1181"/>
            <w:shd w:val="clear" w:color="auto" w:fill="F2F5F9"/>
          </w:tcPr>
          <w:p>
            <w:pPr>
              <w:spacing w:after="20" w:before="20" w:line="254" w:lineRule="auto"/>
              <w:jc w:val="center"/>
            </w:pPr>
            <w:r>
              <w:rPr>
                <w:sz w:val="16"/>
              </w:rPr>
              <w:t>0.7459</w:t>
            </w:r>
          </w:p>
        </w:tc>
        <w:tc>
          <w:tcPr>
            <w:tcW w:type="dxa" w:w="1224"/>
            <w:shd w:val="clear" w:color="auto" w:fill="F2F5F9"/>
          </w:tcPr>
          <w:p>
            <w:pPr>
              <w:spacing w:after="20" w:before="20" w:line="254" w:lineRule="auto"/>
              <w:jc w:val="center"/>
            </w:pPr>
            <w:r>
              <w:rPr>
                <w:sz w:val="16"/>
              </w:rPr>
              <w:t>0.5139</w:t>
            </w:r>
          </w:p>
        </w:tc>
        <w:tc>
          <w:tcPr>
            <w:tcW w:type="dxa" w:w="1123"/>
            <w:shd w:val="clear" w:color="auto" w:fill="F2F5F9"/>
          </w:tcPr>
          <w:p>
            <w:pPr>
              <w:spacing w:after="20" w:before="20" w:line="254" w:lineRule="auto"/>
              <w:jc w:val="center"/>
            </w:pPr>
            <w:r>
              <w:rPr>
                <w:sz w:val="16"/>
              </w:rPr>
              <w:t>0.7914</w:t>
            </w:r>
          </w:p>
        </w:tc>
        <w:tc>
          <w:tcPr>
            <w:tcW w:type="dxa" w:w="1037"/>
            <w:shd w:val="clear" w:color="auto" w:fill="F2F5F9"/>
          </w:tcPr>
          <w:p>
            <w:pPr>
              <w:spacing w:after="20" w:before="20" w:line="254" w:lineRule="auto"/>
              <w:jc w:val="center"/>
            </w:pPr>
            <w:r>
              <w:rPr>
                <w:sz w:val="16"/>
              </w:rPr>
              <w:t>0.6232</w:t>
            </w:r>
          </w:p>
        </w:tc>
        <w:tc>
          <w:tcPr>
            <w:tcW w:type="dxa" w:w="835"/>
            <w:shd w:val="clear" w:color="auto" w:fill="F2F5F9"/>
          </w:tcPr>
          <w:p>
            <w:pPr>
              <w:spacing w:after="20" w:before="20" w:line="254" w:lineRule="auto"/>
              <w:jc w:val="center"/>
            </w:pPr>
            <w:r>
              <w:rPr>
                <w:sz w:val="16"/>
              </w:rPr>
              <w:t>2</w:t>
            </w:r>
          </w:p>
        </w:tc>
      </w:tr>
      <w:tr>
        <w:tc>
          <w:tcPr>
            <w:tcW w:type="dxa" w:w="2333"/>
          </w:tcPr>
          <w:p>
            <w:pPr>
              <w:spacing w:after="20" w:before="20" w:line="254" w:lineRule="auto"/>
              <w:jc w:val="left"/>
            </w:pPr>
            <w:r>
              <w:rPr>
                <w:sz w:val="16"/>
              </w:rPr>
              <w:t>Random Forest</w:t>
            </w:r>
          </w:p>
        </w:tc>
        <w:tc>
          <w:tcPr>
            <w:tcW w:type="dxa" w:w="1181"/>
          </w:tcPr>
          <w:p>
            <w:pPr>
              <w:spacing w:after="20" w:before="20" w:line="254" w:lineRule="auto"/>
              <w:jc w:val="center"/>
            </w:pPr>
            <w:r>
              <w:rPr>
                <w:sz w:val="16"/>
              </w:rPr>
              <w:t>0.8425</w:t>
            </w:r>
          </w:p>
        </w:tc>
        <w:tc>
          <w:tcPr>
            <w:tcW w:type="dxa" w:w="1181"/>
          </w:tcPr>
          <w:p>
            <w:pPr>
              <w:spacing w:after="20" w:before="20" w:line="254" w:lineRule="auto"/>
              <w:jc w:val="center"/>
            </w:pPr>
            <w:r>
              <w:rPr>
                <w:sz w:val="16"/>
              </w:rPr>
              <w:t>0.7587</w:t>
            </w:r>
          </w:p>
        </w:tc>
        <w:tc>
          <w:tcPr>
            <w:tcW w:type="dxa" w:w="1224"/>
          </w:tcPr>
          <w:p>
            <w:pPr>
              <w:spacing w:after="20" w:before="20" w:line="254" w:lineRule="auto"/>
              <w:jc w:val="center"/>
            </w:pPr>
            <w:r>
              <w:rPr>
                <w:sz w:val="16"/>
              </w:rPr>
              <w:t>0.5309</w:t>
            </w:r>
          </w:p>
        </w:tc>
        <w:tc>
          <w:tcPr>
            <w:tcW w:type="dxa" w:w="1123"/>
          </w:tcPr>
          <w:p>
            <w:pPr>
              <w:spacing w:after="20" w:before="20" w:line="254" w:lineRule="auto"/>
              <w:jc w:val="center"/>
            </w:pPr>
            <w:r>
              <w:rPr>
                <w:sz w:val="16"/>
              </w:rPr>
              <w:t>0.7807</w:t>
            </w:r>
          </w:p>
        </w:tc>
        <w:tc>
          <w:tcPr>
            <w:tcW w:type="dxa" w:w="1037"/>
          </w:tcPr>
          <w:p>
            <w:pPr>
              <w:spacing w:after="20" w:before="20" w:line="254" w:lineRule="auto"/>
              <w:jc w:val="center"/>
            </w:pPr>
            <w:r>
              <w:rPr>
                <w:b/>
                <w:sz w:val="16"/>
              </w:rPr>
              <w:t>0.6320</w:t>
            </w:r>
          </w:p>
        </w:tc>
        <w:tc>
          <w:tcPr>
            <w:tcW w:type="dxa" w:w="835"/>
          </w:tcPr>
          <w:p>
            <w:pPr>
              <w:spacing w:after="20" w:before="20" w:line="254" w:lineRule="auto"/>
              <w:jc w:val="center"/>
            </w:pPr>
            <w:r>
              <w:rPr>
                <w:sz w:val="16"/>
              </w:rPr>
              <w:t>3</w:t>
            </w:r>
          </w:p>
        </w:tc>
      </w:tr>
      <w:tr>
        <w:tc>
          <w:tcPr>
            <w:tcW w:type="dxa" w:w="2333"/>
            <w:shd w:val="clear" w:color="auto" w:fill="F2F5F9"/>
          </w:tcPr>
          <w:p>
            <w:pPr>
              <w:spacing w:after="20" w:before="20" w:line="254" w:lineRule="auto"/>
              <w:jc w:val="left"/>
            </w:pPr>
            <w:r>
              <w:rPr>
                <w:sz w:val="16"/>
              </w:rPr>
              <w:t>Support Vector Machine</w:t>
            </w:r>
          </w:p>
        </w:tc>
        <w:tc>
          <w:tcPr>
            <w:tcW w:type="dxa" w:w="1181"/>
            <w:shd w:val="clear" w:color="auto" w:fill="F2F5F9"/>
          </w:tcPr>
          <w:p>
            <w:pPr>
              <w:spacing w:after="20" w:before="20" w:line="254" w:lineRule="auto"/>
              <w:jc w:val="center"/>
            </w:pPr>
            <w:r>
              <w:rPr>
                <w:sz w:val="16"/>
              </w:rPr>
              <w:t>0.8334</w:t>
            </w:r>
          </w:p>
        </w:tc>
        <w:tc>
          <w:tcPr>
            <w:tcW w:type="dxa" w:w="1181"/>
            <w:shd w:val="clear" w:color="auto" w:fill="F2F5F9"/>
          </w:tcPr>
          <w:p>
            <w:pPr>
              <w:spacing w:after="20" w:before="20" w:line="254" w:lineRule="auto"/>
              <w:jc w:val="center"/>
            </w:pPr>
            <w:r>
              <w:rPr>
                <w:b/>
                <w:sz w:val="16"/>
              </w:rPr>
              <w:t>0.7850</w:t>
            </w:r>
          </w:p>
        </w:tc>
        <w:tc>
          <w:tcPr>
            <w:tcW w:type="dxa" w:w="1224"/>
            <w:shd w:val="clear" w:color="auto" w:fill="F2F5F9"/>
          </w:tcPr>
          <w:p>
            <w:pPr>
              <w:spacing w:after="20" w:before="20" w:line="254" w:lineRule="auto"/>
              <w:jc w:val="center"/>
            </w:pPr>
            <w:r>
              <w:rPr>
                <w:b/>
                <w:sz w:val="16"/>
              </w:rPr>
              <w:t>0.5927</w:t>
            </w:r>
          </w:p>
        </w:tc>
        <w:tc>
          <w:tcPr>
            <w:tcW w:type="dxa" w:w="1123"/>
            <w:shd w:val="clear" w:color="auto" w:fill="F2F5F9"/>
          </w:tcPr>
          <w:p>
            <w:pPr>
              <w:spacing w:after="20" w:before="20" w:line="254" w:lineRule="auto"/>
              <w:jc w:val="center"/>
            </w:pPr>
            <w:r>
              <w:rPr>
                <w:sz w:val="16"/>
              </w:rPr>
              <w:t>0.6070</w:t>
            </w:r>
          </w:p>
        </w:tc>
        <w:tc>
          <w:tcPr>
            <w:tcW w:type="dxa" w:w="1037"/>
            <w:shd w:val="clear" w:color="auto" w:fill="F2F5F9"/>
          </w:tcPr>
          <w:p>
            <w:pPr>
              <w:spacing w:after="20" w:before="20" w:line="254" w:lineRule="auto"/>
              <w:jc w:val="center"/>
            </w:pPr>
            <w:r>
              <w:rPr>
                <w:sz w:val="16"/>
              </w:rPr>
              <w:t>0.5997</w:t>
            </w:r>
          </w:p>
        </w:tc>
        <w:tc>
          <w:tcPr>
            <w:tcW w:type="dxa" w:w="835"/>
            <w:shd w:val="clear" w:color="auto" w:fill="F2F5F9"/>
          </w:tcPr>
          <w:p>
            <w:pPr>
              <w:spacing w:after="20" w:before="20" w:line="254" w:lineRule="auto"/>
              <w:jc w:val="center"/>
            </w:pPr>
            <w:r>
              <w:rPr>
                <w:sz w:val="16"/>
              </w:rPr>
              <w:t>4</w:t>
            </w:r>
          </w:p>
        </w:tc>
      </w:tr>
      <w:tr>
        <w:tc>
          <w:tcPr>
            <w:tcW w:type="dxa" w:w="2333"/>
          </w:tcPr>
          <w:p>
            <w:pPr>
              <w:spacing w:after="20" w:before="20" w:line="254" w:lineRule="auto"/>
              <w:jc w:val="left"/>
            </w:pPr>
            <w:r>
              <w:rPr>
                <w:sz w:val="16"/>
              </w:rPr>
              <w:t>XGBoost Baseline</w:t>
            </w:r>
          </w:p>
        </w:tc>
        <w:tc>
          <w:tcPr>
            <w:tcW w:type="dxa" w:w="1181"/>
          </w:tcPr>
          <w:p>
            <w:pPr>
              <w:spacing w:after="20" w:before="20" w:line="254" w:lineRule="auto"/>
              <w:jc w:val="center"/>
            </w:pPr>
            <w:r>
              <w:rPr>
                <w:sz w:val="16"/>
              </w:rPr>
              <w:t>0.8025</w:t>
            </w:r>
          </w:p>
        </w:tc>
        <w:tc>
          <w:tcPr>
            <w:tcW w:type="dxa" w:w="1181"/>
          </w:tcPr>
          <w:p>
            <w:pPr>
              <w:spacing w:after="20" w:before="20" w:line="254" w:lineRule="auto"/>
              <w:jc w:val="center"/>
            </w:pPr>
            <w:r>
              <w:rPr>
                <w:sz w:val="16"/>
              </w:rPr>
              <w:t>0.7658</w:t>
            </w:r>
          </w:p>
        </w:tc>
        <w:tc>
          <w:tcPr>
            <w:tcW w:type="dxa" w:w="1224"/>
          </w:tcPr>
          <w:p>
            <w:pPr>
              <w:spacing w:after="20" w:before="20" w:line="254" w:lineRule="auto"/>
              <w:jc w:val="center"/>
            </w:pPr>
            <w:r>
              <w:rPr>
                <w:sz w:val="16"/>
              </w:rPr>
              <w:t>0.5608</w:t>
            </w:r>
          </w:p>
        </w:tc>
        <w:tc>
          <w:tcPr>
            <w:tcW w:type="dxa" w:w="1123"/>
          </w:tcPr>
          <w:p>
            <w:pPr>
              <w:spacing w:after="20" w:before="20" w:line="254" w:lineRule="auto"/>
              <w:jc w:val="center"/>
            </w:pPr>
            <w:r>
              <w:rPr>
                <w:sz w:val="16"/>
              </w:rPr>
              <w:t>0.5428</w:t>
            </w:r>
          </w:p>
        </w:tc>
        <w:tc>
          <w:tcPr>
            <w:tcW w:type="dxa" w:w="1037"/>
          </w:tcPr>
          <w:p>
            <w:pPr>
              <w:spacing w:after="20" w:before="20" w:line="254" w:lineRule="auto"/>
              <w:jc w:val="center"/>
            </w:pPr>
            <w:r>
              <w:rPr>
                <w:sz w:val="16"/>
              </w:rPr>
              <w:t>0.5516</w:t>
            </w:r>
          </w:p>
        </w:tc>
        <w:tc>
          <w:tcPr>
            <w:tcW w:type="dxa" w:w="835"/>
          </w:tcPr>
          <w:p>
            <w:pPr>
              <w:spacing w:after="20" w:before="20" w:line="254" w:lineRule="auto"/>
              <w:jc w:val="center"/>
            </w:pPr>
            <w:r>
              <w:rPr>
                <w:sz w:val="16"/>
              </w:rPr>
              <w:t>5</w:t>
            </w:r>
          </w:p>
        </w:tc>
      </w:tr>
    </w:tbl>
    <w:p>
      <w:pPr>
        <w:spacing w:before="60" w:after="200"/>
        <w:jc w:val="center"/>
      </w:pPr>
      <w:r>
        <w:rPr>
          <w:i/>
          <w:color w:val="555F6B"/>
          <w:sz w:val="17"/>
        </w:rPr>
        <w:t>Table 34: Hold-out performance on the 1 409-record test set, ranked by ROC-AUC. Reproduced from data/phase6_model_performance.csv.</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Phases 6 and 7 now report identical figures.</w:t>
            </w:r>
          </w:p>
          <w:p>
            <w:pPr>
              <w:spacing w:after="0"/>
              <w:jc w:val="both"/>
            </w:pPr>
            <w:r>
              <w:rPr>
                <w:sz w:val="19"/>
              </w:rPr>
              <w:t>Every model evaluated in both phases — Tuned XGBoost, Logistic Regression, Random Forest and the SVM — now shows the same accuracy, precision, recall and F1 in the table above and in the phase 7 table in Section 17.2. Before the second-round correction the SVM appeared at 0.7601 accuracy and 0.7834 recall here, and at 0.7835 and 0.6150 in phase 7.</w:t>
            </w:r>
          </w:p>
        </w:tc>
      </w:tr>
    </w:tbl>
    <w:p>
      <w:pPr>
        <w:spacing w:after="120"/>
      </w:pPr>
    </w:p>
    <w:p>
      <w:pPr>
        <w:keepNext/>
        <w:spacing w:before="120" w:after="60"/>
        <w:jc w:val="center"/>
      </w:pPr>
      <w:r>
        <w:drawing>
          <wp:inline xmlns:a="http://schemas.openxmlformats.org/drawingml/2006/main" xmlns:pic="http://schemas.openxmlformats.org/drawingml/2006/picture">
            <wp:extent cx="4983480" cy="3855145"/>
            <wp:docPr id="17" name="Picture 17"/>
            <wp:cNvGraphicFramePr>
              <a:graphicFrameLocks noChangeAspect="1"/>
            </wp:cNvGraphicFramePr>
            <a:graphic>
              <a:graphicData uri="http://schemas.openxmlformats.org/drawingml/2006/picture">
                <pic:pic>
                  <pic:nvPicPr>
                    <pic:cNvPr id="0" name="phase6_roc_curves.png"/>
                    <pic:cNvPicPr/>
                  </pic:nvPicPr>
                  <pic:blipFill>
                    <a:blip r:embed="rId25"/>
                    <a:stretch>
                      <a:fillRect/>
                    </a:stretch>
                  </pic:blipFill>
                  <pic:spPr>
                    <a:xfrm>
                      <a:off x="0" y="0"/>
                      <a:ext cx="4983480" cy="3855145"/>
                    </a:xfrm>
                    <a:prstGeom prst="rect"/>
                  </pic:spPr>
                </pic:pic>
              </a:graphicData>
            </a:graphic>
          </wp:inline>
        </w:drawing>
      </w:r>
    </w:p>
    <w:p>
      <w:pPr>
        <w:spacing w:before="60" w:after="220"/>
        <w:jc w:val="center"/>
      </w:pPr>
      <w:r>
        <w:rPr>
          <w:i/>
          <w:color w:val="555F6B"/>
          <w:sz w:val="17"/>
        </w:rPr>
        <w:t>Figure 17: ROC curves for all five models on the hold-out partition.</w:t>
      </w:r>
    </w:p>
    <w:p>
      <w:pPr>
        <w:keepNext/>
        <w:spacing w:before="120" w:after="60"/>
        <w:jc w:val="center"/>
      </w:pPr>
      <w:r>
        <w:drawing>
          <wp:inline xmlns:a="http://schemas.openxmlformats.org/drawingml/2006/main" xmlns:pic="http://schemas.openxmlformats.org/drawingml/2006/picture">
            <wp:extent cx="3794760" cy="3251050"/>
            <wp:docPr id="18" name="Picture 18"/>
            <wp:cNvGraphicFramePr>
              <a:graphicFrameLocks noChangeAspect="1"/>
            </wp:cNvGraphicFramePr>
            <a:graphic>
              <a:graphicData uri="http://schemas.openxmlformats.org/drawingml/2006/picture">
                <pic:pic>
                  <pic:nvPicPr>
                    <pic:cNvPr id="0" name="phase6_confusion_matrix.png"/>
                    <pic:cNvPicPr/>
                  </pic:nvPicPr>
                  <pic:blipFill>
                    <a:blip r:embed="rId26"/>
                    <a:stretch>
                      <a:fillRect/>
                    </a:stretch>
                  </pic:blipFill>
                  <pic:spPr>
                    <a:xfrm>
                      <a:off x="0" y="0"/>
                      <a:ext cx="3794760" cy="3251050"/>
                    </a:xfrm>
                    <a:prstGeom prst="rect"/>
                  </pic:spPr>
                </pic:pic>
              </a:graphicData>
            </a:graphic>
          </wp:inline>
        </w:drawing>
      </w:r>
    </w:p>
    <w:p>
      <w:pPr>
        <w:spacing w:before="60" w:after="220"/>
        <w:jc w:val="center"/>
      </w:pPr>
      <w:r>
        <w:rPr>
          <w:i/>
          <w:color w:val="555F6B"/>
          <w:sz w:val="17"/>
        </w:rPr>
        <w:t>Figure 18: Confusion matrix for the selected model on the 1 409-record hold-out.</w:t>
      </w:r>
    </w:p>
    <w:p>
      <w:pPr>
        <w:keepNext/>
        <w:spacing w:before="120" w:after="60"/>
        <w:jc w:val="center"/>
      </w:pPr>
      <w:r>
        <w:drawing>
          <wp:inline xmlns:a="http://schemas.openxmlformats.org/drawingml/2006/main" xmlns:pic="http://schemas.openxmlformats.org/drawingml/2006/picture">
            <wp:extent cx="5349240" cy="4261259"/>
            <wp:docPr id="19" name="Picture 19"/>
            <wp:cNvGraphicFramePr>
              <a:graphicFrameLocks noChangeAspect="1"/>
            </wp:cNvGraphicFramePr>
            <a:graphic>
              <a:graphicData uri="http://schemas.openxmlformats.org/drawingml/2006/picture">
                <pic:pic>
                  <pic:nvPicPr>
                    <pic:cNvPr id="0" name="phase6_feature_importance.png"/>
                    <pic:cNvPicPr/>
                  </pic:nvPicPr>
                  <pic:blipFill>
                    <a:blip r:embed="rId27"/>
                    <a:stretch>
                      <a:fillRect/>
                    </a:stretch>
                  </pic:blipFill>
                  <pic:spPr>
                    <a:xfrm>
                      <a:off x="0" y="0"/>
                      <a:ext cx="5349240" cy="4261259"/>
                    </a:xfrm>
                    <a:prstGeom prst="rect"/>
                  </pic:spPr>
                </pic:pic>
              </a:graphicData>
            </a:graphic>
          </wp:inline>
        </w:drawing>
      </w:r>
    </w:p>
    <w:p>
      <w:pPr>
        <w:spacing w:before="60" w:after="220"/>
        <w:jc w:val="center"/>
      </w:pPr>
      <w:r>
        <w:rPr>
          <w:i/>
          <w:color w:val="555F6B"/>
          <w:sz w:val="17"/>
        </w:rPr>
        <w:t>Figure 19: Top twenty features by gain importance in the tuned XGBoost model.</w:t>
      </w:r>
    </w:p>
    <w:p>
      <w:r>
        <w:br w:type="page"/>
      </w:r>
    </w:p>
    <w:p>
      <w:pPr>
        <w:spacing w:after="0"/>
      </w:pPr>
    </w:p>
    <w:p>
      <w:pPr>
        <w:keepNext/>
        <w:spacing w:before="80" w:after="40"/>
        <w:pBdr>
          <w:bottom w:val="single" w:sz="10" w:space="3" w:color="1B355E"/>
        </w:pBdr>
      </w:pPr>
      <w:r>
        <w:rPr>
          <w:b/>
          <w:color w:val="1B355E"/>
          <w:sz w:val="30"/>
        </w:rPr>
        <w:t>17.  Phase 7 — Model Evaluation and Threshold Analysis</w:t>
      </w:r>
    </w:p>
    <w:p>
      <w:pPr>
        <w:spacing w:after="40"/>
      </w:pPr>
    </w:p>
    <w:p>
      <w:pPr>
        <w:keepNext/>
        <w:spacing w:before="240" w:after="80"/>
      </w:pPr>
      <w:r>
        <w:rPr>
          <w:b/>
          <w:color w:val="1B355E"/>
          <w:sz w:val="25"/>
        </w:rPr>
        <w:t>17.1  Purpose</w:t>
      </w:r>
    </w:p>
    <w:p>
      <w:pPr>
        <w:spacing w:after="120" w:before="0"/>
        <w:jc w:val="both"/>
      </w:pPr>
      <w:r>
        <w:rPr>
          <w:b w:val="0"/>
          <w:i w:val="0"/>
          <w:sz w:val="21"/>
        </w:rPr>
        <w:t xml:space="preserve">Phase 7 re-fits four models on the same split and evaluates them more thoroughly than phase 6: precision-recall curves, full confusion matrices, PR-AUC, and a sweep of the decision threshold from 0.10 to 0.90. </w:t>
      </w:r>
      <w:r>
        <w:rPr>
          <w:b/>
          <w:i w:val="0"/>
          <w:sz w:val="21"/>
        </w:rPr>
        <w:t>Modified during remediation</w:t>
      </w:r>
      <w:r>
        <w:rPr>
          <w:b w:val="0"/>
          <w:i w:val="0"/>
          <w:sz w:val="21"/>
        </w:rPr>
        <w:t xml:space="preserve"> for defects 1 and 2.</w:t>
      </w:r>
    </w:p>
    <w:p>
      <w:pPr>
        <w:keepNext/>
        <w:spacing w:before="240" w:after="80"/>
      </w:pPr>
      <w:r>
        <w:rPr>
          <w:b/>
          <w:color w:val="1B355E"/>
          <w:sz w:val="25"/>
        </w:rPr>
        <w:t>17.2  Evaluation results with confusion matrices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872"/>
        <w:gridCol w:w="892"/>
        <w:gridCol w:w="835"/>
        <w:gridCol w:w="691"/>
        <w:gridCol w:w="691"/>
        <w:gridCol w:w="792"/>
        <w:gridCol w:w="691"/>
        <w:gridCol w:w="576"/>
        <w:gridCol w:w="576"/>
        <w:gridCol w:w="576"/>
        <w:gridCol w:w="576"/>
      </w:tblGrid>
      <w:tr>
        <w:tc>
          <w:tcPr>
            <w:tcW w:type="dxa" w:w="1872"/>
            <w:shd w:val="clear" w:color="auto" w:fill="1B355E"/>
          </w:tcPr>
          <w:p>
            <w:pPr>
              <w:spacing w:after="20" w:before="20"/>
              <w:jc w:val="center"/>
            </w:pPr>
            <w:r>
              <w:rPr>
                <w:b/>
                <w:color w:val="FFFFFF"/>
                <w:sz w:val="15"/>
              </w:rPr>
              <w:t>Model</w:t>
            </w:r>
          </w:p>
        </w:tc>
        <w:tc>
          <w:tcPr>
            <w:tcW w:type="dxa" w:w="893"/>
            <w:shd w:val="clear" w:color="auto" w:fill="1B355E"/>
          </w:tcPr>
          <w:p>
            <w:pPr>
              <w:spacing w:after="20" w:before="20"/>
              <w:jc w:val="center"/>
            </w:pPr>
            <w:r>
              <w:rPr>
                <w:b/>
                <w:color w:val="FFFFFF"/>
                <w:sz w:val="15"/>
              </w:rPr>
              <w:t>ROC-AUC</w:t>
            </w:r>
          </w:p>
        </w:tc>
        <w:tc>
          <w:tcPr>
            <w:tcW w:type="dxa" w:w="835"/>
            <w:shd w:val="clear" w:color="auto" w:fill="1B355E"/>
          </w:tcPr>
          <w:p>
            <w:pPr>
              <w:spacing w:after="20" w:before="20"/>
              <w:jc w:val="center"/>
            </w:pPr>
            <w:r>
              <w:rPr>
                <w:b/>
                <w:color w:val="FFFFFF"/>
                <w:sz w:val="15"/>
              </w:rPr>
              <w:t>PR-AUC</w:t>
            </w:r>
          </w:p>
        </w:tc>
        <w:tc>
          <w:tcPr>
            <w:tcW w:type="dxa" w:w="691"/>
            <w:shd w:val="clear" w:color="auto" w:fill="1B355E"/>
          </w:tcPr>
          <w:p>
            <w:pPr>
              <w:spacing w:after="20" w:before="20"/>
              <w:jc w:val="center"/>
            </w:pPr>
            <w:r>
              <w:rPr>
                <w:b/>
                <w:color w:val="FFFFFF"/>
                <w:sz w:val="15"/>
              </w:rPr>
              <w:t>Acc.</w:t>
            </w:r>
          </w:p>
        </w:tc>
        <w:tc>
          <w:tcPr>
            <w:tcW w:type="dxa" w:w="691"/>
            <w:shd w:val="clear" w:color="auto" w:fill="1B355E"/>
          </w:tcPr>
          <w:p>
            <w:pPr>
              <w:spacing w:after="20" w:before="20"/>
              <w:jc w:val="center"/>
            </w:pPr>
            <w:r>
              <w:rPr>
                <w:b/>
                <w:color w:val="FFFFFF"/>
                <w:sz w:val="15"/>
              </w:rPr>
              <w:t>Prec.</w:t>
            </w:r>
          </w:p>
        </w:tc>
        <w:tc>
          <w:tcPr>
            <w:tcW w:type="dxa" w:w="792"/>
            <w:shd w:val="clear" w:color="auto" w:fill="1B355E"/>
          </w:tcPr>
          <w:p>
            <w:pPr>
              <w:spacing w:after="20" w:before="20"/>
              <w:jc w:val="center"/>
            </w:pPr>
            <w:r>
              <w:rPr>
                <w:b/>
                <w:color w:val="FFFFFF"/>
                <w:sz w:val="15"/>
              </w:rPr>
              <w:t>Recall</w:t>
            </w:r>
          </w:p>
        </w:tc>
        <w:tc>
          <w:tcPr>
            <w:tcW w:type="dxa" w:w="691"/>
            <w:shd w:val="clear" w:color="auto" w:fill="1B355E"/>
          </w:tcPr>
          <w:p>
            <w:pPr>
              <w:spacing w:after="20" w:before="20"/>
              <w:jc w:val="center"/>
            </w:pPr>
            <w:r>
              <w:rPr>
                <w:b/>
                <w:color w:val="FFFFFF"/>
                <w:sz w:val="15"/>
              </w:rPr>
              <w:t>F1</w:t>
            </w:r>
          </w:p>
        </w:tc>
        <w:tc>
          <w:tcPr>
            <w:tcW w:type="dxa" w:w="576"/>
            <w:shd w:val="clear" w:color="auto" w:fill="1B355E"/>
          </w:tcPr>
          <w:p>
            <w:pPr>
              <w:spacing w:after="20" w:before="20"/>
              <w:jc w:val="center"/>
            </w:pPr>
            <w:r>
              <w:rPr>
                <w:b/>
                <w:color w:val="FFFFFF"/>
                <w:sz w:val="15"/>
              </w:rPr>
              <w:t>TN</w:t>
            </w:r>
          </w:p>
        </w:tc>
        <w:tc>
          <w:tcPr>
            <w:tcW w:type="dxa" w:w="576"/>
            <w:shd w:val="clear" w:color="auto" w:fill="1B355E"/>
          </w:tcPr>
          <w:p>
            <w:pPr>
              <w:spacing w:after="20" w:before="20"/>
              <w:jc w:val="center"/>
            </w:pPr>
            <w:r>
              <w:rPr>
                <w:b/>
                <w:color w:val="FFFFFF"/>
                <w:sz w:val="15"/>
              </w:rPr>
              <w:t>FP</w:t>
            </w:r>
          </w:p>
        </w:tc>
        <w:tc>
          <w:tcPr>
            <w:tcW w:type="dxa" w:w="576"/>
            <w:shd w:val="clear" w:color="auto" w:fill="1B355E"/>
          </w:tcPr>
          <w:p>
            <w:pPr>
              <w:spacing w:after="20" w:before="20"/>
              <w:jc w:val="center"/>
            </w:pPr>
            <w:r>
              <w:rPr>
                <w:b/>
                <w:color w:val="FFFFFF"/>
                <w:sz w:val="15"/>
              </w:rPr>
              <w:t>FN</w:t>
            </w:r>
          </w:p>
        </w:tc>
        <w:tc>
          <w:tcPr>
            <w:tcW w:type="dxa" w:w="576"/>
            <w:shd w:val="clear" w:color="auto" w:fill="1B355E"/>
          </w:tcPr>
          <w:p>
            <w:pPr>
              <w:spacing w:after="20" w:before="20"/>
              <w:jc w:val="center"/>
            </w:pPr>
            <w:r>
              <w:rPr>
                <w:b/>
                <w:color w:val="FFFFFF"/>
                <w:sz w:val="15"/>
              </w:rPr>
              <w:t>TP</w:t>
            </w:r>
          </w:p>
        </w:tc>
      </w:tr>
      <w:tr>
        <w:tc>
          <w:tcPr>
            <w:tcW w:type="dxa" w:w="1872"/>
          </w:tcPr>
          <w:p>
            <w:pPr>
              <w:spacing w:after="20" w:before="20" w:line="254" w:lineRule="auto"/>
              <w:jc w:val="left"/>
            </w:pPr>
            <w:r>
              <w:rPr>
                <w:b/>
                <w:sz w:val="15"/>
              </w:rPr>
              <w:t>Tuned XGBoost</w:t>
            </w:r>
          </w:p>
        </w:tc>
        <w:tc>
          <w:tcPr>
            <w:tcW w:type="dxa" w:w="893"/>
          </w:tcPr>
          <w:p>
            <w:pPr>
              <w:spacing w:after="20" w:before="20" w:line="254" w:lineRule="auto"/>
              <w:jc w:val="center"/>
            </w:pPr>
            <w:r>
              <w:rPr>
                <w:b/>
                <w:sz w:val="15"/>
              </w:rPr>
              <w:t>0.8472</w:t>
            </w:r>
          </w:p>
        </w:tc>
        <w:tc>
          <w:tcPr>
            <w:tcW w:type="dxa" w:w="835"/>
          </w:tcPr>
          <w:p>
            <w:pPr>
              <w:spacing w:after="20" w:before="20" w:line="254" w:lineRule="auto"/>
              <w:jc w:val="center"/>
            </w:pPr>
            <w:r>
              <w:rPr>
                <w:b/>
                <w:sz w:val="15"/>
              </w:rPr>
              <w:t>0.6632</w:t>
            </w:r>
          </w:p>
        </w:tc>
        <w:tc>
          <w:tcPr>
            <w:tcW w:type="dxa" w:w="691"/>
          </w:tcPr>
          <w:p>
            <w:pPr>
              <w:spacing w:after="20" w:before="20" w:line="254" w:lineRule="auto"/>
              <w:jc w:val="center"/>
            </w:pPr>
            <w:r>
              <w:rPr>
                <w:sz w:val="15"/>
              </w:rPr>
              <w:t>0.7339</w:t>
            </w:r>
          </w:p>
        </w:tc>
        <w:tc>
          <w:tcPr>
            <w:tcW w:type="dxa" w:w="691"/>
          </w:tcPr>
          <w:p>
            <w:pPr>
              <w:spacing w:after="20" w:before="20" w:line="254" w:lineRule="auto"/>
              <w:jc w:val="center"/>
            </w:pPr>
            <w:r>
              <w:rPr>
                <w:sz w:val="15"/>
              </w:rPr>
              <w:t>0.4992</w:t>
            </w:r>
          </w:p>
        </w:tc>
        <w:tc>
          <w:tcPr>
            <w:tcW w:type="dxa" w:w="792"/>
          </w:tcPr>
          <w:p>
            <w:pPr>
              <w:spacing w:after="20" w:before="20" w:line="254" w:lineRule="auto"/>
              <w:jc w:val="center"/>
            </w:pPr>
            <w:r>
              <w:rPr>
                <w:b/>
                <w:sz w:val="15"/>
              </w:rPr>
              <w:t>0.8262</w:t>
            </w:r>
          </w:p>
        </w:tc>
        <w:tc>
          <w:tcPr>
            <w:tcW w:type="dxa" w:w="691"/>
          </w:tcPr>
          <w:p>
            <w:pPr>
              <w:spacing w:after="20" w:before="20" w:line="254" w:lineRule="auto"/>
              <w:jc w:val="center"/>
            </w:pPr>
            <w:r>
              <w:rPr>
                <w:sz w:val="15"/>
              </w:rPr>
              <w:t>0.6224</w:t>
            </w:r>
          </w:p>
        </w:tc>
        <w:tc>
          <w:tcPr>
            <w:tcW w:type="dxa" w:w="576"/>
          </w:tcPr>
          <w:p>
            <w:pPr>
              <w:spacing w:after="20" w:before="20" w:line="254" w:lineRule="auto"/>
              <w:jc w:val="center"/>
            </w:pPr>
            <w:r>
              <w:rPr>
                <w:sz w:val="15"/>
              </w:rPr>
              <w:t>725</w:t>
            </w:r>
          </w:p>
        </w:tc>
        <w:tc>
          <w:tcPr>
            <w:tcW w:type="dxa" w:w="576"/>
          </w:tcPr>
          <w:p>
            <w:pPr>
              <w:spacing w:after="20" w:before="20" w:line="254" w:lineRule="auto"/>
              <w:jc w:val="center"/>
            </w:pPr>
            <w:r>
              <w:rPr>
                <w:sz w:val="15"/>
              </w:rPr>
              <w:t>310</w:t>
            </w:r>
          </w:p>
        </w:tc>
        <w:tc>
          <w:tcPr>
            <w:tcW w:type="dxa" w:w="576"/>
          </w:tcPr>
          <w:p>
            <w:pPr>
              <w:spacing w:after="20" w:before="20" w:line="254" w:lineRule="auto"/>
              <w:jc w:val="center"/>
            </w:pPr>
            <w:r>
              <w:rPr>
                <w:b/>
                <w:sz w:val="15"/>
              </w:rPr>
              <w:t>65</w:t>
            </w:r>
          </w:p>
        </w:tc>
        <w:tc>
          <w:tcPr>
            <w:tcW w:type="dxa" w:w="576"/>
          </w:tcPr>
          <w:p>
            <w:pPr>
              <w:spacing w:after="20" w:before="20" w:line="254" w:lineRule="auto"/>
              <w:jc w:val="center"/>
            </w:pPr>
            <w:r>
              <w:rPr>
                <w:b/>
                <w:sz w:val="15"/>
              </w:rPr>
              <w:t>309</w:t>
            </w:r>
          </w:p>
        </w:tc>
      </w:tr>
      <w:tr>
        <w:tc>
          <w:tcPr>
            <w:tcW w:type="dxa" w:w="1872"/>
            <w:shd w:val="clear" w:color="auto" w:fill="F2F5F9"/>
          </w:tcPr>
          <w:p>
            <w:pPr>
              <w:spacing w:after="20" w:before="20" w:line="254" w:lineRule="auto"/>
              <w:jc w:val="left"/>
            </w:pPr>
            <w:r>
              <w:rPr>
                <w:sz w:val="15"/>
              </w:rPr>
              <w:t>Logistic Regression</w:t>
            </w:r>
          </w:p>
        </w:tc>
        <w:tc>
          <w:tcPr>
            <w:tcW w:type="dxa" w:w="893"/>
            <w:shd w:val="clear" w:color="auto" w:fill="F2F5F9"/>
          </w:tcPr>
          <w:p>
            <w:pPr>
              <w:spacing w:after="20" w:before="20" w:line="254" w:lineRule="auto"/>
              <w:jc w:val="center"/>
            </w:pPr>
            <w:r>
              <w:rPr>
                <w:sz w:val="15"/>
              </w:rPr>
              <w:t>0.8448</w:t>
            </w:r>
          </w:p>
        </w:tc>
        <w:tc>
          <w:tcPr>
            <w:tcW w:type="dxa" w:w="835"/>
            <w:shd w:val="clear" w:color="auto" w:fill="F2F5F9"/>
          </w:tcPr>
          <w:p>
            <w:pPr>
              <w:spacing w:after="20" w:before="20" w:line="254" w:lineRule="auto"/>
              <w:jc w:val="center"/>
            </w:pPr>
            <w:r>
              <w:rPr>
                <w:sz w:val="15"/>
              </w:rPr>
              <w:t>0.6492</w:t>
            </w:r>
          </w:p>
        </w:tc>
        <w:tc>
          <w:tcPr>
            <w:tcW w:type="dxa" w:w="691"/>
            <w:shd w:val="clear" w:color="auto" w:fill="F2F5F9"/>
          </w:tcPr>
          <w:p>
            <w:pPr>
              <w:spacing w:after="20" w:before="20" w:line="254" w:lineRule="auto"/>
              <w:jc w:val="center"/>
            </w:pPr>
            <w:r>
              <w:rPr>
                <w:sz w:val="15"/>
              </w:rPr>
              <w:t>0.7459</w:t>
            </w:r>
          </w:p>
        </w:tc>
        <w:tc>
          <w:tcPr>
            <w:tcW w:type="dxa" w:w="691"/>
            <w:shd w:val="clear" w:color="auto" w:fill="F2F5F9"/>
          </w:tcPr>
          <w:p>
            <w:pPr>
              <w:spacing w:after="20" w:before="20" w:line="254" w:lineRule="auto"/>
              <w:jc w:val="center"/>
            </w:pPr>
            <w:r>
              <w:rPr>
                <w:sz w:val="15"/>
              </w:rPr>
              <w:t>0.5139</w:t>
            </w:r>
          </w:p>
        </w:tc>
        <w:tc>
          <w:tcPr>
            <w:tcW w:type="dxa" w:w="792"/>
            <w:shd w:val="clear" w:color="auto" w:fill="F2F5F9"/>
          </w:tcPr>
          <w:p>
            <w:pPr>
              <w:spacing w:after="20" w:before="20" w:line="254" w:lineRule="auto"/>
              <w:jc w:val="center"/>
            </w:pPr>
            <w:r>
              <w:rPr>
                <w:sz w:val="15"/>
              </w:rPr>
              <w:t>0.7914</w:t>
            </w:r>
          </w:p>
        </w:tc>
        <w:tc>
          <w:tcPr>
            <w:tcW w:type="dxa" w:w="691"/>
            <w:shd w:val="clear" w:color="auto" w:fill="F2F5F9"/>
          </w:tcPr>
          <w:p>
            <w:pPr>
              <w:spacing w:after="20" w:before="20" w:line="254" w:lineRule="auto"/>
              <w:jc w:val="center"/>
            </w:pPr>
            <w:r>
              <w:rPr>
                <w:sz w:val="15"/>
              </w:rPr>
              <w:t>0.6232</w:t>
            </w:r>
          </w:p>
        </w:tc>
        <w:tc>
          <w:tcPr>
            <w:tcW w:type="dxa" w:w="576"/>
            <w:shd w:val="clear" w:color="auto" w:fill="F2F5F9"/>
          </w:tcPr>
          <w:p>
            <w:pPr>
              <w:spacing w:after="20" w:before="20" w:line="254" w:lineRule="auto"/>
              <w:jc w:val="center"/>
            </w:pPr>
            <w:r>
              <w:rPr>
                <w:sz w:val="15"/>
              </w:rPr>
              <w:t>755</w:t>
            </w:r>
          </w:p>
        </w:tc>
        <w:tc>
          <w:tcPr>
            <w:tcW w:type="dxa" w:w="576"/>
            <w:shd w:val="clear" w:color="auto" w:fill="F2F5F9"/>
          </w:tcPr>
          <w:p>
            <w:pPr>
              <w:spacing w:after="20" w:before="20" w:line="254" w:lineRule="auto"/>
              <w:jc w:val="center"/>
            </w:pPr>
            <w:r>
              <w:rPr>
                <w:sz w:val="15"/>
              </w:rPr>
              <w:t>280</w:t>
            </w:r>
          </w:p>
        </w:tc>
        <w:tc>
          <w:tcPr>
            <w:tcW w:type="dxa" w:w="576"/>
            <w:shd w:val="clear" w:color="auto" w:fill="F2F5F9"/>
          </w:tcPr>
          <w:p>
            <w:pPr>
              <w:spacing w:after="20" w:before="20" w:line="254" w:lineRule="auto"/>
              <w:jc w:val="center"/>
            </w:pPr>
            <w:r>
              <w:rPr>
                <w:sz w:val="15"/>
              </w:rPr>
              <w:t>78</w:t>
            </w:r>
          </w:p>
        </w:tc>
        <w:tc>
          <w:tcPr>
            <w:tcW w:type="dxa" w:w="576"/>
            <w:shd w:val="clear" w:color="auto" w:fill="F2F5F9"/>
          </w:tcPr>
          <w:p>
            <w:pPr>
              <w:spacing w:after="20" w:before="20" w:line="254" w:lineRule="auto"/>
              <w:jc w:val="center"/>
            </w:pPr>
            <w:r>
              <w:rPr>
                <w:sz w:val="15"/>
              </w:rPr>
              <w:t>296</w:t>
            </w:r>
          </w:p>
        </w:tc>
      </w:tr>
      <w:tr>
        <w:tc>
          <w:tcPr>
            <w:tcW w:type="dxa" w:w="1872"/>
          </w:tcPr>
          <w:p>
            <w:pPr>
              <w:spacing w:after="20" w:before="20" w:line="254" w:lineRule="auto"/>
              <w:jc w:val="left"/>
            </w:pPr>
            <w:r>
              <w:rPr>
                <w:sz w:val="15"/>
              </w:rPr>
              <w:t>Random Forest</w:t>
            </w:r>
          </w:p>
        </w:tc>
        <w:tc>
          <w:tcPr>
            <w:tcW w:type="dxa" w:w="893"/>
          </w:tcPr>
          <w:p>
            <w:pPr>
              <w:spacing w:after="20" w:before="20" w:line="254" w:lineRule="auto"/>
              <w:jc w:val="center"/>
            </w:pPr>
            <w:r>
              <w:rPr>
                <w:sz w:val="15"/>
              </w:rPr>
              <w:t>0.8425</w:t>
            </w:r>
          </w:p>
        </w:tc>
        <w:tc>
          <w:tcPr>
            <w:tcW w:type="dxa" w:w="835"/>
          </w:tcPr>
          <w:p>
            <w:pPr>
              <w:spacing w:after="20" w:before="20" w:line="254" w:lineRule="auto"/>
              <w:jc w:val="center"/>
            </w:pPr>
            <w:r>
              <w:rPr>
                <w:sz w:val="15"/>
              </w:rPr>
              <w:t>0.6510</w:t>
            </w:r>
          </w:p>
        </w:tc>
        <w:tc>
          <w:tcPr>
            <w:tcW w:type="dxa" w:w="691"/>
          </w:tcPr>
          <w:p>
            <w:pPr>
              <w:spacing w:after="20" w:before="20" w:line="254" w:lineRule="auto"/>
              <w:jc w:val="center"/>
            </w:pPr>
            <w:r>
              <w:rPr>
                <w:sz w:val="15"/>
              </w:rPr>
              <w:t>0.7587</w:t>
            </w:r>
          </w:p>
        </w:tc>
        <w:tc>
          <w:tcPr>
            <w:tcW w:type="dxa" w:w="691"/>
          </w:tcPr>
          <w:p>
            <w:pPr>
              <w:spacing w:after="20" w:before="20" w:line="254" w:lineRule="auto"/>
              <w:jc w:val="center"/>
            </w:pPr>
            <w:r>
              <w:rPr>
                <w:sz w:val="15"/>
              </w:rPr>
              <w:t>0.5309</w:t>
            </w:r>
          </w:p>
        </w:tc>
        <w:tc>
          <w:tcPr>
            <w:tcW w:type="dxa" w:w="792"/>
          </w:tcPr>
          <w:p>
            <w:pPr>
              <w:spacing w:after="20" w:before="20" w:line="254" w:lineRule="auto"/>
              <w:jc w:val="center"/>
            </w:pPr>
            <w:r>
              <w:rPr>
                <w:sz w:val="15"/>
              </w:rPr>
              <w:t>0.7807</w:t>
            </w:r>
          </w:p>
        </w:tc>
        <w:tc>
          <w:tcPr>
            <w:tcW w:type="dxa" w:w="691"/>
          </w:tcPr>
          <w:p>
            <w:pPr>
              <w:spacing w:after="20" w:before="20" w:line="254" w:lineRule="auto"/>
              <w:jc w:val="center"/>
            </w:pPr>
            <w:r>
              <w:rPr>
                <w:b/>
                <w:sz w:val="15"/>
              </w:rPr>
              <w:t>0.6320</w:t>
            </w:r>
          </w:p>
        </w:tc>
        <w:tc>
          <w:tcPr>
            <w:tcW w:type="dxa" w:w="576"/>
          </w:tcPr>
          <w:p>
            <w:pPr>
              <w:spacing w:after="20" w:before="20" w:line="254" w:lineRule="auto"/>
              <w:jc w:val="center"/>
            </w:pPr>
            <w:r>
              <w:rPr>
                <w:sz w:val="15"/>
              </w:rPr>
              <w:t>777</w:t>
            </w:r>
          </w:p>
        </w:tc>
        <w:tc>
          <w:tcPr>
            <w:tcW w:type="dxa" w:w="576"/>
          </w:tcPr>
          <w:p>
            <w:pPr>
              <w:spacing w:after="20" w:before="20" w:line="254" w:lineRule="auto"/>
              <w:jc w:val="center"/>
            </w:pPr>
            <w:r>
              <w:rPr>
                <w:sz w:val="15"/>
              </w:rPr>
              <w:t>258</w:t>
            </w:r>
          </w:p>
        </w:tc>
        <w:tc>
          <w:tcPr>
            <w:tcW w:type="dxa" w:w="576"/>
          </w:tcPr>
          <w:p>
            <w:pPr>
              <w:spacing w:after="20" w:before="20" w:line="254" w:lineRule="auto"/>
              <w:jc w:val="center"/>
            </w:pPr>
            <w:r>
              <w:rPr>
                <w:sz w:val="15"/>
              </w:rPr>
              <w:t>82</w:t>
            </w:r>
          </w:p>
        </w:tc>
        <w:tc>
          <w:tcPr>
            <w:tcW w:type="dxa" w:w="576"/>
          </w:tcPr>
          <w:p>
            <w:pPr>
              <w:spacing w:after="20" w:before="20" w:line="254" w:lineRule="auto"/>
              <w:jc w:val="center"/>
            </w:pPr>
            <w:r>
              <w:rPr>
                <w:sz w:val="15"/>
              </w:rPr>
              <w:t>292</w:t>
            </w:r>
          </w:p>
        </w:tc>
      </w:tr>
      <w:tr>
        <w:tc>
          <w:tcPr>
            <w:tcW w:type="dxa" w:w="1872"/>
            <w:shd w:val="clear" w:color="auto" w:fill="F2F5F9"/>
          </w:tcPr>
          <w:p>
            <w:pPr>
              <w:spacing w:after="20" w:before="20" w:line="254" w:lineRule="auto"/>
              <w:jc w:val="left"/>
            </w:pPr>
            <w:r>
              <w:rPr>
                <w:sz w:val="15"/>
              </w:rPr>
              <w:t>Support Vector Machine</w:t>
            </w:r>
          </w:p>
        </w:tc>
        <w:tc>
          <w:tcPr>
            <w:tcW w:type="dxa" w:w="893"/>
            <w:shd w:val="clear" w:color="auto" w:fill="F2F5F9"/>
          </w:tcPr>
          <w:p>
            <w:pPr>
              <w:spacing w:after="20" w:before="20" w:line="254" w:lineRule="auto"/>
              <w:jc w:val="center"/>
            </w:pPr>
            <w:r>
              <w:rPr>
                <w:sz w:val="15"/>
              </w:rPr>
              <w:t>0.8334</w:t>
            </w:r>
          </w:p>
        </w:tc>
        <w:tc>
          <w:tcPr>
            <w:tcW w:type="dxa" w:w="835"/>
            <w:shd w:val="clear" w:color="auto" w:fill="F2F5F9"/>
          </w:tcPr>
          <w:p>
            <w:pPr>
              <w:spacing w:after="20" w:before="20" w:line="254" w:lineRule="auto"/>
              <w:jc w:val="center"/>
            </w:pPr>
            <w:r>
              <w:rPr>
                <w:sz w:val="15"/>
              </w:rPr>
              <w:t>0.6269</w:t>
            </w:r>
          </w:p>
        </w:tc>
        <w:tc>
          <w:tcPr>
            <w:tcW w:type="dxa" w:w="691"/>
            <w:shd w:val="clear" w:color="auto" w:fill="F2F5F9"/>
          </w:tcPr>
          <w:p>
            <w:pPr>
              <w:spacing w:after="20" w:before="20" w:line="254" w:lineRule="auto"/>
              <w:jc w:val="center"/>
            </w:pPr>
            <w:r>
              <w:rPr>
                <w:sz w:val="15"/>
              </w:rPr>
              <w:t>0.7850</w:t>
            </w:r>
          </w:p>
        </w:tc>
        <w:tc>
          <w:tcPr>
            <w:tcW w:type="dxa" w:w="691"/>
            <w:shd w:val="clear" w:color="auto" w:fill="F2F5F9"/>
          </w:tcPr>
          <w:p>
            <w:pPr>
              <w:spacing w:after="20" w:before="20" w:line="254" w:lineRule="auto"/>
              <w:jc w:val="center"/>
            </w:pPr>
            <w:r>
              <w:rPr>
                <w:sz w:val="15"/>
              </w:rPr>
              <w:t>0.5927</w:t>
            </w:r>
          </w:p>
        </w:tc>
        <w:tc>
          <w:tcPr>
            <w:tcW w:type="dxa" w:w="792"/>
            <w:shd w:val="clear" w:color="auto" w:fill="F2F5F9"/>
          </w:tcPr>
          <w:p>
            <w:pPr>
              <w:spacing w:after="20" w:before="20" w:line="254" w:lineRule="auto"/>
              <w:jc w:val="center"/>
            </w:pPr>
            <w:r>
              <w:rPr>
                <w:sz w:val="15"/>
              </w:rPr>
              <w:t>0.6070</w:t>
            </w:r>
          </w:p>
        </w:tc>
        <w:tc>
          <w:tcPr>
            <w:tcW w:type="dxa" w:w="691"/>
            <w:shd w:val="clear" w:color="auto" w:fill="F2F5F9"/>
          </w:tcPr>
          <w:p>
            <w:pPr>
              <w:spacing w:after="20" w:before="20" w:line="254" w:lineRule="auto"/>
              <w:jc w:val="center"/>
            </w:pPr>
            <w:r>
              <w:rPr>
                <w:sz w:val="15"/>
              </w:rPr>
              <w:t>0.5997</w:t>
            </w:r>
          </w:p>
        </w:tc>
        <w:tc>
          <w:tcPr>
            <w:tcW w:type="dxa" w:w="576"/>
            <w:shd w:val="clear" w:color="auto" w:fill="F2F5F9"/>
          </w:tcPr>
          <w:p>
            <w:pPr>
              <w:spacing w:after="20" w:before="20" w:line="254" w:lineRule="auto"/>
              <w:jc w:val="center"/>
            </w:pPr>
            <w:r>
              <w:rPr>
                <w:sz w:val="15"/>
              </w:rPr>
              <w:t>879</w:t>
            </w:r>
          </w:p>
        </w:tc>
        <w:tc>
          <w:tcPr>
            <w:tcW w:type="dxa" w:w="576"/>
            <w:shd w:val="clear" w:color="auto" w:fill="F2F5F9"/>
          </w:tcPr>
          <w:p>
            <w:pPr>
              <w:spacing w:after="20" w:before="20" w:line="254" w:lineRule="auto"/>
              <w:jc w:val="center"/>
            </w:pPr>
            <w:r>
              <w:rPr>
                <w:sz w:val="15"/>
              </w:rPr>
              <w:t>156</w:t>
            </w:r>
          </w:p>
        </w:tc>
        <w:tc>
          <w:tcPr>
            <w:tcW w:type="dxa" w:w="576"/>
            <w:shd w:val="clear" w:color="auto" w:fill="F2F5F9"/>
          </w:tcPr>
          <w:p>
            <w:pPr>
              <w:spacing w:after="20" w:before="20" w:line="254" w:lineRule="auto"/>
              <w:jc w:val="center"/>
            </w:pPr>
            <w:r>
              <w:rPr>
                <w:sz w:val="15"/>
              </w:rPr>
              <w:t>147</w:t>
            </w:r>
          </w:p>
        </w:tc>
        <w:tc>
          <w:tcPr>
            <w:tcW w:type="dxa" w:w="576"/>
            <w:shd w:val="clear" w:color="auto" w:fill="F2F5F9"/>
          </w:tcPr>
          <w:p>
            <w:pPr>
              <w:spacing w:after="20" w:before="20" w:line="254" w:lineRule="auto"/>
              <w:jc w:val="center"/>
            </w:pPr>
            <w:r>
              <w:rPr>
                <w:sz w:val="15"/>
              </w:rPr>
              <w:t>227</w:t>
            </w:r>
          </w:p>
        </w:tc>
      </w:tr>
    </w:tbl>
    <w:p>
      <w:pPr>
        <w:spacing w:before="60" w:after="200"/>
        <w:jc w:val="center"/>
      </w:pPr>
      <w:r>
        <w:rPr>
          <w:i/>
          <w:color w:val="555F6B"/>
          <w:sz w:val="17"/>
        </w:rPr>
        <w:t>Table 35: Phase 7 hold-out evaluation with confusion-matrix cells. Labels are assigned by thresholding predicted probability at 0.50, identically to phase 6.</w:t>
      </w:r>
    </w:p>
    <w:p>
      <w:pPr>
        <w:spacing w:after="120" w:before="0"/>
        <w:jc w:val="both"/>
      </w:pPr>
      <w:r>
        <w:rPr>
          <w:b w:val="0"/>
          <w:i w:val="0"/>
          <w:sz w:val="21"/>
        </w:rPr>
        <w:t>The confusion matrix for the selected model reads as follows. Of 374 customers who actually churned, the model identified 309 and missed 65. It also raised 310 false alarms. Given that a missed churner costs the customer's remaining lifetime value while a false alarm costs one retention offer, this asymmetry is economically favourable — the business spends 310 unnecessary offers to reach 309 genuine churners.</w:t>
      </w:r>
    </w:p>
    <w:p>
      <w:pPr>
        <w:keepNext/>
        <w:spacing w:before="120" w:after="60"/>
        <w:jc w:val="center"/>
      </w:pPr>
      <w:r>
        <w:drawing>
          <wp:inline xmlns:a="http://schemas.openxmlformats.org/drawingml/2006/main" xmlns:pic="http://schemas.openxmlformats.org/drawingml/2006/picture">
            <wp:extent cx="5074920" cy="3925882"/>
            <wp:docPr id="20" name="Picture 20"/>
            <wp:cNvGraphicFramePr>
              <a:graphicFrameLocks noChangeAspect="1"/>
            </wp:cNvGraphicFramePr>
            <a:graphic>
              <a:graphicData uri="http://schemas.openxmlformats.org/drawingml/2006/picture">
                <pic:pic>
                  <pic:nvPicPr>
                    <pic:cNvPr id="0" name="phase7_overlay_roc_curves.png"/>
                    <pic:cNvPicPr/>
                  </pic:nvPicPr>
                  <pic:blipFill>
                    <a:blip r:embed="rId28"/>
                    <a:stretch>
                      <a:fillRect/>
                    </a:stretch>
                  </pic:blipFill>
                  <pic:spPr>
                    <a:xfrm>
                      <a:off x="0" y="0"/>
                      <a:ext cx="5074920" cy="3925882"/>
                    </a:xfrm>
                    <a:prstGeom prst="rect"/>
                  </pic:spPr>
                </pic:pic>
              </a:graphicData>
            </a:graphic>
          </wp:inline>
        </w:drawing>
      </w:r>
    </w:p>
    <w:p>
      <w:pPr>
        <w:spacing w:before="60" w:after="220"/>
        <w:jc w:val="center"/>
      </w:pPr>
      <w:r>
        <w:rPr>
          <w:i/>
          <w:color w:val="555F6B"/>
          <w:sz w:val="17"/>
        </w:rPr>
        <w:t>Figure 20: Overlaid ROC curves for the four evaluated models.</w:t>
      </w:r>
    </w:p>
    <w:p>
      <w:pPr>
        <w:keepNext/>
        <w:spacing w:before="120" w:after="60"/>
        <w:jc w:val="center"/>
      </w:pPr>
      <w:r>
        <w:drawing>
          <wp:inline xmlns:a="http://schemas.openxmlformats.org/drawingml/2006/main" xmlns:pic="http://schemas.openxmlformats.org/drawingml/2006/picture">
            <wp:extent cx="5074920" cy="3925882"/>
            <wp:docPr id="21" name="Picture 21"/>
            <wp:cNvGraphicFramePr>
              <a:graphicFrameLocks noChangeAspect="1"/>
            </wp:cNvGraphicFramePr>
            <a:graphic>
              <a:graphicData uri="http://schemas.openxmlformats.org/drawingml/2006/picture">
                <pic:pic>
                  <pic:nvPicPr>
                    <pic:cNvPr id="0" name="phase7_precision_recall_curves.png"/>
                    <pic:cNvPicPr/>
                  </pic:nvPicPr>
                  <pic:blipFill>
                    <a:blip r:embed="rId29"/>
                    <a:stretch>
                      <a:fillRect/>
                    </a:stretch>
                  </pic:blipFill>
                  <pic:spPr>
                    <a:xfrm>
                      <a:off x="0" y="0"/>
                      <a:ext cx="5074920" cy="3925882"/>
                    </a:xfrm>
                    <a:prstGeom prst="rect"/>
                  </pic:spPr>
                </pic:pic>
              </a:graphicData>
            </a:graphic>
          </wp:inline>
        </w:drawing>
      </w:r>
    </w:p>
    <w:p>
      <w:pPr>
        <w:spacing w:before="60" w:after="220"/>
        <w:jc w:val="center"/>
      </w:pPr>
      <w:r>
        <w:rPr>
          <w:i/>
          <w:color w:val="555F6B"/>
          <w:sz w:val="17"/>
        </w:rPr>
        <w:t>Figure 21: Precision-recall curves. At a 26.54 % base rate, PR-AUC is the more informative summary for an imbalanced problem.</w:t>
      </w:r>
    </w:p>
    <w:p>
      <w:r>
        <w:br w:type="page"/>
      </w:r>
    </w:p>
    <w:p>
      <w:pPr>
        <w:keepNext/>
        <w:spacing w:before="120" w:after="60"/>
        <w:jc w:val="center"/>
      </w:pPr>
      <w:r>
        <w:drawing>
          <wp:inline xmlns:a="http://schemas.openxmlformats.org/drawingml/2006/main" xmlns:pic="http://schemas.openxmlformats.org/drawingml/2006/picture">
            <wp:extent cx="5623560" cy="4855271"/>
            <wp:docPr id="22" name="Picture 22"/>
            <wp:cNvGraphicFramePr>
              <a:graphicFrameLocks noChangeAspect="1"/>
            </wp:cNvGraphicFramePr>
            <a:graphic>
              <a:graphicData uri="http://schemas.openxmlformats.org/drawingml/2006/picture">
                <pic:pic>
                  <pic:nvPicPr>
                    <pic:cNvPr id="0" name="phase7_all_confusion_matrices.png"/>
                    <pic:cNvPicPr/>
                  </pic:nvPicPr>
                  <pic:blipFill>
                    <a:blip r:embed="rId30"/>
                    <a:stretch>
                      <a:fillRect/>
                    </a:stretch>
                  </pic:blipFill>
                  <pic:spPr>
                    <a:xfrm>
                      <a:off x="0" y="0"/>
                      <a:ext cx="5623560" cy="4855271"/>
                    </a:xfrm>
                    <a:prstGeom prst="rect"/>
                  </pic:spPr>
                </pic:pic>
              </a:graphicData>
            </a:graphic>
          </wp:inline>
        </w:drawing>
      </w:r>
    </w:p>
    <w:p>
      <w:pPr>
        <w:spacing w:before="60" w:after="220"/>
        <w:jc w:val="center"/>
      </w:pPr>
      <w:r>
        <w:rPr>
          <w:i/>
          <w:color w:val="555F6B"/>
          <w:sz w:val="17"/>
        </w:rPr>
        <w:t>Figure 22: Confusion matrices for all four models side by side.</w:t>
      </w:r>
    </w:p>
    <w:p>
      <w:pPr>
        <w:keepNext/>
        <w:spacing w:before="120" w:after="60"/>
        <w:jc w:val="center"/>
      </w:pPr>
      <w:r>
        <w:drawing>
          <wp:inline xmlns:a="http://schemas.openxmlformats.org/drawingml/2006/main" xmlns:pic="http://schemas.openxmlformats.org/drawingml/2006/picture">
            <wp:extent cx="5440680" cy="2895106"/>
            <wp:docPr id="23" name="Picture 23"/>
            <wp:cNvGraphicFramePr>
              <a:graphicFrameLocks noChangeAspect="1"/>
            </wp:cNvGraphicFramePr>
            <a:graphic>
              <a:graphicData uri="http://schemas.openxmlformats.org/drawingml/2006/picture">
                <pic:pic>
                  <pic:nvPicPr>
                    <pic:cNvPr id="0" name="phase7_model_comparison.png"/>
                    <pic:cNvPicPr/>
                  </pic:nvPicPr>
                  <pic:blipFill>
                    <a:blip r:embed="rId31"/>
                    <a:stretch>
                      <a:fillRect/>
                    </a:stretch>
                  </pic:blipFill>
                  <pic:spPr>
                    <a:xfrm>
                      <a:off x="0" y="0"/>
                      <a:ext cx="5440680" cy="2895106"/>
                    </a:xfrm>
                    <a:prstGeom prst="rect"/>
                  </pic:spPr>
                </pic:pic>
              </a:graphicData>
            </a:graphic>
          </wp:inline>
        </w:drawing>
      </w:r>
    </w:p>
    <w:p>
      <w:pPr>
        <w:spacing w:before="60" w:after="220"/>
        <w:jc w:val="center"/>
      </w:pPr>
      <w:r>
        <w:rPr>
          <w:i/>
          <w:color w:val="555F6B"/>
          <w:sz w:val="17"/>
        </w:rPr>
        <w:t>Figure 23: Head-to-head metric comparison across the four models.</w:t>
      </w:r>
    </w:p>
    <w:p>
      <w:r>
        <w:br w:type="page"/>
      </w:r>
    </w:p>
    <w:p>
      <w:pPr>
        <w:keepNext/>
        <w:spacing w:before="240" w:after="80"/>
      </w:pPr>
      <w:r>
        <w:rPr>
          <w:b/>
          <w:color w:val="1B355E"/>
          <w:sz w:val="25"/>
        </w:rPr>
        <w:t>17.3  Threshold analysis</w:t>
      </w:r>
    </w:p>
    <w:p>
      <w:pPr>
        <w:spacing w:after="120" w:before="0"/>
        <w:jc w:val="both"/>
      </w:pPr>
      <w:r>
        <w:rPr>
          <w:b w:val="0"/>
          <w:i w:val="0"/>
          <w:sz w:val="21"/>
        </w:rPr>
        <w:t>The default 0.50 cut-off is a mathematical convention, not a business choice. Because a missed churner costs far more than a false alarm, the economically optimal threshold is almost certainly lower than the point that maximises F1. The sweep makes the trade explicit.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324"/>
        <w:gridCol w:w="1267"/>
        <w:gridCol w:w="1267"/>
        <w:gridCol w:w="1267"/>
        <w:gridCol w:w="1180"/>
        <w:gridCol w:w="3009"/>
      </w:tblGrid>
      <w:tr>
        <w:tc>
          <w:tcPr>
            <w:tcW w:type="dxa" w:w="1325"/>
            <w:shd w:val="clear" w:color="auto" w:fill="1B355E"/>
          </w:tcPr>
          <w:p>
            <w:pPr>
              <w:spacing w:after="20" w:before="20"/>
              <w:jc w:val="center"/>
            </w:pPr>
            <w:r>
              <w:rPr>
                <w:b/>
                <w:color w:val="FFFFFF"/>
                <w:sz w:val="16"/>
              </w:rPr>
              <w:t>Threshold</w:t>
            </w:r>
          </w:p>
        </w:tc>
        <w:tc>
          <w:tcPr>
            <w:tcW w:type="dxa" w:w="1267"/>
            <w:shd w:val="clear" w:color="auto" w:fill="1B355E"/>
          </w:tcPr>
          <w:p>
            <w:pPr>
              <w:spacing w:after="20" w:before="20"/>
              <w:jc w:val="center"/>
            </w:pPr>
            <w:r>
              <w:rPr>
                <w:b/>
                <w:color w:val="FFFFFF"/>
                <w:sz w:val="16"/>
              </w:rPr>
              <w:t>Accuracy</w:t>
            </w:r>
          </w:p>
        </w:tc>
        <w:tc>
          <w:tcPr>
            <w:tcW w:type="dxa" w:w="1267"/>
            <w:shd w:val="clear" w:color="auto" w:fill="1B355E"/>
          </w:tcPr>
          <w:p>
            <w:pPr>
              <w:spacing w:after="20" w:before="20"/>
              <w:jc w:val="center"/>
            </w:pPr>
            <w:r>
              <w:rPr>
                <w:b/>
                <w:color w:val="FFFFFF"/>
                <w:sz w:val="16"/>
              </w:rPr>
              <w:t>Precision</w:t>
            </w:r>
          </w:p>
        </w:tc>
        <w:tc>
          <w:tcPr>
            <w:tcW w:type="dxa" w:w="1267"/>
            <w:shd w:val="clear" w:color="auto" w:fill="1B355E"/>
          </w:tcPr>
          <w:p>
            <w:pPr>
              <w:spacing w:after="20" w:before="20"/>
              <w:jc w:val="center"/>
            </w:pPr>
            <w:r>
              <w:rPr>
                <w:b/>
                <w:color w:val="FFFFFF"/>
                <w:sz w:val="16"/>
              </w:rPr>
              <w:t>Recall</w:t>
            </w:r>
          </w:p>
        </w:tc>
        <w:tc>
          <w:tcPr>
            <w:tcW w:type="dxa" w:w="1181"/>
            <w:shd w:val="clear" w:color="auto" w:fill="1B355E"/>
          </w:tcPr>
          <w:p>
            <w:pPr>
              <w:spacing w:after="20" w:before="20"/>
              <w:jc w:val="center"/>
            </w:pPr>
            <w:r>
              <w:rPr>
                <w:b/>
                <w:color w:val="FFFFFF"/>
                <w:sz w:val="16"/>
              </w:rPr>
              <w:t>F1</w:t>
            </w:r>
          </w:p>
        </w:tc>
        <w:tc>
          <w:tcPr>
            <w:tcW w:type="dxa" w:w="3010"/>
            <w:shd w:val="clear" w:color="auto" w:fill="1B355E"/>
          </w:tcPr>
          <w:p>
            <w:pPr>
              <w:spacing w:after="20" w:before="20"/>
              <w:jc w:val="center"/>
            </w:pPr>
            <w:r>
              <w:rPr>
                <w:b/>
                <w:color w:val="FFFFFF"/>
                <w:sz w:val="16"/>
              </w:rPr>
              <w:t>Reading</w:t>
            </w:r>
          </w:p>
        </w:tc>
      </w:tr>
      <w:tr>
        <w:tc>
          <w:tcPr>
            <w:tcW w:type="dxa" w:w="1325"/>
          </w:tcPr>
          <w:p>
            <w:pPr>
              <w:spacing w:after="20" w:before="20" w:line="254" w:lineRule="auto"/>
              <w:jc w:val="left"/>
            </w:pPr>
            <w:r>
              <w:rPr>
                <w:sz w:val="16"/>
              </w:rPr>
              <w:t>0.10</w:t>
            </w:r>
          </w:p>
        </w:tc>
        <w:tc>
          <w:tcPr>
            <w:tcW w:type="dxa" w:w="1267"/>
          </w:tcPr>
          <w:p>
            <w:pPr>
              <w:spacing w:after="20" w:before="20" w:line="254" w:lineRule="auto"/>
              <w:jc w:val="center"/>
            </w:pPr>
            <w:r>
              <w:rPr>
                <w:sz w:val="16"/>
              </w:rPr>
              <w:t>0.4911</w:t>
            </w:r>
          </w:p>
        </w:tc>
        <w:tc>
          <w:tcPr>
            <w:tcW w:type="dxa" w:w="1267"/>
          </w:tcPr>
          <w:p>
            <w:pPr>
              <w:spacing w:after="20" w:before="20" w:line="254" w:lineRule="auto"/>
              <w:jc w:val="center"/>
            </w:pPr>
            <w:r>
              <w:rPr>
                <w:sz w:val="16"/>
              </w:rPr>
              <w:t>0.3419</w:t>
            </w:r>
          </w:p>
        </w:tc>
        <w:tc>
          <w:tcPr>
            <w:tcW w:type="dxa" w:w="1267"/>
          </w:tcPr>
          <w:p>
            <w:pPr>
              <w:spacing w:after="20" w:before="20" w:line="254" w:lineRule="auto"/>
              <w:jc w:val="center"/>
            </w:pPr>
            <w:r>
              <w:rPr>
                <w:b/>
                <w:sz w:val="16"/>
              </w:rPr>
              <w:t>0.9920</w:t>
            </w:r>
          </w:p>
        </w:tc>
        <w:tc>
          <w:tcPr>
            <w:tcW w:type="dxa" w:w="1181"/>
          </w:tcPr>
          <w:p>
            <w:pPr>
              <w:spacing w:after="20" w:before="20" w:line="254" w:lineRule="auto"/>
              <w:jc w:val="center"/>
            </w:pPr>
            <w:r>
              <w:rPr>
                <w:sz w:val="16"/>
              </w:rPr>
              <w:t>0.5086</w:t>
            </w:r>
          </w:p>
        </w:tc>
        <w:tc>
          <w:tcPr>
            <w:tcW w:type="dxa" w:w="3010"/>
          </w:tcPr>
          <w:p>
            <w:pPr>
              <w:spacing w:after="20" w:before="20" w:line="254" w:lineRule="auto"/>
              <w:jc w:val="left"/>
            </w:pPr>
            <w:r>
              <w:rPr>
                <w:sz w:val="16"/>
              </w:rPr>
              <w:t>catches nearly everyone, flags almost everyone</w:t>
            </w:r>
          </w:p>
        </w:tc>
      </w:tr>
      <w:tr>
        <w:tc>
          <w:tcPr>
            <w:tcW w:type="dxa" w:w="1325"/>
            <w:shd w:val="clear" w:color="auto" w:fill="F2F5F9"/>
          </w:tcPr>
          <w:p>
            <w:pPr>
              <w:spacing w:after="20" w:before="20" w:line="254" w:lineRule="auto"/>
              <w:jc w:val="left"/>
            </w:pPr>
            <w:r>
              <w:rPr>
                <w:sz w:val="16"/>
              </w:rPr>
              <w:t>0.20</w:t>
            </w:r>
          </w:p>
        </w:tc>
        <w:tc>
          <w:tcPr>
            <w:tcW w:type="dxa" w:w="1267"/>
            <w:shd w:val="clear" w:color="auto" w:fill="F2F5F9"/>
          </w:tcPr>
          <w:p>
            <w:pPr>
              <w:spacing w:after="20" w:before="20" w:line="254" w:lineRule="auto"/>
              <w:jc w:val="center"/>
            </w:pPr>
            <w:r>
              <w:rPr>
                <w:sz w:val="16"/>
              </w:rPr>
              <w:t>0.5791</w:t>
            </w:r>
          </w:p>
        </w:tc>
        <w:tc>
          <w:tcPr>
            <w:tcW w:type="dxa" w:w="1267"/>
            <w:shd w:val="clear" w:color="auto" w:fill="F2F5F9"/>
          </w:tcPr>
          <w:p>
            <w:pPr>
              <w:spacing w:after="20" w:before="20" w:line="254" w:lineRule="auto"/>
              <w:jc w:val="center"/>
            </w:pPr>
            <w:r>
              <w:rPr>
                <w:sz w:val="16"/>
              </w:rPr>
              <w:t>0.3831</w:t>
            </w:r>
          </w:p>
        </w:tc>
        <w:tc>
          <w:tcPr>
            <w:tcW w:type="dxa" w:w="1267"/>
            <w:shd w:val="clear" w:color="auto" w:fill="F2F5F9"/>
          </w:tcPr>
          <w:p>
            <w:pPr>
              <w:spacing w:after="20" w:before="20" w:line="254" w:lineRule="auto"/>
              <w:jc w:val="center"/>
            </w:pPr>
            <w:r>
              <w:rPr>
                <w:sz w:val="16"/>
              </w:rPr>
              <w:t>0.9599</w:t>
            </w:r>
          </w:p>
        </w:tc>
        <w:tc>
          <w:tcPr>
            <w:tcW w:type="dxa" w:w="1181"/>
            <w:shd w:val="clear" w:color="auto" w:fill="F2F5F9"/>
          </w:tcPr>
          <w:p>
            <w:pPr>
              <w:spacing w:after="20" w:before="20" w:line="254" w:lineRule="auto"/>
              <w:jc w:val="center"/>
            </w:pPr>
            <w:r>
              <w:rPr>
                <w:sz w:val="16"/>
              </w:rPr>
              <w:t>0.5477</w:t>
            </w:r>
          </w:p>
        </w:tc>
        <w:tc>
          <w:tcPr>
            <w:tcW w:type="dxa" w:w="3010"/>
            <w:shd w:val="clear" w:color="auto" w:fill="F2F5F9"/>
          </w:tcPr>
          <w:p>
            <w:pPr>
              <w:spacing w:after="20" w:before="20" w:line="254" w:lineRule="auto"/>
              <w:jc w:val="center"/>
            </w:pPr>
            <w:r>
              <w:rPr>
                <w:sz w:val="16"/>
              </w:rPr>
              <w:t>very aggressive</w:t>
            </w:r>
          </w:p>
        </w:tc>
      </w:tr>
      <w:tr>
        <w:tc>
          <w:tcPr>
            <w:tcW w:type="dxa" w:w="1325"/>
          </w:tcPr>
          <w:p>
            <w:pPr>
              <w:spacing w:after="20" w:before="20" w:line="254" w:lineRule="auto"/>
              <w:jc w:val="left"/>
            </w:pPr>
            <w:r>
              <w:rPr>
                <w:sz w:val="16"/>
              </w:rPr>
              <w:t>0.30</w:t>
            </w:r>
          </w:p>
        </w:tc>
        <w:tc>
          <w:tcPr>
            <w:tcW w:type="dxa" w:w="1267"/>
          </w:tcPr>
          <w:p>
            <w:pPr>
              <w:spacing w:after="20" w:before="20" w:line="254" w:lineRule="auto"/>
              <w:jc w:val="center"/>
            </w:pPr>
            <w:r>
              <w:rPr>
                <w:sz w:val="16"/>
              </w:rPr>
              <w:t>0.6373</w:t>
            </w:r>
          </w:p>
        </w:tc>
        <w:tc>
          <w:tcPr>
            <w:tcW w:type="dxa" w:w="1267"/>
          </w:tcPr>
          <w:p>
            <w:pPr>
              <w:spacing w:after="20" w:before="20" w:line="254" w:lineRule="auto"/>
              <w:jc w:val="center"/>
            </w:pPr>
            <w:r>
              <w:rPr>
                <w:sz w:val="16"/>
              </w:rPr>
              <w:t>0.4176</w:t>
            </w:r>
          </w:p>
        </w:tc>
        <w:tc>
          <w:tcPr>
            <w:tcW w:type="dxa" w:w="1267"/>
          </w:tcPr>
          <w:p>
            <w:pPr>
              <w:spacing w:after="20" w:before="20" w:line="254" w:lineRule="auto"/>
              <w:jc w:val="center"/>
            </w:pPr>
            <w:r>
              <w:rPr>
                <w:sz w:val="16"/>
              </w:rPr>
              <w:t>0.9278</w:t>
            </w:r>
          </w:p>
        </w:tc>
        <w:tc>
          <w:tcPr>
            <w:tcW w:type="dxa" w:w="1181"/>
          </w:tcPr>
          <w:p>
            <w:pPr>
              <w:spacing w:after="20" w:before="20" w:line="254" w:lineRule="auto"/>
              <w:jc w:val="center"/>
            </w:pPr>
            <w:r>
              <w:rPr>
                <w:sz w:val="16"/>
              </w:rPr>
              <w:t>0.5759</w:t>
            </w:r>
          </w:p>
        </w:tc>
        <w:tc>
          <w:tcPr>
            <w:tcW w:type="dxa" w:w="3010"/>
          </w:tcPr>
          <w:p>
            <w:pPr>
              <w:spacing w:after="20" w:before="20" w:line="254" w:lineRule="auto"/>
              <w:jc w:val="center"/>
            </w:pPr>
            <w:r>
              <w:rPr>
                <w:sz w:val="16"/>
              </w:rPr>
              <w:t>aggressive</w:t>
            </w:r>
          </w:p>
        </w:tc>
      </w:tr>
      <w:tr>
        <w:tc>
          <w:tcPr>
            <w:tcW w:type="dxa" w:w="1325"/>
            <w:shd w:val="clear" w:color="auto" w:fill="F2F5F9"/>
          </w:tcPr>
          <w:p>
            <w:pPr>
              <w:spacing w:after="20" w:before="20" w:line="254" w:lineRule="auto"/>
              <w:jc w:val="left"/>
            </w:pPr>
            <w:r>
              <w:rPr>
                <w:sz w:val="16"/>
              </w:rPr>
              <w:t>0.40</w:t>
            </w:r>
          </w:p>
        </w:tc>
        <w:tc>
          <w:tcPr>
            <w:tcW w:type="dxa" w:w="1267"/>
            <w:shd w:val="clear" w:color="auto" w:fill="F2F5F9"/>
          </w:tcPr>
          <w:p>
            <w:pPr>
              <w:spacing w:after="20" w:before="20" w:line="254" w:lineRule="auto"/>
              <w:jc w:val="center"/>
            </w:pPr>
            <w:r>
              <w:rPr>
                <w:sz w:val="16"/>
              </w:rPr>
              <w:t>0.6920</w:t>
            </w:r>
          </w:p>
        </w:tc>
        <w:tc>
          <w:tcPr>
            <w:tcW w:type="dxa" w:w="1267"/>
            <w:shd w:val="clear" w:color="auto" w:fill="F2F5F9"/>
          </w:tcPr>
          <w:p>
            <w:pPr>
              <w:spacing w:after="20" w:before="20" w:line="254" w:lineRule="auto"/>
              <w:jc w:val="center"/>
            </w:pPr>
            <w:r>
              <w:rPr>
                <w:sz w:val="16"/>
              </w:rPr>
              <w:t>0.4584</w:t>
            </w:r>
          </w:p>
        </w:tc>
        <w:tc>
          <w:tcPr>
            <w:tcW w:type="dxa" w:w="1267"/>
            <w:shd w:val="clear" w:color="auto" w:fill="F2F5F9"/>
          </w:tcPr>
          <w:p>
            <w:pPr>
              <w:spacing w:after="20" w:before="20" w:line="254" w:lineRule="auto"/>
              <w:jc w:val="center"/>
            </w:pPr>
            <w:r>
              <w:rPr>
                <w:sz w:val="16"/>
              </w:rPr>
              <w:t>0.8850</w:t>
            </w:r>
          </w:p>
        </w:tc>
        <w:tc>
          <w:tcPr>
            <w:tcW w:type="dxa" w:w="1181"/>
            <w:shd w:val="clear" w:color="auto" w:fill="F2F5F9"/>
          </w:tcPr>
          <w:p>
            <w:pPr>
              <w:spacing w:after="20" w:before="20" w:line="254" w:lineRule="auto"/>
              <w:jc w:val="center"/>
            </w:pPr>
            <w:r>
              <w:rPr>
                <w:sz w:val="16"/>
              </w:rPr>
              <w:t>0.6040</w:t>
            </w:r>
          </w:p>
        </w:tc>
        <w:tc>
          <w:tcPr>
            <w:tcW w:type="dxa" w:w="3010"/>
            <w:shd w:val="clear" w:color="auto" w:fill="F2F5F9"/>
          </w:tcPr>
          <w:p>
            <w:pPr>
              <w:spacing w:after="20" w:before="20" w:line="254" w:lineRule="auto"/>
              <w:jc w:val="center"/>
            </w:pPr>
            <w:r>
              <w:rPr>
                <w:sz w:val="16"/>
              </w:rPr>
              <w:t>recall-led</w:t>
            </w:r>
          </w:p>
        </w:tc>
      </w:tr>
      <w:tr>
        <w:tc>
          <w:tcPr>
            <w:tcW w:type="dxa" w:w="1325"/>
          </w:tcPr>
          <w:p>
            <w:pPr>
              <w:spacing w:after="20" w:before="20" w:line="254" w:lineRule="auto"/>
              <w:jc w:val="left"/>
            </w:pPr>
            <w:r>
              <w:rPr>
                <w:b/>
                <w:sz w:val="16"/>
              </w:rPr>
              <w:t>0.50</w:t>
            </w:r>
          </w:p>
        </w:tc>
        <w:tc>
          <w:tcPr>
            <w:tcW w:type="dxa" w:w="1267"/>
          </w:tcPr>
          <w:p>
            <w:pPr>
              <w:spacing w:after="20" w:before="20" w:line="254" w:lineRule="auto"/>
              <w:jc w:val="center"/>
            </w:pPr>
            <w:r>
              <w:rPr>
                <w:sz w:val="16"/>
              </w:rPr>
              <w:t>0.7339</w:t>
            </w:r>
          </w:p>
        </w:tc>
        <w:tc>
          <w:tcPr>
            <w:tcW w:type="dxa" w:w="1267"/>
          </w:tcPr>
          <w:p>
            <w:pPr>
              <w:spacing w:after="20" w:before="20" w:line="254" w:lineRule="auto"/>
              <w:jc w:val="center"/>
            </w:pPr>
            <w:r>
              <w:rPr>
                <w:sz w:val="16"/>
              </w:rPr>
              <w:t>0.4992</w:t>
            </w:r>
          </w:p>
        </w:tc>
        <w:tc>
          <w:tcPr>
            <w:tcW w:type="dxa" w:w="1267"/>
          </w:tcPr>
          <w:p>
            <w:pPr>
              <w:spacing w:after="20" w:before="20" w:line="254" w:lineRule="auto"/>
              <w:jc w:val="center"/>
            </w:pPr>
            <w:r>
              <w:rPr>
                <w:sz w:val="16"/>
              </w:rPr>
              <w:t>0.8262</w:t>
            </w:r>
          </w:p>
        </w:tc>
        <w:tc>
          <w:tcPr>
            <w:tcW w:type="dxa" w:w="1181"/>
          </w:tcPr>
          <w:p>
            <w:pPr>
              <w:spacing w:after="20" w:before="20" w:line="254" w:lineRule="auto"/>
              <w:jc w:val="center"/>
            </w:pPr>
            <w:r>
              <w:rPr>
                <w:sz w:val="16"/>
              </w:rPr>
              <w:t>0.6224</w:t>
            </w:r>
          </w:p>
        </w:tc>
        <w:tc>
          <w:tcPr>
            <w:tcW w:type="dxa" w:w="3010"/>
          </w:tcPr>
          <w:p>
            <w:pPr>
              <w:spacing w:after="20" w:before="20" w:line="254" w:lineRule="auto"/>
              <w:jc w:val="center"/>
            </w:pPr>
            <w:r>
              <w:rPr>
                <w:b/>
                <w:sz w:val="16"/>
              </w:rPr>
              <w:t>default</w:t>
            </w:r>
          </w:p>
        </w:tc>
      </w:tr>
      <w:tr>
        <w:tc>
          <w:tcPr>
            <w:tcW w:type="dxa" w:w="1325"/>
            <w:shd w:val="clear" w:color="auto" w:fill="F2F5F9"/>
          </w:tcPr>
          <w:p>
            <w:pPr>
              <w:spacing w:after="20" w:before="20" w:line="254" w:lineRule="auto"/>
              <w:jc w:val="left"/>
            </w:pPr>
            <w:r>
              <w:rPr>
                <w:sz w:val="16"/>
              </w:rPr>
              <w:t>0.55</w:t>
            </w:r>
          </w:p>
        </w:tc>
        <w:tc>
          <w:tcPr>
            <w:tcW w:type="dxa" w:w="1267"/>
            <w:shd w:val="clear" w:color="auto" w:fill="F2F5F9"/>
          </w:tcPr>
          <w:p>
            <w:pPr>
              <w:spacing w:after="20" w:before="20" w:line="254" w:lineRule="auto"/>
              <w:jc w:val="center"/>
            </w:pPr>
            <w:r>
              <w:rPr>
                <w:sz w:val="16"/>
              </w:rPr>
              <w:t>0.7466</w:t>
            </w:r>
          </w:p>
        </w:tc>
        <w:tc>
          <w:tcPr>
            <w:tcW w:type="dxa" w:w="1267"/>
            <w:shd w:val="clear" w:color="auto" w:fill="F2F5F9"/>
          </w:tcPr>
          <w:p>
            <w:pPr>
              <w:spacing w:after="20" w:before="20" w:line="254" w:lineRule="auto"/>
              <w:jc w:val="center"/>
            </w:pPr>
            <w:r>
              <w:rPr>
                <w:sz w:val="16"/>
              </w:rPr>
              <w:t>0.5148</w:t>
            </w:r>
          </w:p>
        </w:tc>
        <w:tc>
          <w:tcPr>
            <w:tcW w:type="dxa" w:w="1267"/>
            <w:shd w:val="clear" w:color="auto" w:fill="F2F5F9"/>
          </w:tcPr>
          <w:p>
            <w:pPr>
              <w:spacing w:after="20" w:before="20" w:line="254" w:lineRule="auto"/>
              <w:jc w:val="center"/>
            </w:pPr>
            <w:r>
              <w:rPr>
                <w:sz w:val="16"/>
              </w:rPr>
              <w:t>0.7914</w:t>
            </w:r>
          </w:p>
        </w:tc>
        <w:tc>
          <w:tcPr>
            <w:tcW w:type="dxa" w:w="1181"/>
            <w:shd w:val="clear" w:color="auto" w:fill="F2F5F9"/>
          </w:tcPr>
          <w:p>
            <w:pPr>
              <w:spacing w:after="20" w:before="20" w:line="254" w:lineRule="auto"/>
              <w:jc w:val="center"/>
            </w:pPr>
            <w:r>
              <w:rPr>
                <w:sz w:val="16"/>
              </w:rPr>
              <w:t>0.6238</w:t>
            </w:r>
          </w:p>
        </w:tc>
        <w:tc>
          <w:tcPr>
            <w:tcW w:type="dxa" w:w="3010"/>
            <w:shd w:val="clear" w:color="auto" w:fill="F2F5F9"/>
          </w:tcPr>
          <w:p>
            <w:pPr>
              <w:spacing w:after="20" w:before="20" w:line="254" w:lineRule="auto"/>
              <w:jc w:val="center"/>
            </w:pPr>
            <w:r>
              <w:rPr>
                <w:sz w:val="16"/>
              </w:rPr>
              <w:t>balanced</w:t>
            </w:r>
          </w:p>
        </w:tc>
      </w:tr>
      <w:tr>
        <w:tc>
          <w:tcPr>
            <w:tcW w:type="dxa" w:w="1325"/>
          </w:tcPr>
          <w:p>
            <w:pPr>
              <w:spacing w:after="20" w:before="20" w:line="254" w:lineRule="auto"/>
              <w:jc w:val="left"/>
            </w:pPr>
            <w:r>
              <w:rPr>
                <w:sz w:val="16"/>
              </w:rPr>
              <w:t>0.60</w:t>
            </w:r>
          </w:p>
        </w:tc>
        <w:tc>
          <w:tcPr>
            <w:tcW w:type="dxa" w:w="1267"/>
          </w:tcPr>
          <w:p>
            <w:pPr>
              <w:spacing w:after="20" w:before="20" w:line="254" w:lineRule="auto"/>
              <w:jc w:val="center"/>
            </w:pPr>
            <w:r>
              <w:rPr>
                <w:sz w:val="16"/>
              </w:rPr>
              <w:t>0.7658</w:t>
            </w:r>
          </w:p>
        </w:tc>
        <w:tc>
          <w:tcPr>
            <w:tcW w:type="dxa" w:w="1267"/>
          </w:tcPr>
          <w:p>
            <w:pPr>
              <w:spacing w:after="20" w:before="20" w:line="254" w:lineRule="auto"/>
              <w:jc w:val="center"/>
            </w:pPr>
            <w:r>
              <w:rPr>
                <w:sz w:val="16"/>
              </w:rPr>
              <w:t>0.5415</w:t>
            </w:r>
          </w:p>
        </w:tc>
        <w:tc>
          <w:tcPr>
            <w:tcW w:type="dxa" w:w="1267"/>
          </w:tcPr>
          <w:p>
            <w:pPr>
              <w:spacing w:after="20" w:before="20" w:line="254" w:lineRule="auto"/>
              <w:jc w:val="center"/>
            </w:pPr>
            <w:r>
              <w:rPr>
                <w:sz w:val="16"/>
              </w:rPr>
              <w:t>0.7674</w:t>
            </w:r>
          </w:p>
        </w:tc>
        <w:tc>
          <w:tcPr>
            <w:tcW w:type="dxa" w:w="1181"/>
          </w:tcPr>
          <w:p>
            <w:pPr>
              <w:spacing w:after="20" w:before="20" w:line="254" w:lineRule="auto"/>
              <w:jc w:val="center"/>
            </w:pPr>
            <w:r>
              <w:rPr>
                <w:sz w:val="16"/>
              </w:rPr>
              <w:t>0.6350</w:t>
            </w:r>
          </w:p>
        </w:tc>
        <w:tc>
          <w:tcPr>
            <w:tcW w:type="dxa" w:w="3010"/>
          </w:tcPr>
          <w:p>
            <w:pPr>
              <w:spacing w:after="20" w:before="20" w:line="254" w:lineRule="auto"/>
              <w:jc w:val="center"/>
            </w:pPr>
            <w:r>
              <w:rPr>
                <w:sz w:val="16"/>
              </w:rPr>
              <w:t>balanced</w:t>
            </w:r>
          </w:p>
        </w:tc>
      </w:tr>
      <w:tr>
        <w:tc>
          <w:tcPr>
            <w:tcW w:type="dxa" w:w="1325"/>
            <w:shd w:val="clear" w:color="auto" w:fill="F2F5F9"/>
          </w:tcPr>
          <w:p>
            <w:pPr>
              <w:spacing w:after="20" w:before="20" w:line="254" w:lineRule="auto"/>
              <w:jc w:val="left"/>
            </w:pPr>
            <w:r>
              <w:rPr>
                <w:b/>
                <w:sz w:val="16"/>
              </w:rPr>
              <w:t>0.65</w:t>
            </w:r>
          </w:p>
        </w:tc>
        <w:tc>
          <w:tcPr>
            <w:tcW w:type="dxa" w:w="1267"/>
            <w:shd w:val="clear" w:color="auto" w:fill="F2F5F9"/>
          </w:tcPr>
          <w:p>
            <w:pPr>
              <w:spacing w:after="20" w:before="20" w:line="254" w:lineRule="auto"/>
              <w:jc w:val="center"/>
            </w:pPr>
            <w:r>
              <w:rPr>
                <w:sz w:val="16"/>
              </w:rPr>
              <w:t>0.7871</w:t>
            </w:r>
          </w:p>
        </w:tc>
        <w:tc>
          <w:tcPr>
            <w:tcW w:type="dxa" w:w="1267"/>
            <w:shd w:val="clear" w:color="auto" w:fill="F2F5F9"/>
          </w:tcPr>
          <w:p>
            <w:pPr>
              <w:spacing w:after="20" w:before="20" w:line="254" w:lineRule="auto"/>
              <w:jc w:val="center"/>
            </w:pPr>
            <w:r>
              <w:rPr>
                <w:sz w:val="16"/>
              </w:rPr>
              <w:t>0.5815</w:t>
            </w:r>
          </w:p>
        </w:tc>
        <w:tc>
          <w:tcPr>
            <w:tcW w:type="dxa" w:w="1267"/>
            <w:shd w:val="clear" w:color="auto" w:fill="F2F5F9"/>
          </w:tcPr>
          <w:p>
            <w:pPr>
              <w:spacing w:after="20" w:before="20" w:line="254" w:lineRule="auto"/>
              <w:jc w:val="center"/>
            </w:pPr>
            <w:r>
              <w:rPr>
                <w:sz w:val="16"/>
              </w:rPr>
              <w:t>0.7059</w:t>
            </w:r>
          </w:p>
        </w:tc>
        <w:tc>
          <w:tcPr>
            <w:tcW w:type="dxa" w:w="1181"/>
            <w:shd w:val="clear" w:color="auto" w:fill="F2F5F9"/>
          </w:tcPr>
          <w:p>
            <w:pPr>
              <w:spacing w:after="20" w:before="20" w:line="254" w:lineRule="auto"/>
              <w:jc w:val="center"/>
            </w:pPr>
            <w:r>
              <w:rPr>
                <w:b/>
                <w:sz w:val="16"/>
              </w:rPr>
              <w:t>0.6377</w:t>
            </w:r>
          </w:p>
        </w:tc>
        <w:tc>
          <w:tcPr>
            <w:tcW w:type="dxa" w:w="3010"/>
            <w:shd w:val="clear" w:color="auto" w:fill="F2F5F9"/>
          </w:tcPr>
          <w:p>
            <w:pPr>
              <w:spacing w:after="20" w:before="20" w:line="254" w:lineRule="auto"/>
              <w:jc w:val="center"/>
            </w:pPr>
            <w:r>
              <w:rPr>
                <w:b/>
                <w:sz w:val="16"/>
              </w:rPr>
              <w:t>maximum F1; also the phase 9 targeting threshold</w:t>
            </w:r>
          </w:p>
        </w:tc>
      </w:tr>
      <w:tr>
        <w:tc>
          <w:tcPr>
            <w:tcW w:type="dxa" w:w="1325"/>
          </w:tcPr>
          <w:p>
            <w:pPr>
              <w:spacing w:after="20" w:before="20" w:line="254" w:lineRule="auto"/>
              <w:jc w:val="left"/>
            </w:pPr>
            <w:r>
              <w:rPr>
                <w:sz w:val="16"/>
              </w:rPr>
              <w:t>0.70</w:t>
            </w:r>
          </w:p>
        </w:tc>
        <w:tc>
          <w:tcPr>
            <w:tcW w:type="dxa" w:w="1267"/>
          </w:tcPr>
          <w:p>
            <w:pPr>
              <w:spacing w:after="20" w:before="20" w:line="254" w:lineRule="auto"/>
              <w:jc w:val="center"/>
            </w:pPr>
            <w:r>
              <w:rPr>
                <w:sz w:val="16"/>
              </w:rPr>
              <w:t>0.7991</w:t>
            </w:r>
          </w:p>
        </w:tc>
        <w:tc>
          <w:tcPr>
            <w:tcW w:type="dxa" w:w="1267"/>
          </w:tcPr>
          <w:p>
            <w:pPr>
              <w:spacing w:after="20" w:before="20" w:line="254" w:lineRule="auto"/>
              <w:jc w:val="center"/>
            </w:pPr>
            <w:r>
              <w:rPr>
                <w:sz w:val="16"/>
              </w:rPr>
              <w:t>0.6207</w:t>
            </w:r>
          </w:p>
        </w:tc>
        <w:tc>
          <w:tcPr>
            <w:tcW w:type="dxa" w:w="1267"/>
          </w:tcPr>
          <w:p>
            <w:pPr>
              <w:spacing w:after="20" w:before="20" w:line="254" w:lineRule="auto"/>
              <w:jc w:val="center"/>
            </w:pPr>
            <w:r>
              <w:rPr>
                <w:sz w:val="16"/>
              </w:rPr>
              <w:t>0.6257</w:t>
            </w:r>
          </w:p>
        </w:tc>
        <w:tc>
          <w:tcPr>
            <w:tcW w:type="dxa" w:w="1181"/>
          </w:tcPr>
          <w:p>
            <w:pPr>
              <w:spacing w:after="20" w:before="20" w:line="254" w:lineRule="auto"/>
              <w:jc w:val="center"/>
            </w:pPr>
            <w:r>
              <w:rPr>
                <w:sz w:val="16"/>
              </w:rPr>
              <w:t>0.6232</w:t>
            </w:r>
          </w:p>
        </w:tc>
        <w:tc>
          <w:tcPr>
            <w:tcW w:type="dxa" w:w="3010"/>
          </w:tcPr>
          <w:p>
            <w:pPr>
              <w:spacing w:after="20" w:before="20" w:line="254" w:lineRule="auto"/>
              <w:jc w:val="center"/>
            </w:pPr>
            <w:r>
              <w:rPr>
                <w:sz w:val="16"/>
              </w:rPr>
              <w:t>precision-led</w:t>
            </w:r>
          </w:p>
        </w:tc>
      </w:tr>
      <w:tr>
        <w:tc>
          <w:tcPr>
            <w:tcW w:type="dxa" w:w="1325"/>
            <w:shd w:val="clear" w:color="auto" w:fill="F2F5F9"/>
          </w:tcPr>
          <w:p>
            <w:pPr>
              <w:spacing w:after="20" w:before="20" w:line="254" w:lineRule="auto"/>
              <w:jc w:val="left"/>
            </w:pPr>
            <w:r>
              <w:rPr>
                <w:sz w:val="16"/>
              </w:rPr>
              <w:t>0.75</w:t>
            </w:r>
          </w:p>
        </w:tc>
        <w:tc>
          <w:tcPr>
            <w:tcW w:type="dxa" w:w="1267"/>
            <w:shd w:val="clear" w:color="auto" w:fill="F2F5F9"/>
          </w:tcPr>
          <w:p>
            <w:pPr>
              <w:spacing w:after="20" w:before="20" w:line="254" w:lineRule="auto"/>
              <w:jc w:val="center"/>
            </w:pPr>
            <w:r>
              <w:rPr>
                <w:b/>
                <w:sz w:val="16"/>
              </w:rPr>
              <w:t>0.8020</w:t>
            </w:r>
          </w:p>
        </w:tc>
        <w:tc>
          <w:tcPr>
            <w:tcW w:type="dxa" w:w="1267"/>
            <w:shd w:val="clear" w:color="auto" w:fill="F2F5F9"/>
          </w:tcPr>
          <w:p>
            <w:pPr>
              <w:spacing w:after="20" w:before="20" w:line="254" w:lineRule="auto"/>
              <w:jc w:val="center"/>
            </w:pPr>
            <w:r>
              <w:rPr>
                <w:sz w:val="16"/>
              </w:rPr>
              <w:t>0.6589</w:t>
            </w:r>
          </w:p>
        </w:tc>
        <w:tc>
          <w:tcPr>
            <w:tcW w:type="dxa" w:w="1267"/>
            <w:shd w:val="clear" w:color="auto" w:fill="F2F5F9"/>
          </w:tcPr>
          <w:p>
            <w:pPr>
              <w:spacing w:after="20" w:before="20" w:line="254" w:lineRule="auto"/>
              <w:jc w:val="center"/>
            </w:pPr>
            <w:r>
              <w:rPr>
                <w:sz w:val="16"/>
              </w:rPr>
              <w:t>0.5267</w:t>
            </w:r>
          </w:p>
        </w:tc>
        <w:tc>
          <w:tcPr>
            <w:tcW w:type="dxa" w:w="1181"/>
            <w:shd w:val="clear" w:color="auto" w:fill="F2F5F9"/>
          </w:tcPr>
          <w:p>
            <w:pPr>
              <w:spacing w:after="20" w:before="20" w:line="254" w:lineRule="auto"/>
              <w:jc w:val="center"/>
            </w:pPr>
            <w:r>
              <w:rPr>
                <w:sz w:val="16"/>
              </w:rPr>
              <w:t>0.5854</w:t>
            </w:r>
          </w:p>
        </w:tc>
        <w:tc>
          <w:tcPr>
            <w:tcW w:type="dxa" w:w="3010"/>
            <w:shd w:val="clear" w:color="auto" w:fill="F2F5F9"/>
          </w:tcPr>
          <w:p>
            <w:pPr>
              <w:spacing w:after="20" w:before="20" w:line="254" w:lineRule="auto"/>
              <w:jc w:val="center"/>
            </w:pPr>
            <w:r>
              <w:rPr>
                <w:b/>
                <w:sz w:val="16"/>
              </w:rPr>
              <w:t>maximum accuracy</w:t>
            </w:r>
          </w:p>
        </w:tc>
      </w:tr>
      <w:tr>
        <w:tc>
          <w:tcPr>
            <w:tcW w:type="dxa" w:w="1325"/>
          </w:tcPr>
          <w:p>
            <w:pPr>
              <w:spacing w:after="20" w:before="20" w:line="254" w:lineRule="auto"/>
              <w:jc w:val="left"/>
            </w:pPr>
            <w:r>
              <w:rPr>
                <w:sz w:val="16"/>
              </w:rPr>
              <w:t>0.85</w:t>
            </w:r>
          </w:p>
        </w:tc>
        <w:tc>
          <w:tcPr>
            <w:tcW w:type="dxa" w:w="1267"/>
          </w:tcPr>
          <w:p>
            <w:pPr>
              <w:spacing w:after="20" w:before="20" w:line="254" w:lineRule="auto"/>
              <w:jc w:val="center"/>
            </w:pPr>
            <w:r>
              <w:rPr>
                <w:sz w:val="16"/>
              </w:rPr>
              <w:t>0.7786</w:t>
            </w:r>
          </w:p>
        </w:tc>
        <w:tc>
          <w:tcPr>
            <w:tcW w:type="dxa" w:w="1267"/>
          </w:tcPr>
          <w:p>
            <w:pPr>
              <w:spacing w:after="20" w:before="20" w:line="254" w:lineRule="auto"/>
              <w:jc w:val="center"/>
            </w:pPr>
            <w:r>
              <w:rPr>
                <w:sz w:val="16"/>
              </w:rPr>
              <w:t>0.7313</w:t>
            </w:r>
          </w:p>
        </w:tc>
        <w:tc>
          <w:tcPr>
            <w:tcW w:type="dxa" w:w="1267"/>
          </w:tcPr>
          <w:p>
            <w:pPr>
              <w:spacing w:after="20" w:before="20" w:line="254" w:lineRule="auto"/>
              <w:jc w:val="center"/>
            </w:pPr>
            <w:r>
              <w:rPr>
                <w:sz w:val="16"/>
              </w:rPr>
              <w:t>0.2620</w:t>
            </w:r>
          </w:p>
        </w:tc>
        <w:tc>
          <w:tcPr>
            <w:tcW w:type="dxa" w:w="1181"/>
          </w:tcPr>
          <w:p>
            <w:pPr>
              <w:spacing w:after="20" w:before="20" w:line="254" w:lineRule="auto"/>
              <w:jc w:val="center"/>
            </w:pPr>
            <w:r>
              <w:rPr>
                <w:sz w:val="16"/>
              </w:rPr>
              <w:t>0.3858</w:t>
            </w:r>
          </w:p>
        </w:tc>
        <w:tc>
          <w:tcPr>
            <w:tcW w:type="dxa" w:w="3010"/>
          </w:tcPr>
          <w:p>
            <w:pPr>
              <w:spacing w:after="20" w:before="20" w:line="254" w:lineRule="auto"/>
              <w:jc w:val="center"/>
            </w:pPr>
            <w:r>
              <w:rPr>
                <w:sz w:val="16"/>
              </w:rPr>
              <w:t>misses three in four</w:t>
            </w:r>
          </w:p>
        </w:tc>
      </w:tr>
      <w:tr>
        <w:tc>
          <w:tcPr>
            <w:tcW w:type="dxa" w:w="1325"/>
            <w:shd w:val="clear" w:color="auto" w:fill="F2F5F9"/>
          </w:tcPr>
          <w:p>
            <w:pPr>
              <w:spacing w:after="20" w:before="20" w:line="254" w:lineRule="auto"/>
              <w:jc w:val="left"/>
            </w:pPr>
            <w:r>
              <w:rPr>
                <w:sz w:val="16"/>
              </w:rPr>
              <w:t>0.90</w:t>
            </w:r>
          </w:p>
        </w:tc>
        <w:tc>
          <w:tcPr>
            <w:tcW w:type="dxa" w:w="1267"/>
            <w:shd w:val="clear" w:color="auto" w:fill="F2F5F9"/>
          </w:tcPr>
          <w:p>
            <w:pPr>
              <w:spacing w:after="20" w:before="20" w:line="254" w:lineRule="auto"/>
              <w:jc w:val="center"/>
            </w:pPr>
            <w:r>
              <w:rPr>
                <w:sz w:val="16"/>
              </w:rPr>
              <w:t>0.7608</w:t>
            </w:r>
          </w:p>
        </w:tc>
        <w:tc>
          <w:tcPr>
            <w:tcW w:type="dxa" w:w="1267"/>
            <w:shd w:val="clear" w:color="auto" w:fill="F2F5F9"/>
          </w:tcPr>
          <w:p>
            <w:pPr>
              <w:spacing w:after="20" w:before="20" w:line="254" w:lineRule="auto"/>
              <w:jc w:val="center"/>
            </w:pPr>
            <w:r>
              <w:rPr>
                <w:b/>
                <w:sz w:val="16"/>
              </w:rPr>
              <w:t>0.8364</w:t>
            </w:r>
          </w:p>
        </w:tc>
        <w:tc>
          <w:tcPr>
            <w:tcW w:type="dxa" w:w="1267"/>
            <w:shd w:val="clear" w:color="auto" w:fill="F2F5F9"/>
          </w:tcPr>
          <w:p>
            <w:pPr>
              <w:spacing w:after="20" w:before="20" w:line="254" w:lineRule="auto"/>
              <w:jc w:val="center"/>
            </w:pPr>
            <w:r>
              <w:rPr>
                <w:sz w:val="16"/>
              </w:rPr>
              <w:t>0.1230</w:t>
            </w:r>
          </w:p>
        </w:tc>
        <w:tc>
          <w:tcPr>
            <w:tcW w:type="dxa" w:w="1181"/>
            <w:shd w:val="clear" w:color="auto" w:fill="F2F5F9"/>
          </w:tcPr>
          <w:p>
            <w:pPr>
              <w:spacing w:after="20" w:before="20" w:line="254" w:lineRule="auto"/>
              <w:jc w:val="center"/>
            </w:pPr>
            <w:r>
              <w:rPr>
                <w:sz w:val="16"/>
              </w:rPr>
              <w:t>0.2145</w:t>
            </w:r>
          </w:p>
        </w:tc>
        <w:tc>
          <w:tcPr>
            <w:tcW w:type="dxa" w:w="3010"/>
            <w:shd w:val="clear" w:color="auto" w:fill="F2F5F9"/>
          </w:tcPr>
          <w:p>
            <w:pPr>
              <w:spacing w:after="20" w:before="20" w:line="254" w:lineRule="auto"/>
              <w:jc w:val="center"/>
            </w:pPr>
            <w:r>
              <w:rPr>
                <w:sz w:val="16"/>
              </w:rPr>
              <w:t>near-useless recall</w:t>
            </w:r>
          </w:p>
        </w:tc>
      </w:tr>
    </w:tbl>
    <w:p>
      <w:pPr>
        <w:spacing w:before="60" w:after="200"/>
        <w:jc w:val="center"/>
      </w:pPr>
      <w:r>
        <w:rPr>
          <w:i/>
          <w:color w:val="555F6B"/>
          <w:sz w:val="17"/>
        </w:rPr>
        <w:t>Table 36: Decision-threshold sweep for the selected model. Abridged from data/phase7_threshold_analysis.csv, which holds 17 rows.</w:t>
      </w:r>
    </w:p>
    <w:p>
      <w:pPr>
        <w:keepNext/>
        <w:spacing w:before="120" w:after="60"/>
        <w:jc w:val="center"/>
      </w:pPr>
      <w:r>
        <w:drawing>
          <wp:inline xmlns:a="http://schemas.openxmlformats.org/drawingml/2006/main" xmlns:pic="http://schemas.openxmlformats.org/drawingml/2006/picture">
            <wp:extent cx="5257800" cy="3119034"/>
            <wp:docPr id="24" name="Picture 24"/>
            <wp:cNvGraphicFramePr>
              <a:graphicFrameLocks noChangeAspect="1"/>
            </wp:cNvGraphicFramePr>
            <a:graphic>
              <a:graphicData uri="http://schemas.openxmlformats.org/drawingml/2006/picture">
                <pic:pic>
                  <pic:nvPicPr>
                    <pic:cNvPr id="0" name="phase7_threshold_tradeoff.png"/>
                    <pic:cNvPicPr/>
                  </pic:nvPicPr>
                  <pic:blipFill>
                    <a:blip r:embed="rId32"/>
                    <a:stretch>
                      <a:fillRect/>
                    </a:stretch>
                  </pic:blipFill>
                  <pic:spPr>
                    <a:xfrm>
                      <a:off x="0" y="0"/>
                      <a:ext cx="5257800" cy="3119034"/>
                    </a:xfrm>
                    <a:prstGeom prst="rect"/>
                  </pic:spPr>
                </pic:pic>
              </a:graphicData>
            </a:graphic>
          </wp:inline>
        </w:drawing>
      </w:r>
    </w:p>
    <w:p>
      <w:pPr>
        <w:spacing w:before="60" w:after="220"/>
        <w:jc w:val="center"/>
      </w:pPr>
      <w:r>
        <w:rPr>
          <w:i/>
          <w:color w:val="555F6B"/>
          <w:sz w:val="17"/>
        </w:rPr>
        <w:t>Figure 24: Precision, recall and F1 against the decision threshold.</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DF3FA"/>
          </w:tcPr>
          <w:p>
            <w:pPr>
              <w:spacing w:after="40"/>
            </w:pPr>
            <w:r>
              <w:rPr>
                <w:b/>
                <w:color w:val="1B355E"/>
                <w:sz w:val="19"/>
              </w:rPr>
              <w:t>Accuracy and F1 peak at different thresholds, and neither is the business optimum.</w:t>
            </w:r>
          </w:p>
          <w:p>
            <w:pPr>
              <w:spacing w:after="0"/>
              <w:jc w:val="both"/>
            </w:pPr>
            <w:r>
              <w:rPr>
                <w:sz w:val="19"/>
              </w:rPr>
              <w:t>Accuracy is maximised at 0.75, where recall has fallen to 0.5267 and the model misses nearly half of all churners. F1 peaks at 0.65, which happens to coincide with the phase 9 targeting threshold. None of these is derived from the actual cost ratio between a missed churner and a wasted offer, because the project has no campaign-cost data to calibrate against. The sweep is therefore the right artefact to hand a business owner: it lets them choose the operating point once they can price both kinds of error.</w:t>
            </w:r>
          </w:p>
        </w:tc>
      </w:tr>
    </w:tbl>
    <w:p>
      <w:pPr>
        <w:spacing w:after="120"/>
      </w:pPr>
    </w:p>
    <w:p>
      <w:r>
        <w:br w:type="page"/>
      </w:r>
    </w:p>
    <w:p>
      <w:pPr>
        <w:spacing w:after="0"/>
      </w:pPr>
    </w:p>
    <w:p>
      <w:pPr>
        <w:keepNext/>
        <w:spacing w:before="80" w:after="40"/>
        <w:pBdr>
          <w:bottom w:val="single" w:sz="10" w:space="3" w:color="1B355E"/>
        </w:pBdr>
      </w:pPr>
      <w:r>
        <w:rPr>
          <w:b/>
          <w:color w:val="1B355E"/>
          <w:sz w:val="30"/>
        </w:rPr>
        <w:t>18.  Phase 8 — Churn Probability and Explainable AI</w:t>
      </w:r>
    </w:p>
    <w:p>
      <w:pPr>
        <w:spacing w:after="40"/>
      </w:pPr>
    </w:p>
    <w:p>
      <w:pPr>
        <w:keepNext/>
        <w:spacing w:before="240" w:after="80"/>
      </w:pPr>
      <w:r>
        <w:rPr>
          <w:b/>
          <w:color w:val="1B355E"/>
          <w:sz w:val="25"/>
        </w:rPr>
        <w:t>18.1  Purpose</w:t>
      </w:r>
    </w:p>
    <w:p>
      <w:pPr>
        <w:spacing w:after="120" w:before="0"/>
        <w:jc w:val="both"/>
      </w:pPr>
      <w:r>
        <w:rPr>
          <w:b w:val="0"/>
          <w:i w:val="0"/>
          <w:sz w:val="21"/>
        </w:rPr>
        <w:t xml:space="preserve">Phase 8 converts the classifier into a decision tool. It calibrates the predicted probabilities so they can be read as probabilities, assigns every customer a risk tier, computes global feature importance, and produces SHAP explanations at both the global and the individual level. </w:t>
      </w:r>
      <w:r>
        <w:rPr>
          <w:b/>
          <w:i w:val="0"/>
          <w:sz w:val="21"/>
        </w:rPr>
        <w:t>Modified during remediation</w:t>
      </w:r>
      <w:r>
        <w:rPr>
          <w:b w:val="0"/>
          <w:i w:val="0"/>
          <w:sz w:val="21"/>
        </w:rPr>
        <w:t xml:space="preserve"> for defects 1 and 2, and in the second round to export a per-customer SHAP driver for every customer.</w:t>
      </w:r>
    </w:p>
    <w:p>
      <w:pPr>
        <w:keepNext/>
        <w:spacing w:before="240" w:after="80"/>
      </w:pPr>
      <w:r>
        <w:rPr>
          <w:b/>
          <w:color w:val="1B355E"/>
          <w:sz w:val="25"/>
        </w:rPr>
        <w:t>18.2  Probability calibration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calibrated_model = CalibratedClassifierCV(</w:t>
            </w:r>
          </w:p>
          <w:p>
            <w:pPr>
              <w:spacing w:after="0" w:before="0" w:line="240" w:lineRule="auto"/>
            </w:pPr>
            <w:r>
              <w:rPr>
                <w:rFonts w:ascii="Consolas" w:hAnsi="Consolas" w:eastAsia="Consolas"/>
                <w:color w:val="1A232E"/>
                <w:sz w:val="16"/>
              </w:rPr>
              <w:t xml:space="preserve">    estimator=base_pipeline, method="sigmoid", cv=CALIBRATION_CV_FOLDS)</w:t>
            </w:r>
          </w:p>
          <w:p>
            <w:pPr>
              <w:spacing w:after="0" w:before="0" w:line="240" w:lineRule="auto"/>
            </w:pPr>
            <w:r>
              <w:rPr>
                <w:rFonts w:ascii="Consolas" w:hAnsi="Consolas" w:eastAsia="Consolas"/>
                <w:color w:val="1A232E"/>
                <w:sz w:val="16"/>
              </w:rPr>
              <w:t>calibrated_model.fit(X_train, y_train)</w:t>
            </w:r>
          </w:p>
        </w:tc>
      </w:tr>
    </w:tbl>
    <w:p>
      <w:pPr>
        <w:spacing w:after="80"/>
      </w:pPr>
    </w:p>
    <w:p>
      <w:pPr>
        <w:spacing w:after="120" w:before="0"/>
        <w:jc w:val="both"/>
      </w:pPr>
      <w:r>
        <w:rPr>
          <w:b w:val="0"/>
          <w:i w:val="0"/>
          <w:sz w:val="21"/>
        </w:rPr>
        <w:t>Calibration is necessary here precisely because of the class weighting applied in phase 6. Weighting deliberately distorts the predicted scores to improve recall, which means a raw score of 0.7 does not correspond to a 70 % chance of churning. That becomes a problem the moment probability is multiplied by customer value to rank a call list, which is exactly what phase 9 does. Platt scaling fits a sigmoid that maps the distorted scores back onto observed frequencies.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520"/>
        <w:gridCol w:w="1324"/>
        <w:gridCol w:w="5472"/>
      </w:tblGrid>
      <w:tr>
        <w:tc>
          <w:tcPr>
            <w:tcW w:type="dxa" w:w="2520"/>
            <w:shd w:val="clear" w:color="auto" w:fill="1B355E"/>
          </w:tcPr>
          <w:p>
            <w:pPr>
              <w:spacing w:after="20" w:before="20"/>
              <w:jc w:val="center"/>
            </w:pPr>
            <w:r>
              <w:rPr>
                <w:b/>
                <w:color w:val="FFFFFF"/>
                <w:sz w:val="17"/>
              </w:rPr>
              <w:t>Calibration metric</w:t>
            </w:r>
          </w:p>
        </w:tc>
        <w:tc>
          <w:tcPr>
            <w:tcW w:type="dxa" w:w="1325"/>
            <w:shd w:val="clear" w:color="auto" w:fill="1B355E"/>
          </w:tcPr>
          <w:p>
            <w:pPr>
              <w:spacing w:after="20" w:before="20"/>
              <w:jc w:val="center"/>
            </w:pPr>
            <w:r>
              <w:rPr>
                <w:b/>
                <w:color w:val="FFFFFF"/>
                <w:sz w:val="17"/>
              </w:rPr>
              <w:t>Value</w:t>
            </w:r>
          </w:p>
        </w:tc>
        <w:tc>
          <w:tcPr>
            <w:tcW w:type="dxa" w:w="5472"/>
            <w:shd w:val="clear" w:color="auto" w:fill="1B355E"/>
          </w:tcPr>
          <w:p>
            <w:pPr>
              <w:spacing w:after="20" w:before="20"/>
              <w:jc w:val="center"/>
            </w:pPr>
            <w:r>
              <w:rPr>
                <w:b/>
                <w:color w:val="FFFFFF"/>
                <w:sz w:val="17"/>
              </w:rPr>
              <w:t>Reading</w:t>
            </w:r>
          </w:p>
        </w:tc>
      </w:tr>
      <w:tr>
        <w:tc>
          <w:tcPr>
            <w:tcW w:type="dxa" w:w="2520"/>
          </w:tcPr>
          <w:p>
            <w:pPr>
              <w:spacing w:after="20" w:before="20" w:line="254" w:lineRule="auto"/>
              <w:jc w:val="left"/>
            </w:pPr>
            <w:r>
              <w:rPr>
                <w:sz w:val="17"/>
              </w:rPr>
              <w:t>Calibrated test ROC-AUC</w:t>
            </w:r>
          </w:p>
        </w:tc>
        <w:tc>
          <w:tcPr>
            <w:tcW w:type="dxa" w:w="1325"/>
          </w:tcPr>
          <w:p>
            <w:pPr>
              <w:spacing w:after="20" w:before="20" w:line="254" w:lineRule="auto"/>
              <w:jc w:val="center"/>
            </w:pPr>
            <w:r>
              <w:rPr>
                <w:sz w:val="17"/>
              </w:rPr>
              <w:t>0.8465</w:t>
            </w:r>
          </w:p>
        </w:tc>
        <w:tc>
          <w:tcPr>
            <w:tcW w:type="dxa" w:w="5472"/>
          </w:tcPr>
          <w:p>
            <w:pPr>
              <w:spacing w:after="20" w:before="20" w:line="254" w:lineRule="auto"/>
              <w:jc w:val="left"/>
            </w:pPr>
            <w:r>
              <w:rPr>
                <w:sz w:val="17"/>
              </w:rPr>
              <w:t>ranking quality preserved (0.8472 uncalibrated)</w:t>
            </w:r>
          </w:p>
        </w:tc>
      </w:tr>
      <w:tr>
        <w:tc>
          <w:tcPr>
            <w:tcW w:type="dxa" w:w="2520"/>
            <w:shd w:val="clear" w:color="auto" w:fill="F2F5F9"/>
          </w:tcPr>
          <w:p>
            <w:pPr>
              <w:spacing w:after="20" w:before="20" w:line="254" w:lineRule="auto"/>
              <w:jc w:val="left"/>
            </w:pPr>
            <w:r>
              <w:rPr>
                <w:sz w:val="17"/>
              </w:rPr>
              <w:t>Brier score</w:t>
            </w:r>
          </w:p>
        </w:tc>
        <w:tc>
          <w:tcPr>
            <w:tcW w:type="dxa" w:w="1325"/>
            <w:shd w:val="clear" w:color="auto" w:fill="F2F5F9"/>
          </w:tcPr>
          <w:p>
            <w:pPr>
              <w:spacing w:after="20" w:before="20" w:line="254" w:lineRule="auto"/>
              <w:jc w:val="center"/>
            </w:pPr>
            <w:r>
              <w:rPr>
                <w:sz w:val="17"/>
              </w:rPr>
              <w:t>0.1364</w:t>
            </w:r>
          </w:p>
        </w:tc>
        <w:tc>
          <w:tcPr>
            <w:tcW w:type="dxa" w:w="5472"/>
            <w:shd w:val="clear" w:color="auto" w:fill="F2F5F9"/>
          </w:tcPr>
          <w:p>
            <w:pPr>
              <w:spacing w:after="20" w:before="20" w:line="254" w:lineRule="auto"/>
              <w:jc w:val="left"/>
            </w:pPr>
            <w:r>
              <w:rPr>
                <w:sz w:val="17"/>
              </w:rPr>
              <w:t>mean squared error of the probabilities; lower is better</w:t>
            </w:r>
          </w:p>
        </w:tc>
      </w:tr>
      <w:tr>
        <w:tc>
          <w:tcPr>
            <w:tcW w:type="dxa" w:w="2520"/>
          </w:tcPr>
          <w:p>
            <w:pPr>
              <w:spacing w:after="20" w:before="20" w:line="254" w:lineRule="auto"/>
              <w:jc w:val="left"/>
            </w:pPr>
            <w:r>
              <w:rPr>
                <w:sz w:val="17"/>
              </w:rPr>
              <w:t>Mean predicted probability (all customers)</w:t>
            </w:r>
          </w:p>
        </w:tc>
        <w:tc>
          <w:tcPr>
            <w:tcW w:type="dxa" w:w="1325"/>
          </w:tcPr>
          <w:p>
            <w:pPr>
              <w:spacing w:after="20" w:before="20" w:line="254" w:lineRule="auto"/>
              <w:jc w:val="center"/>
            </w:pPr>
            <w:r>
              <w:rPr>
                <w:sz w:val="17"/>
              </w:rPr>
              <w:t>0.2652</w:t>
            </w:r>
          </w:p>
        </w:tc>
        <w:tc>
          <w:tcPr>
            <w:tcW w:type="dxa" w:w="5472"/>
          </w:tcPr>
          <w:p>
            <w:pPr>
              <w:spacing w:after="20" w:before="20" w:line="254" w:lineRule="auto"/>
              <w:jc w:val="left"/>
            </w:pPr>
            <w:r>
              <w:rPr>
                <w:sz w:val="17"/>
              </w:rPr>
              <w:t>against an observed base rate of 0.2654</w:t>
            </w:r>
          </w:p>
        </w:tc>
      </w:tr>
    </w:tbl>
    <w:p>
      <w:pPr>
        <w:spacing w:before="60" w:after="200"/>
        <w:jc w:val="center"/>
      </w:pPr>
      <w:r>
        <w:rPr>
          <w:i/>
          <w:color w:val="555F6B"/>
          <w:sz w:val="17"/>
        </w:rPr>
        <w:t>Table 37: Calibration quality on the hold-out partition.</w:t>
      </w:r>
    </w:p>
    <w:p>
      <w:pPr>
        <w:spacing w:after="120" w:before="0"/>
        <w:jc w:val="both"/>
      </w:pPr>
      <w:r>
        <w:rPr>
          <w:b w:val="0"/>
          <w:i w:val="0"/>
          <w:sz w:val="21"/>
        </w:rPr>
        <w:t>The agreement between the mean predicted probability (0.2652) and the observed base rate (0.2654) is the clearest single indication that calibration succeeded. Calibration preserves ranking — ROC-AUC moves only from 0.8472 to 0.8465 — while making the absolute values meaningful.</w:t>
      </w:r>
    </w:p>
    <w:p>
      <w:pPr>
        <w:keepNext/>
        <w:spacing w:before="120" w:after="60"/>
        <w:jc w:val="center"/>
      </w:pPr>
      <w:r>
        <w:drawing>
          <wp:inline xmlns:a="http://schemas.openxmlformats.org/drawingml/2006/main" xmlns:pic="http://schemas.openxmlformats.org/drawingml/2006/picture">
            <wp:extent cx="4617720" cy="3438728"/>
            <wp:docPr id="25" name="Picture 25"/>
            <wp:cNvGraphicFramePr>
              <a:graphicFrameLocks noChangeAspect="1"/>
            </wp:cNvGraphicFramePr>
            <a:graphic>
              <a:graphicData uri="http://schemas.openxmlformats.org/drawingml/2006/picture">
                <pic:pic>
                  <pic:nvPicPr>
                    <pic:cNvPr id="0" name="phase8_calibration_curve.png"/>
                    <pic:cNvPicPr/>
                  </pic:nvPicPr>
                  <pic:blipFill>
                    <a:blip r:embed="rId33"/>
                    <a:stretch>
                      <a:fillRect/>
                    </a:stretch>
                  </pic:blipFill>
                  <pic:spPr>
                    <a:xfrm>
                      <a:off x="0" y="0"/>
                      <a:ext cx="4617720" cy="3438728"/>
                    </a:xfrm>
                    <a:prstGeom prst="rect"/>
                  </pic:spPr>
                </pic:pic>
              </a:graphicData>
            </a:graphic>
          </wp:inline>
        </w:drawing>
      </w:r>
    </w:p>
    <w:p>
      <w:pPr>
        <w:spacing w:before="60" w:after="220"/>
        <w:jc w:val="center"/>
      </w:pPr>
      <w:r>
        <w:rPr>
          <w:i/>
          <w:color w:val="555F6B"/>
          <w:sz w:val="17"/>
        </w:rPr>
        <w:t>Figure 25: Calibration curve: predicted probability against observed churn frequency, in quantile bins.</w:t>
      </w:r>
    </w:p>
    <w:p>
      <w:pPr>
        <w:keepNext/>
        <w:spacing w:before="240" w:after="80"/>
      </w:pPr>
      <w:r>
        <w:rPr>
          <w:b/>
          <w:color w:val="1B355E"/>
          <w:sz w:val="25"/>
        </w:rPr>
        <w:t>18.3  Risk tiering</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512"/>
        <w:gridCol w:w="1655"/>
        <w:gridCol w:w="1267"/>
        <w:gridCol w:w="1036"/>
        <w:gridCol w:w="1512"/>
        <w:gridCol w:w="2332"/>
      </w:tblGrid>
      <w:tr>
        <w:tc>
          <w:tcPr>
            <w:tcW w:type="dxa" w:w="1512"/>
            <w:shd w:val="clear" w:color="auto" w:fill="1B355E"/>
          </w:tcPr>
          <w:p>
            <w:pPr>
              <w:spacing w:after="20" w:before="20"/>
              <w:jc w:val="center"/>
            </w:pPr>
            <w:r>
              <w:rPr>
                <w:b/>
                <w:color w:val="FFFFFF"/>
                <w:sz w:val="16"/>
              </w:rPr>
              <w:t>Risk tier</w:t>
            </w:r>
          </w:p>
        </w:tc>
        <w:tc>
          <w:tcPr>
            <w:tcW w:type="dxa" w:w="1656"/>
            <w:shd w:val="clear" w:color="auto" w:fill="1B355E"/>
          </w:tcPr>
          <w:p>
            <w:pPr>
              <w:spacing w:after="20" w:before="20"/>
              <w:jc w:val="center"/>
            </w:pPr>
            <w:r>
              <w:rPr>
                <w:b/>
                <w:color w:val="FFFFFF"/>
                <w:sz w:val="16"/>
              </w:rPr>
              <w:t>Probability band</w:t>
            </w:r>
          </w:p>
        </w:tc>
        <w:tc>
          <w:tcPr>
            <w:tcW w:type="dxa" w:w="1267"/>
            <w:shd w:val="clear" w:color="auto" w:fill="1B355E"/>
          </w:tcPr>
          <w:p>
            <w:pPr>
              <w:spacing w:after="20" w:before="20"/>
              <w:jc w:val="center"/>
            </w:pPr>
            <w:r>
              <w:rPr>
                <w:b/>
                <w:color w:val="FFFFFF"/>
                <w:sz w:val="16"/>
              </w:rPr>
              <w:t>Customers</w:t>
            </w:r>
          </w:p>
        </w:tc>
        <w:tc>
          <w:tcPr>
            <w:tcW w:type="dxa" w:w="1037"/>
            <w:shd w:val="clear" w:color="auto" w:fill="1B355E"/>
          </w:tcPr>
          <w:p>
            <w:pPr>
              <w:spacing w:after="20" w:before="20"/>
              <w:jc w:val="center"/>
            </w:pPr>
            <w:r>
              <w:rPr>
                <w:b/>
                <w:color w:val="FFFFFF"/>
                <w:sz w:val="16"/>
              </w:rPr>
              <w:t>Share</w:t>
            </w:r>
          </w:p>
        </w:tc>
        <w:tc>
          <w:tcPr>
            <w:tcW w:type="dxa" w:w="1512"/>
            <w:shd w:val="clear" w:color="auto" w:fill="1B355E"/>
          </w:tcPr>
          <w:p>
            <w:pPr>
              <w:spacing w:after="20" w:before="20"/>
              <w:jc w:val="center"/>
            </w:pPr>
            <w:r>
              <w:rPr>
                <w:b/>
                <w:color w:val="FFFFFF"/>
                <w:sz w:val="16"/>
              </w:rPr>
              <w:t>Mean predicted</w:t>
            </w:r>
          </w:p>
        </w:tc>
        <w:tc>
          <w:tcPr>
            <w:tcW w:type="dxa" w:w="2333"/>
            <w:shd w:val="clear" w:color="auto" w:fill="1B355E"/>
          </w:tcPr>
          <w:p>
            <w:pPr>
              <w:spacing w:after="20" w:before="20"/>
              <w:jc w:val="center"/>
            </w:pPr>
            <w:r>
              <w:rPr>
                <w:b/>
                <w:color w:val="FFFFFF"/>
                <w:sz w:val="16"/>
              </w:rPr>
              <w:t>Observed churn rate</w:t>
            </w:r>
          </w:p>
        </w:tc>
      </w:tr>
      <w:tr>
        <w:tc>
          <w:tcPr>
            <w:tcW w:type="dxa" w:w="1512"/>
          </w:tcPr>
          <w:p>
            <w:pPr>
              <w:spacing w:after="20" w:before="20" w:line="254" w:lineRule="auto"/>
              <w:jc w:val="left"/>
            </w:pPr>
            <w:r>
              <w:rPr>
                <w:sz w:val="16"/>
              </w:rPr>
              <w:t>Low Risk</w:t>
            </w:r>
          </w:p>
        </w:tc>
        <w:tc>
          <w:tcPr>
            <w:tcW w:type="dxa" w:w="1656"/>
          </w:tcPr>
          <w:p>
            <w:pPr>
              <w:spacing w:after="20" w:before="20" w:line="254" w:lineRule="auto"/>
              <w:jc w:val="center"/>
            </w:pPr>
            <w:r>
              <w:rPr>
                <w:sz w:val="16"/>
              </w:rPr>
              <w:t>0.00 – 0.35</w:t>
            </w:r>
          </w:p>
        </w:tc>
        <w:tc>
          <w:tcPr>
            <w:tcW w:type="dxa" w:w="1267"/>
          </w:tcPr>
          <w:p>
            <w:pPr>
              <w:spacing w:after="20" w:before="20" w:line="254" w:lineRule="auto"/>
              <w:jc w:val="center"/>
            </w:pPr>
            <w:r>
              <w:rPr>
                <w:sz w:val="16"/>
              </w:rPr>
              <w:t>4 579</w:t>
            </w:r>
          </w:p>
        </w:tc>
        <w:tc>
          <w:tcPr>
            <w:tcW w:type="dxa" w:w="1037"/>
          </w:tcPr>
          <w:p>
            <w:pPr>
              <w:spacing w:after="20" w:before="20" w:line="254" w:lineRule="auto"/>
              <w:jc w:val="center"/>
            </w:pPr>
            <w:r>
              <w:rPr>
                <w:sz w:val="16"/>
              </w:rPr>
              <w:t>65.02 %</w:t>
            </w:r>
          </w:p>
        </w:tc>
        <w:tc>
          <w:tcPr>
            <w:tcW w:type="dxa" w:w="1512"/>
          </w:tcPr>
          <w:p>
            <w:pPr>
              <w:spacing w:after="20" w:before="20" w:line="254" w:lineRule="auto"/>
              <w:jc w:val="center"/>
            </w:pPr>
            <w:r>
              <w:rPr>
                <w:sz w:val="16"/>
              </w:rPr>
              <w:t>0.1035</w:t>
            </w:r>
          </w:p>
        </w:tc>
        <w:tc>
          <w:tcPr>
            <w:tcW w:type="dxa" w:w="2333"/>
          </w:tcPr>
          <w:p>
            <w:pPr>
              <w:spacing w:after="20" w:before="20" w:line="254" w:lineRule="auto"/>
              <w:jc w:val="center"/>
            </w:pPr>
            <w:r>
              <w:rPr>
                <w:b/>
                <w:sz w:val="16"/>
              </w:rPr>
              <w:t>9.85 %</w:t>
            </w:r>
          </w:p>
        </w:tc>
      </w:tr>
      <w:tr>
        <w:tc>
          <w:tcPr>
            <w:tcW w:type="dxa" w:w="1512"/>
            <w:shd w:val="clear" w:color="auto" w:fill="F2F5F9"/>
          </w:tcPr>
          <w:p>
            <w:pPr>
              <w:spacing w:after="20" w:before="20" w:line="254" w:lineRule="auto"/>
              <w:jc w:val="left"/>
            </w:pPr>
            <w:r>
              <w:rPr>
                <w:sz w:val="16"/>
              </w:rPr>
              <w:t>Medium Risk</w:t>
            </w:r>
          </w:p>
        </w:tc>
        <w:tc>
          <w:tcPr>
            <w:tcW w:type="dxa" w:w="1656"/>
            <w:shd w:val="clear" w:color="auto" w:fill="F2F5F9"/>
          </w:tcPr>
          <w:p>
            <w:pPr>
              <w:spacing w:after="20" w:before="20" w:line="254" w:lineRule="auto"/>
              <w:jc w:val="center"/>
            </w:pPr>
            <w:r>
              <w:rPr>
                <w:sz w:val="16"/>
              </w:rPr>
              <w:t>0.35 – 0.65</w:t>
            </w:r>
          </w:p>
        </w:tc>
        <w:tc>
          <w:tcPr>
            <w:tcW w:type="dxa" w:w="1267"/>
            <w:shd w:val="clear" w:color="auto" w:fill="F2F5F9"/>
          </w:tcPr>
          <w:p>
            <w:pPr>
              <w:spacing w:after="20" w:before="20" w:line="254" w:lineRule="auto"/>
              <w:jc w:val="center"/>
            </w:pPr>
            <w:r>
              <w:rPr>
                <w:sz w:val="16"/>
              </w:rPr>
              <w:t>1 740</w:t>
            </w:r>
          </w:p>
        </w:tc>
        <w:tc>
          <w:tcPr>
            <w:tcW w:type="dxa" w:w="1037"/>
            <w:shd w:val="clear" w:color="auto" w:fill="F2F5F9"/>
          </w:tcPr>
          <w:p>
            <w:pPr>
              <w:spacing w:after="20" w:before="20" w:line="254" w:lineRule="auto"/>
              <w:jc w:val="center"/>
            </w:pPr>
            <w:r>
              <w:rPr>
                <w:sz w:val="16"/>
              </w:rPr>
              <w:t>24.71 %</w:t>
            </w:r>
          </w:p>
        </w:tc>
        <w:tc>
          <w:tcPr>
            <w:tcW w:type="dxa" w:w="1512"/>
            <w:shd w:val="clear" w:color="auto" w:fill="F2F5F9"/>
          </w:tcPr>
          <w:p>
            <w:pPr>
              <w:spacing w:after="20" w:before="20" w:line="254" w:lineRule="auto"/>
              <w:jc w:val="center"/>
            </w:pPr>
            <w:r>
              <w:rPr>
                <w:sz w:val="16"/>
              </w:rPr>
              <w:t>0.5099</w:t>
            </w:r>
          </w:p>
        </w:tc>
        <w:tc>
          <w:tcPr>
            <w:tcW w:type="dxa" w:w="2333"/>
            <w:shd w:val="clear" w:color="auto" w:fill="F2F5F9"/>
          </w:tcPr>
          <w:p>
            <w:pPr>
              <w:spacing w:after="20" w:before="20" w:line="254" w:lineRule="auto"/>
              <w:jc w:val="center"/>
            </w:pPr>
            <w:r>
              <w:rPr>
                <w:b/>
                <w:sz w:val="16"/>
              </w:rPr>
              <w:t>49.02 %</w:t>
            </w:r>
          </w:p>
        </w:tc>
      </w:tr>
      <w:tr>
        <w:tc>
          <w:tcPr>
            <w:tcW w:type="dxa" w:w="1512"/>
          </w:tcPr>
          <w:p>
            <w:pPr>
              <w:spacing w:after="20" w:before="20" w:line="254" w:lineRule="auto"/>
              <w:jc w:val="left"/>
            </w:pPr>
            <w:r>
              <w:rPr>
                <w:sz w:val="16"/>
              </w:rPr>
              <w:t>High Risk</w:t>
            </w:r>
          </w:p>
        </w:tc>
        <w:tc>
          <w:tcPr>
            <w:tcW w:type="dxa" w:w="1656"/>
          </w:tcPr>
          <w:p>
            <w:pPr>
              <w:spacing w:after="20" w:before="20" w:line="254" w:lineRule="auto"/>
              <w:jc w:val="center"/>
            </w:pPr>
            <w:r>
              <w:rPr>
                <w:sz w:val="16"/>
              </w:rPr>
              <w:t>0.65 – 1.00</w:t>
            </w:r>
          </w:p>
        </w:tc>
        <w:tc>
          <w:tcPr>
            <w:tcW w:type="dxa" w:w="1267"/>
          </w:tcPr>
          <w:p>
            <w:pPr>
              <w:spacing w:after="20" w:before="20" w:line="254" w:lineRule="auto"/>
              <w:jc w:val="center"/>
            </w:pPr>
            <w:r>
              <w:rPr>
                <w:sz w:val="16"/>
              </w:rPr>
              <w:t>724</w:t>
            </w:r>
          </w:p>
        </w:tc>
        <w:tc>
          <w:tcPr>
            <w:tcW w:type="dxa" w:w="1037"/>
          </w:tcPr>
          <w:p>
            <w:pPr>
              <w:spacing w:after="20" w:before="20" w:line="254" w:lineRule="auto"/>
              <w:jc w:val="center"/>
            </w:pPr>
            <w:r>
              <w:rPr>
                <w:sz w:val="16"/>
              </w:rPr>
              <w:t>10.28 %</w:t>
            </w:r>
          </w:p>
        </w:tc>
        <w:tc>
          <w:tcPr>
            <w:tcW w:type="dxa" w:w="1512"/>
          </w:tcPr>
          <w:p>
            <w:pPr>
              <w:spacing w:after="20" w:before="20" w:line="254" w:lineRule="auto"/>
              <w:jc w:val="center"/>
            </w:pPr>
            <w:r>
              <w:rPr>
                <w:sz w:val="16"/>
              </w:rPr>
              <w:t>0.7003</w:t>
            </w:r>
          </w:p>
        </w:tc>
        <w:tc>
          <w:tcPr>
            <w:tcW w:type="dxa" w:w="2333"/>
          </w:tcPr>
          <w:p>
            <w:pPr>
              <w:spacing w:after="20" w:before="20" w:line="254" w:lineRule="auto"/>
              <w:jc w:val="center"/>
            </w:pPr>
            <w:r>
              <w:rPr>
                <w:b/>
                <w:sz w:val="16"/>
              </w:rPr>
              <w:t>78.04 %</w:t>
            </w:r>
          </w:p>
        </w:tc>
      </w:tr>
    </w:tbl>
    <w:p>
      <w:pPr>
        <w:spacing w:before="60" w:after="200"/>
        <w:jc w:val="center"/>
      </w:pPr>
      <w:r>
        <w:rPr>
          <w:i/>
          <w:color w:val="555F6B"/>
          <w:sz w:val="17"/>
        </w:rPr>
        <w:t>Table 38: Risk-tier distribution with the churn rate actually observed in each tier.</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AF6EC"/>
          </w:tcPr>
          <w:p>
            <w:pPr>
              <w:spacing w:after="40"/>
            </w:pPr>
            <w:r>
              <w:rPr>
                <w:b/>
                <w:color w:val="1E6B33"/>
                <w:sz w:val="19"/>
              </w:rPr>
              <w:t>The tiers validate cleanly against observed outcomes.</w:t>
            </w:r>
          </w:p>
          <w:p>
            <w:pPr>
              <w:spacing w:after="0"/>
              <w:jc w:val="both"/>
            </w:pPr>
            <w:r>
              <w:rPr>
                <w:sz w:val="19"/>
              </w:rPr>
              <w:t>Customers the model places in the High Risk tier churn at 78.04 %; those in the Low Risk tier churn at 9.85 %. That is an eight-fold separation, and the ordering is strictly monotonic across the three tiers. Mean predicted probability also tracks observed frequency closely within each tier (0.7003 against 78.04 %, 0.1035 against 9.85 %), which is the practical payoff of the calibration step.</w:t>
            </w:r>
          </w:p>
        </w:tc>
      </w:tr>
    </w:tbl>
    <w:p>
      <w:pPr>
        <w:spacing w:after="120"/>
      </w:pPr>
    </w:p>
    <w:p>
      <w:pPr>
        <w:keepNext/>
        <w:spacing w:before="120" w:after="60"/>
        <w:jc w:val="center"/>
      </w:pPr>
      <w:r>
        <w:drawing>
          <wp:inline xmlns:a="http://schemas.openxmlformats.org/drawingml/2006/main" xmlns:pic="http://schemas.openxmlformats.org/drawingml/2006/picture">
            <wp:extent cx="4526280" cy="2792811"/>
            <wp:docPr id="26" name="Picture 26"/>
            <wp:cNvGraphicFramePr>
              <a:graphicFrameLocks noChangeAspect="1"/>
            </wp:cNvGraphicFramePr>
            <a:graphic>
              <a:graphicData uri="http://schemas.openxmlformats.org/drawingml/2006/picture">
                <pic:pic>
                  <pic:nvPicPr>
                    <pic:cNvPr id="0" name="phase8_risk_tier_distribution.png"/>
                    <pic:cNvPicPr/>
                  </pic:nvPicPr>
                  <pic:blipFill>
                    <a:blip r:embed="rId34"/>
                    <a:stretch>
                      <a:fillRect/>
                    </a:stretch>
                  </pic:blipFill>
                  <pic:spPr>
                    <a:xfrm>
                      <a:off x="0" y="0"/>
                      <a:ext cx="4526280" cy="2792811"/>
                    </a:xfrm>
                    <a:prstGeom prst="rect"/>
                  </pic:spPr>
                </pic:pic>
              </a:graphicData>
            </a:graphic>
          </wp:inline>
        </w:drawing>
      </w:r>
    </w:p>
    <w:p>
      <w:pPr>
        <w:spacing w:before="60" w:after="220"/>
        <w:jc w:val="center"/>
      </w:pPr>
      <w:r>
        <w:rPr>
          <w:i/>
          <w:color w:val="555F6B"/>
          <w:sz w:val="17"/>
        </w:rPr>
        <w:t>Figure 26: Customer distribution across the three risk tiers.</w:t>
      </w:r>
    </w:p>
    <w:p>
      <w:r>
        <w:br w:type="page"/>
      </w:r>
    </w:p>
    <w:p>
      <w:pPr>
        <w:keepNext/>
        <w:spacing w:before="240" w:after="80"/>
      </w:pPr>
      <w:r>
        <w:rPr>
          <w:b/>
          <w:color w:val="1B355E"/>
          <w:sz w:val="25"/>
        </w:rPr>
        <w:t>18.4  Global feature importance</w:t>
      </w:r>
    </w:p>
    <w:p>
      <w:pPr>
        <w:spacing w:after="120" w:before="0"/>
        <w:jc w:val="both"/>
      </w:pPr>
      <w:r>
        <w:rPr>
          <w:b w:val="0"/>
          <w:i w:val="0"/>
          <w:sz w:val="21"/>
        </w:rPr>
        <w:t xml:space="preserve">This ranking reflects both remediation rounds. The leaked segment label is gone (round 1), and contract type now appears once, with its importance undivided, because the duplicate </w:t>
      </w:r>
      <w:r>
        <w:rPr>
          <w:rFonts w:ascii="Consolas" w:hAnsi="Consolas" w:eastAsia="Consolas"/>
          <w:b w:val="0"/>
          <w:i w:val="0"/>
          <w:color w:val="8A2C1F"/>
          <w:sz w:val="19"/>
        </w:rPr>
        <w:t>ContractRiskFlag</w:t>
      </w:r>
      <w:r>
        <w:rPr>
          <w:b w:val="0"/>
          <w:i w:val="0"/>
          <w:sz w:val="21"/>
        </w:rPr>
        <w:t xml:space="preserve"> no longer competes with it (round 2).</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748"/>
        <w:gridCol w:w="3240"/>
        <w:gridCol w:w="1123"/>
        <w:gridCol w:w="4204"/>
      </w:tblGrid>
      <w:tr>
        <w:tc>
          <w:tcPr>
            <w:tcW w:type="dxa" w:w="749"/>
            <w:shd w:val="clear" w:color="auto" w:fill="1B355E"/>
          </w:tcPr>
          <w:p>
            <w:pPr>
              <w:spacing w:after="20" w:before="20"/>
              <w:jc w:val="center"/>
            </w:pPr>
            <w:r>
              <w:rPr>
                <w:b/>
                <w:color w:val="FFFFFF"/>
                <w:sz w:val="16"/>
              </w:rPr>
              <w:t>Rank</w:t>
            </w:r>
          </w:p>
        </w:tc>
        <w:tc>
          <w:tcPr>
            <w:tcW w:type="dxa" w:w="3240"/>
            <w:shd w:val="clear" w:color="auto" w:fill="1B355E"/>
          </w:tcPr>
          <w:p>
            <w:pPr>
              <w:spacing w:after="20" w:before="20"/>
              <w:jc w:val="center"/>
            </w:pPr>
            <w:r>
              <w:rPr>
                <w:b/>
                <w:color w:val="FFFFFF"/>
                <w:sz w:val="16"/>
              </w:rPr>
              <w:t>Feature</w:t>
            </w:r>
          </w:p>
        </w:tc>
        <w:tc>
          <w:tcPr>
            <w:tcW w:type="dxa" w:w="1123"/>
            <w:shd w:val="clear" w:color="auto" w:fill="1B355E"/>
          </w:tcPr>
          <w:p>
            <w:pPr>
              <w:spacing w:after="20" w:before="20"/>
              <w:jc w:val="center"/>
            </w:pPr>
            <w:r>
              <w:rPr>
                <w:b/>
                <w:color w:val="FFFFFF"/>
                <w:sz w:val="16"/>
              </w:rPr>
              <w:t>Gain</w:t>
            </w:r>
          </w:p>
        </w:tc>
        <w:tc>
          <w:tcPr>
            <w:tcW w:type="dxa" w:w="4205"/>
            <w:shd w:val="clear" w:color="auto" w:fill="1B355E"/>
          </w:tcPr>
          <w:p>
            <w:pPr>
              <w:spacing w:after="20" w:before="20"/>
              <w:jc w:val="center"/>
            </w:pPr>
            <w:r>
              <w:rPr>
                <w:b/>
                <w:color w:val="FFFFFF"/>
                <w:sz w:val="16"/>
              </w:rPr>
              <w:t>Note</w:t>
            </w:r>
          </w:p>
        </w:tc>
      </w:tr>
      <w:tr>
        <w:tc>
          <w:tcPr>
            <w:tcW w:type="dxa" w:w="749"/>
          </w:tcPr>
          <w:p>
            <w:pPr>
              <w:spacing w:after="20" w:before="20" w:line="254" w:lineRule="auto"/>
              <w:jc w:val="left"/>
            </w:pPr>
            <w:r>
              <w:rPr>
                <w:sz w:val="16"/>
              </w:rPr>
              <w:t>1</w:t>
            </w:r>
          </w:p>
        </w:tc>
        <w:tc>
          <w:tcPr>
            <w:tcW w:type="dxa" w:w="3240"/>
          </w:tcPr>
          <w:p>
            <w:pPr>
              <w:spacing w:after="20" w:before="20" w:line="254" w:lineRule="auto"/>
              <w:jc w:val="center"/>
            </w:pPr>
            <w:r>
              <w:rPr>
                <w:rFonts w:ascii="Consolas" w:hAnsi="Consolas" w:eastAsia="Consolas"/>
                <w:color w:val="8A2C1F"/>
                <w:sz w:val="15"/>
              </w:rPr>
              <w:t>Contract_Month-to-month</w:t>
            </w:r>
          </w:p>
        </w:tc>
        <w:tc>
          <w:tcPr>
            <w:tcW w:type="dxa" w:w="1123"/>
          </w:tcPr>
          <w:p>
            <w:pPr>
              <w:spacing w:after="20" w:before="20" w:line="254" w:lineRule="auto"/>
              <w:jc w:val="center"/>
            </w:pPr>
            <w:r>
              <w:rPr>
                <w:b/>
                <w:sz w:val="16"/>
              </w:rPr>
              <w:t>0.2465</w:t>
            </w:r>
          </w:p>
        </w:tc>
        <w:tc>
          <w:tcPr>
            <w:tcW w:type="dxa" w:w="4205"/>
          </w:tcPr>
          <w:p>
            <w:pPr>
              <w:spacing w:after="20" w:before="20" w:line="254" w:lineRule="auto"/>
              <w:jc w:val="center"/>
            </w:pPr>
            <w:r>
              <w:rPr>
                <w:b/>
                <w:sz w:val="16"/>
              </w:rPr>
              <w:t>sole carrier of the contract signal after round 2</w:t>
            </w:r>
          </w:p>
        </w:tc>
      </w:tr>
      <w:tr>
        <w:tc>
          <w:tcPr>
            <w:tcW w:type="dxa" w:w="749"/>
            <w:shd w:val="clear" w:color="auto" w:fill="F2F5F9"/>
          </w:tcPr>
          <w:p>
            <w:pPr>
              <w:spacing w:after="20" w:before="20" w:line="254" w:lineRule="auto"/>
              <w:jc w:val="left"/>
            </w:pPr>
            <w:r>
              <w:rPr>
                <w:sz w:val="16"/>
              </w:rPr>
              <w:t>2</w:t>
            </w:r>
          </w:p>
        </w:tc>
        <w:tc>
          <w:tcPr>
            <w:tcW w:type="dxa" w:w="3240"/>
            <w:shd w:val="clear" w:color="auto" w:fill="F2F5F9"/>
          </w:tcPr>
          <w:p>
            <w:pPr>
              <w:spacing w:after="20" w:before="20" w:line="254" w:lineRule="auto"/>
              <w:jc w:val="center"/>
            </w:pPr>
            <w:r>
              <w:rPr>
                <w:rFonts w:ascii="Consolas" w:hAnsi="Consolas" w:eastAsia="Consolas"/>
                <w:color w:val="8A2C1F"/>
                <w:sz w:val="15"/>
              </w:rPr>
              <w:t>Cluster_3</w:t>
            </w:r>
          </w:p>
        </w:tc>
        <w:tc>
          <w:tcPr>
            <w:tcW w:type="dxa" w:w="1123"/>
            <w:shd w:val="clear" w:color="auto" w:fill="F2F5F9"/>
          </w:tcPr>
          <w:p>
            <w:pPr>
              <w:spacing w:after="20" w:before="20" w:line="254" w:lineRule="auto"/>
              <w:jc w:val="center"/>
            </w:pPr>
            <w:r>
              <w:rPr>
                <w:sz w:val="16"/>
              </w:rPr>
              <w:t>0.1467</w:t>
            </w:r>
          </w:p>
        </w:tc>
        <w:tc>
          <w:tcPr>
            <w:tcW w:type="dxa" w:w="4205"/>
            <w:shd w:val="clear" w:color="auto" w:fill="F2F5F9"/>
          </w:tcPr>
          <w:p>
            <w:pPr>
              <w:spacing w:after="20" w:before="20" w:line="254" w:lineRule="auto"/>
              <w:jc w:val="left"/>
            </w:pPr>
            <w:r>
              <w:rPr>
                <w:sz w:val="16"/>
              </w:rPr>
              <w:t>the New High-Spend segment; built from attributes only</w:t>
            </w:r>
          </w:p>
        </w:tc>
      </w:tr>
      <w:tr>
        <w:tc>
          <w:tcPr>
            <w:tcW w:type="dxa" w:w="749"/>
          </w:tcPr>
          <w:p>
            <w:pPr>
              <w:spacing w:after="20" w:before="20" w:line="254" w:lineRule="auto"/>
              <w:jc w:val="left"/>
            </w:pPr>
            <w:r>
              <w:rPr>
                <w:sz w:val="16"/>
              </w:rPr>
              <w:t>3</w:t>
            </w:r>
          </w:p>
        </w:tc>
        <w:tc>
          <w:tcPr>
            <w:tcW w:type="dxa" w:w="3240"/>
          </w:tcPr>
          <w:p>
            <w:pPr>
              <w:spacing w:after="20" w:before="20" w:line="254" w:lineRule="auto"/>
              <w:jc w:val="center"/>
            </w:pPr>
            <w:r>
              <w:rPr>
                <w:rFonts w:ascii="Consolas" w:hAnsi="Consolas" w:eastAsia="Consolas"/>
                <w:color w:val="8A2C1F"/>
                <w:sz w:val="15"/>
              </w:rPr>
              <w:t>Contract_Two year</w:t>
            </w:r>
          </w:p>
        </w:tc>
        <w:tc>
          <w:tcPr>
            <w:tcW w:type="dxa" w:w="1123"/>
          </w:tcPr>
          <w:p>
            <w:pPr>
              <w:spacing w:after="20" w:before="20" w:line="254" w:lineRule="auto"/>
              <w:jc w:val="center"/>
            </w:pPr>
            <w:r>
              <w:rPr>
                <w:sz w:val="16"/>
              </w:rPr>
              <w:t>0.0783</w:t>
            </w:r>
          </w:p>
        </w:tc>
        <w:tc>
          <w:tcPr>
            <w:tcW w:type="dxa" w:w="4205"/>
          </w:tcPr>
          <w:p>
            <w:pPr>
              <w:spacing w:after="20" w:before="20" w:line="254" w:lineRule="auto"/>
              <w:jc w:val="left"/>
            </w:pPr>
            <w:r>
              <w:rPr>
                <w:sz w:val="16"/>
              </w:rPr>
              <w:t>long commitment protects</w:t>
            </w:r>
          </w:p>
        </w:tc>
      </w:tr>
      <w:tr>
        <w:tc>
          <w:tcPr>
            <w:tcW w:type="dxa" w:w="749"/>
            <w:shd w:val="clear" w:color="auto" w:fill="F2F5F9"/>
          </w:tcPr>
          <w:p>
            <w:pPr>
              <w:spacing w:after="20" w:before="20" w:line="254" w:lineRule="auto"/>
              <w:jc w:val="left"/>
            </w:pPr>
            <w:r>
              <w:rPr>
                <w:sz w:val="16"/>
              </w:rPr>
              <w:t>4</w:t>
            </w:r>
          </w:p>
        </w:tc>
        <w:tc>
          <w:tcPr>
            <w:tcW w:type="dxa" w:w="3240"/>
            <w:shd w:val="clear" w:color="auto" w:fill="F2F5F9"/>
          </w:tcPr>
          <w:p>
            <w:pPr>
              <w:spacing w:after="20" w:before="20" w:line="254" w:lineRule="auto"/>
              <w:jc w:val="center"/>
            </w:pPr>
            <w:r>
              <w:rPr>
                <w:rFonts w:ascii="Consolas" w:hAnsi="Consolas" w:eastAsia="Consolas"/>
                <w:color w:val="8A2C1F"/>
                <w:sz w:val="15"/>
              </w:rPr>
              <w:t>InternetService_Fiber optic</w:t>
            </w:r>
          </w:p>
        </w:tc>
        <w:tc>
          <w:tcPr>
            <w:tcW w:type="dxa" w:w="1123"/>
            <w:shd w:val="clear" w:color="auto" w:fill="F2F5F9"/>
          </w:tcPr>
          <w:p>
            <w:pPr>
              <w:spacing w:after="20" w:before="20" w:line="254" w:lineRule="auto"/>
              <w:jc w:val="center"/>
            </w:pPr>
            <w:r>
              <w:rPr>
                <w:sz w:val="16"/>
              </w:rPr>
              <w:t>0.0614</w:t>
            </w:r>
          </w:p>
        </w:tc>
        <w:tc>
          <w:tcPr>
            <w:tcW w:type="dxa" w:w="4205"/>
            <w:shd w:val="clear" w:color="auto" w:fill="F2F5F9"/>
          </w:tcPr>
          <w:p>
            <w:pPr>
              <w:spacing w:after="20" w:before="20" w:line="254" w:lineRule="auto"/>
              <w:jc w:val="center"/>
            </w:pPr>
            <w:r>
              <w:rPr>
                <w:sz w:val="16"/>
              </w:rPr>
            </w:r>
          </w:p>
        </w:tc>
      </w:tr>
      <w:tr>
        <w:tc>
          <w:tcPr>
            <w:tcW w:type="dxa" w:w="749"/>
          </w:tcPr>
          <w:p>
            <w:pPr>
              <w:spacing w:after="20" w:before="20" w:line="254" w:lineRule="auto"/>
              <w:jc w:val="left"/>
            </w:pPr>
            <w:r>
              <w:rPr>
                <w:sz w:val="16"/>
              </w:rPr>
              <w:t>5</w:t>
            </w:r>
          </w:p>
        </w:tc>
        <w:tc>
          <w:tcPr>
            <w:tcW w:type="dxa" w:w="3240"/>
          </w:tcPr>
          <w:p>
            <w:pPr>
              <w:spacing w:after="20" w:before="20" w:line="254" w:lineRule="auto"/>
              <w:jc w:val="center"/>
            </w:pPr>
            <w:r>
              <w:rPr>
                <w:rFonts w:ascii="Consolas" w:hAnsi="Consolas" w:eastAsia="Consolas"/>
                <w:color w:val="8A2C1F"/>
                <w:sz w:val="15"/>
              </w:rPr>
              <w:t>TenureBand_0-6 months</w:t>
            </w:r>
          </w:p>
        </w:tc>
        <w:tc>
          <w:tcPr>
            <w:tcW w:type="dxa" w:w="1123"/>
          </w:tcPr>
          <w:p>
            <w:pPr>
              <w:spacing w:after="20" w:before="20" w:line="254" w:lineRule="auto"/>
              <w:jc w:val="center"/>
            </w:pPr>
            <w:r>
              <w:rPr>
                <w:b/>
                <w:sz w:val="16"/>
              </w:rPr>
              <w:t>0.0337</w:t>
            </w:r>
          </w:p>
        </w:tc>
        <w:tc>
          <w:tcPr>
            <w:tcW w:type="dxa" w:w="4205"/>
          </w:tcPr>
          <w:p>
            <w:pPr>
              <w:spacing w:after="20" w:before="20" w:line="254" w:lineRule="auto"/>
              <w:jc w:val="center"/>
            </w:pPr>
            <w:r>
              <w:rPr>
                <w:b/>
                <w:sz w:val="16"/>
              </w:rPr>
              <w:t>recovered by fixing defect 3</w:t>
            </w:r>
          </w:p>
        </w:tc>
      </w:tr>
      <w:tr>
        <w:tc>
          <w:tcPr>
            <w:tcW w:type="dxa" w:w="749"/>
            <w:shd w:val="clear" w:color="auto" w:fill="F2F5F9"/>
          </w:tcPr>
          <w:p>
            <w:pPr>
              <w:spacing w:after="20" w:before="20" w:line="254" w:lineRule="auto"/>
              <w:jc w:val="left"/>
            </w:pPr>
            <w:r>
              <w:rPr>
                <w:sz w:val="16"/>
              </w:rPr>
              <w:t>6</w:t>
            </w:r>
          </w:p>
        </w:tc>
        <w:tc>
          <w:tcPr>
            <w:tcW w:type="dxa" w:w="3240"/>
            <w:shd w:val="clear" w:color="auto" w:fill="F2F5F9"/>
          </w:tcPr>
          <w:p>
            <w:pPr>
              <w:spacing w:after="20" w:before="20" w:line="254" w:lineRule="auto"/>
              <w:jc w:val="center"/>
            </w:pPr>
            <w:r>
              <w:rPr>
                <w:rFonts w:ascii="Consolas" w:hAnsi="Consolas" w:eastAsia="Consolas"/>
                <w:color w:val="8A2C1F"/>
                <w:sz w:val="15"/>
              </w:rPr>
              <w:t>InternetService_DSL</w:t>
            </w:r>
          </w:p>
        </w:tc>
        <w:tc>
          <w:tcPr>
            <w:tcW w:type="dxa" w:w="1123"/>
            <w:shd w:val="clear" w:color="auto" w:fill="F2F5F9"/>
          </w:tcPr>
          <w:p>
            <w:pPr>
              <w:spacing w:after="20" w:before="20" w:line="254" w:lineRule="auto"/>
              <w:jc w:val="center"/>
            </w:pPr>
            <w:r>
              <w:rPr>
                <w:sz w:val="16"/>
              </w:rPr>
              <w:t>0.0334</w:t>
            </w:r>
          </w:p>
        </w:tc>
        <w:tc>
          <w:tcPr>
            <w:tcW w:type="dxa" w:w="4205"/>
            <w:shd w:val="clear" w:color="auto" w:fill="F2F5F9"/>
          </w:tcPr>
          <w:p>
            <w:pPr>
              <w:spacing w:after="20" w:before="20" w:line="254" w:lineRule="auto"/>
              <w:jc w:val="center"/>
            </w:pPr>
            <w:r>
              <w:rPr>
                <w:sz w:val="16"/>
              </w:rPr>
            </w:r>
          </w:p>
        </w:tc>
      </w:tr>
      <w:tr>
        <w:tc>
          <w:tcPr>
            <w:tcW w:type="dxa" w:w="749"/>
          </w:tcPr>
          <w:p>
            <w:pPr>
              <w:spacing w:after="20" w:before="20" w:line="254" w:lineRule="auto"/>
              <w:jc w:val="left"/>
            </w:pPr>
            <w:r>
              <w:rPr>
                <w:sz w:val="16"/>
              </w:rPr>
              <w:t>7</w:t>
            </w:r>
          </w:p>
        </w:tc>
        <w:tc>
          <w:tcPr>
            <w:tcW w:type="dxa" w:w="3240"/>
          </w:tcPr>
          <w:p>
            <w:pPr>
              <w:spacing w:after="20" w:before="20" w:line="254" w:lineRule="auto"/>
              <w:jc w:val="center"/>
            </w:pPr>
            <w:r>
              <w:rPr>
                <w:rFonts w:ascii="Consolas" w:hAnsi="Consolas" w:eastAsia="Consolas"/>
                <w:color w:val="8A2C1F"/>
                <w:sz w:val="15"/>
              </w:rPr>
              <w:t>PaymentMethod_Electronic check</w:t>
            </w:r>
          </w:p>
        </w:tc>
        <w:tc>
          <w:tcPr>
            <w:tcW w:type="dxa" w:w="1123"/>
          </w:tcPr>
          <w:p>
            <w:pPr>
              <w:spacing w:after="20" w:before="20" w:line="254" w:lineRule="auto"/>
              <w:jc w:val="center"/>
            </w:pPr>
            <w:r>
              <w:rPr>
                <w:sz w:val="16"/>
              </w:rPr>
              <w:t>0.0275</w:t>
            </w:r>
          </w:p>
        </w:tc>
        <w:tc>
          <w:tcPr>
            <w:tcW w:type="dxa" w:w="4205"/>
          </w:tcPr>
          <w:p>
            <w:pPr>
              <w:spacing w:after="20" w:before="20" w:line="254" w:lineRule="auto"/>
              <w:jc w:val="center"/>
            </w:pPr>
            <w:r>
              <w:rPr>
                <w:sz w:val="16"/>
              </w:rPr>
            </w:r>
          </w:p>
        </w:tc>
      </w:tr>
      <w:tr>
        <w:tc>
          <w:tcPr>
            <w:tcW w:type="dxa" w:w="749"/>
            <w:shd w:val="clear" w:color="auto" w:fill="F2F5F9"/>
          </w:tcPr>
          <w:p>
            <w:pPr>
              <w:spacing w:after="20" w:before="20" w:line="254" w:lineRule="auto"/>
              <w:jc w:val="left"/>
            </w:pPr>
            <w:r>
              <w:rPr>
                <w:sz w:val="16"/>
              </w:rPr>
              <w:t>8</w:t>
            </w:r>
          </w:p>
        </w:tc>
        <w:tc>
          <w:tcPr>
            <w:tcW w:type="dxa" w:w="3240"/>
            <w:shd w:val="clear" w:color="auto" w:fill="F2F5F9"/>
          </w:tcPr>
          <w:p>
            <w:pPr>
              <w:spacing w:after="20" w:before="20" w:line="254" w:lineRule="auto"/>
              <w:jc w:val="center"/>
            </w:pPr>
            <w:r>
              <w:rPr>
                <w:rFonts w:ascii="Consolas" w:hAnsi="Consolas" w:eastAsia="Consolas"/>
                <w:color w:val="8A2C1F"/>
                <w:sz w:val="15"/>
              </w:rPr>
              <w:t>Contract_One year</w:t>
            </w:r>
          </w:p>
        </w:tc>
        <w:tc>
          <w:tcPr>
            <w:tcW w:type="dxa" w:w="1123"/>
            <w:shd w:val="clear" w:color="auto" w:fill="F2F5F9"/>
          </w:tcPr>
          <w:p>
            <w:pPr>
              <w:spacing w:after="20" w:before="20" w:line="254" w:lineRule="auto"/>
              <w:jc w:val="center"/>
            </w:pPr>
            <w:r>
              <w:rPr>
                <w:sz w:val="16"/>
              </w:rPr>
              <w:t>0.0269</w:t>
            </w:r>
          </w:p>
        </w:tc>
        <w:tc>
          <w:tcPr>
            <w:tcW w:type="dxa" w:w="4205"/>
            <w:shd w:val="clear" w:color="auto" w:fill="F2F5F9"/>
          </w:tcPr>
          <w:p>
            <w:pPr>
              <w:spacing w:after="20" w:before="20" w:line="254" w:lineRule="auto"/>
              <w:jc w:val="center"/>
            </w:pPr>
            <w:r>
              <w:rPr>
                <w:sz w:val="16"/>
              </w:rPr>
            </w:r>
          </w:p>
        </w:tc>
      </w:tr>
      <w:tr>
        <w:tc>
          <w:tcPr>
            <w:tcW w:type="dxa" w:w="749"/>
          </w:tcPr>
          <w:p>
            <w:pPr>
              <w:spacing w:after="20" w:before="20" w:line="254" w:lineRule="auto"/>
              <w:jc w:val="left"/>
            </w:pPr>
            <w:r>
              <w:rPr>
                <w:sz w:val="16"/>
              </w:rPr>
              <w:t>9</w:t>
            </w:r>
          </w:p>
        </w:tc>
        <w:tc>
          <w:tcPr>
            <w:tcW w:type="dxa" w:w="3240"/>
          </w:tcPr>
          <w:p>
            <w:pPr>
              <w:spacing w:after="20" w:before="20" w:line="254" w:lineRule="auto"/>
              <w:jc w:val="center"/>
            </w:pPr>
            <w:r>
              <w:rPr>
                <w:rFonts w:ascii="Consolas" w:hAnsi="Consolas" w:eastAsia="Consolas"/>
                <w:color w:val="8A2C1F"/>
                <w:sz w:val="15"/>
              </w:rPr>
              <w:t>InternetService_No</w:t>
            </w:r>
          </w:p>
        </w:tc>
        <w:tc>
          <w:tcPr>
            <w:tcW w:type="dxa" w:w="1123"/>
          </w:tcPr>
          <w:p>
            <w:pPr>
              <w:spacing w:after="20" w:before="20" w:line="254" w:lineRule="auto"/>
              <w:jc w:val="center"/>
            </w:pPr>
            <w:r>
              <w:rPr>
                <w:sz w:val="16"/>
              </w:rPr>
              <w:t>0.0267</w:t>
            </w:r>
          </w:p>
        </w:tc>
        <w:tc>
          <w:tcPr>
            <w:tcW w:type="dxa" w:w="4205"/>
          </w:tcPr>
          <w:p>
            <w:pPr>
              <w:spacing w:after="20" w:before="20" w:line="254" w:lineRule="auto"/>
              <w:jc w:val="center"/>
            </w:pPr>
            <w:r>
              <w:rPr>
                <w:sz w:val="16"/>
              </w:rPr>
            </w:r>
          </w:p>
        </w:tc>
      </w:tr>
      <w:tr>
        <w:tc>
          <w:tcPr>
            <w:tcW w:type="dxa" w:w="749"/>
            <w:shd w:val="clear" w:color="auto" w:fill="F2F5F9"/>
          </w:tcPr>
          <w:p>
            <w:pPr>
              <w:spacing w:after="20" w:before="20" w:line="254" w:lineRule="auto"/>
              <w:jc w:val="left"/>
            </w:pPr>
            <w:r>
              <w:rPr>
                <w:sz w:val="16"/>
              </w:rPr>
              <w:t>10</w:t>
            </w:r>
          </w:p>
        </w:tc>
        <w:tc>
          <w:tcPr>
            <w:tcW w:type="dxa" w:w="3240"/>
            <w:shd w:val="clear" w:color="auto" w:fill="F2F5F9"/>
          </w:tcPr>
          <w:p>
            <w:pPr>
              <w:spacing w:after="20" w:before="20" w:line="254" w:lineRule="auto"/>
              <w:jc w:val="center"/>
            </w:pPr>
            <w:r>
              <w:rPr>
                <w:rFonts w:ascii="Consolas" w:hAnsi="Consolas" w:eastAsia="Consolas"/>
                <w:color w:val="8A2C1F"/>
                <w:sz w:val="15"/>
              </w:rPr>
              <w:t>tenure</w:t>
            </w:r>
          </w:p>
        </w:tc>
        <w:tc>
          <w:tcPr>
            <w:tcW w:type="dxa" w:w="1123"/>
            <w:shd w:val="clear" w:color="auto" w:fill="F2F5F9"/>
          </w:tcPr>
          <w:p>
            <w:pPr>
              <w:spacing w:after="20" w:before="20" w:line="254" w:lineRule="auto"/>
              <w:jc w:val="center"/>
            </w:pPr>
            <w:r>
              <w:rPr>
                <w:sz w:val="16"/>
              </w:rPr>
              <w:t>0.0183</w:t>
            </w:r>
          </w:p>
        </w:tc>
        <w:tc>
          <w:tcPr>
            <w:tcW w:type="dxa" w:w="4205"/>
            <w:shd w:val="clear" w:color="auto" w:fill="F2F5F9"/>
          </w:tcPr>
          <w:p>
            <w:pPr>
              <w:spacing w:after="20" w:before="20" w:line="254" w:lineRule="auto"/>
              <w:jc w:val="center"/>
            </w:pPr>
            <w:r>
              <w:rPr>
                <w:sz w:val="16"/>
              </w:rPr>
            </w:r>
          </w:p>
        </w:tc>
      </w:tr>
      <w:tr>
        <w:tc>
          <w:tcPr>
            <w:tcW w:type="dxa" w:w="749"/>
          </w:tcPr>
          <w:p>
            <w:pPr>
              <w:spacing w:after="20" w:before="20" w:line="254" w:lineRule="auto"/>
              <w:jc w:val="left"/>
            </w:pPr>
            <w:r>
              <w:rPr>
                <w:sz w:val="16"/>
              </w:rPr>
              <w:t>17</w:t>
            </w:r>
          </w:p>
        </w:tc>
        <w:tc>
          <w:tcPr>
            <w:tcW w:type="dxa" w:w="3240"/>
          </w:tcPr>
          <w:p>
            <w:pPr>
              <w:spacing w:after="20" w:before="20" w:line="254" w:lineRule="auto"/>
              <w:jc w:val="center"/>
            </w:pPr>
            <w:r>
              <w:rPr>
                <w:rFonts w:ascii="Consolas" w:hAnsi="Consolas" w:eastAsia="Consolas"/>
                <w:color w:val="8A2C1F"/>
                <w:sz w:val="15"/>
              </w:rPr>
              <w:t>ValueTier_Medium</w:t>
            </w:r>
          </w:p>
        </w:tc>
        <w:tc>
          <w:tcPr>
            <w:tcW w:type="dxa" w:w="1123"/>
          </w:tcPr>
          <w:p>
            <w:pPr>
              <w:spacing w:after="20" w:before="20" w:line="254" w:lineRule="auto"/>
              <w:jc w:val="center"/>
            </w:pPr>
            <w:r>
              <w:rPr>
                <w:sz w:val="16"/>
              </w:rPr>
              <w:t>0.0124</w:t>
            </w:r>
          </w:p>
        </w:tc>
        <w:tc>
          <w:tcPr>
            <w:tcW w:type="dxa" w:w="4205"/>
          </w:tcPr>
          <w:p>
            <w:pPr>
              <w:spacing w:after="20" w:before="20" w:line="254" w:lineRule="auto"/>
              <w:jc w:val="center"/>
            </w:pPr>
            <w:r>
              <w:rPr>
                <w:b/>
                <w:sz w:val="16"/>
              </w:rPr>
              <w:t>recovered by fixing defect 3</w:t>
            </w:r>
          </w:p>
        </w:tc>
      </w:tr>
      <w:tr>
        <w:tc>
          <w:tcPr>
            <w:tcW w:type="dxa" w:w="749"/>
            <w:shd w:val="clear" w:color="auto" w:fill="F2F5F9"/>
          </w:tcPr>
          <w:p>
            <w:pPr>
              <w:spacing w:after="20" w:before="20" w:line="254" w:lineRule="auto"/>
              <w:jc w:val="left"/>
            </w:pPr>
            <w:r>
              <w:rPr>
                <w:sz w:val="16"/>
              </w:rPr>
              <w:t>—</w:t>
            </w:r>
          </w:p>
        </w:tc>
        <w:tc>
          <w:tcPr>
            <w:tcW w:type="dxa" w:w="3240"/>
            <w:shd w:val="clear" w:color="auto" w:fill="F2F5F9"/>
          </w:tcPr>
          <w:p>
            <w:pPr>
              <w:spacing w:after="20" w:before="20" w:line="254" w:lineRule="auto"/>
              <w:jc w:val="center"/>
            </w:pPr>
            <w:r>
              <w:rPr>
                <w:rFonts w:ascii="Consolas" w:hAnsi="Consolas" w:eastAsia="Consolas"/>
                <w:color w:val="8A2C1F"/>
                <w:sz w:val="15"/>
              </w:rPr>
              <w:t>ContractRiskFlag</w:t>
            </w:r>
          </w:p>
        </w:tc>
        <w:tc>
          <w:tcPr>
            <w:tcW w:type="dxa" w:w="1123"/>
            <w:shd w:val="clear" w:color="auto" w:fill="F2F5F9"/>
          </w:tcPr>
          <w:p>
            <w:pPr>
              <w:spacing w:after="20" w:before="20" w:line="254" w:lineRule="auto"/>
              <w:jc w:val="center"/>
            </w:pPr>
            <w:r>
              <w:rPr>
                <w:b/>
                <w:sz w:val="16"/>
              </w:rPr>
              <w:t>absent</w:t>
            </w:r>
          </w:p>
        </w:tc>
        <w:tc>
          <w:tcPr>
            <w:tcW w:type="dxa" w:w="4205"/>
            <w:shd w:val="clear" w:color="auto" w:fill="F2F5F9"/>
          </w:tcPr>
          <w:p>
            <w:pPr>
              <w:spacing w:after="20" w:before="20" w:line="254" w:lineRule="auto"/>
              <w:jc w:val="center"/>
            </w:pPr>
            <w:r>
              <w:rPr>
                <w:b/>
                <w:sz w:val="16"/>
              </w:rPr>
              <w:t>removed from the matrix in round 2</w:t>
            </w:r>
          </w:p>
        </w:tc>
      </w:tr>
      <w:tr>
        <w:tc>
          <w:tcPr>
            <w:tcW w:type="dxa" w:w="749"/>
          </w:tcPr>
          <w:p>
            <w:pPr>
              <w:spacing w:after="20" w:before="20" w:line="254" w:lineRule="auto"/>
              <w:jc w:val="left"/>
            </w:pPr>
            <w:r>
              <w:rPr>
                <w:sz w:val="16"/>
              </w:rPr>
              <w:t>—</w:t>
            </w:r>
          </w:p>
        </w:tc>
        <w:tc>
          <w:tcPr>
            <w:tcW w:type="dxa" w:w="3240"/>
          </w:tcPr>
          <w:p>
            <w:pPr>
              <w:spacing w:after="20" w:before="20" w:line="254" w:lineRule="auto"/>
              <w:jc w:val="center"/>
            </w:pPr>
            <w:r>
              <w:rPr>
                <w:rFonts w:ascii="Consolas" w:hAnsi="Consolas" w:eastAsia="Consolas"/>
                <w:color w:val="8A2C1F"/>
                <w:sz w:val="15"/>
              </w:rPr>
              <w:t>CustomerSegment</w:t>
            </w:r>
          </w:p>
        </w:tc>
        <w:tc>
          <w:tcPr>
            <w:tcW w:type="dxa" w:w="1123"/>
          </w:tcPr>
          <w:p>
            <w:pPr>
              <w:spacing w:after="20" w:before="20" w:line="254" w:lineRule="auto"/>
              <w:jc w:val="center"/>
            </w:pPr>
            <w:r>
              <w:rPr>
                <w:b/>
                <w:sz w:val="16"/>
              </w:rPr>
              <w:t>absent</w:t>
            </w:r>
          </w:p>
        </w:tc>
        <w:tc>
          <w:tcPr>
            <w:tcW w:type="dxa" w:w="4205"/>
          </w:tcPr>
          <w:p>
            <w:pPr>
              <w:spacing w:after="20" w:before="20" w:line="254" w:lineRule="auto"/>
              <w:jc w:val="center"/>
            </w:pPr>
            <w:r>
              <w:rPr>
                <w:b/>
                <w:sz w:val="16"/>
              </w:rPr>
              <w:t>removed from the matrix in round 1</w:t>
            </w:r>
          </w:p>
        </w:tc>
      </w:tr>
    </w:tbl>
    <w:p>
      <w:pPr>
        <w:spacing w:before="60" w:after="200"/>
        <w:jc w:val="center"/>
      </w:pPr>
      <w:r>
        <w:rPr>
          <w:i/>
          <w:color w:val="555F6B"/>
          <w:sz w:val="17"/>
        </w:rPr>
        <w:t>Table 39: Top features by gain importance in the phase 8 model after both remediation rounds.</w:t>
      </w:r>
    </w:p>
    <w:p>
      <w:pPr>
        <w:spacing w:after="120" w:before="0"/>
        <w:jc w:val="both"/>
      </w:pPr>
      <w:r>
        <w:rPr>
          <w:b w:val="0"/>
          <w:i w:val="0"/>
          <w:sz w:val="21"/>
        </w:rPr>
        <w:t xml:space="preserve">Two movements deserve comment. Contract Month-to-month now carries 0.2465 on its own; previously the same signal was split into 0.2462 and 0.2421 between two identical columns, so neither number described it. And </w:t>
      </w:r>
      <w:r>
        <w:rPr>
          <w:rFonts w:ascii="Consolas" w:hAnsi="Consolas" w:eastAsia="Consolas"/>
          <w:b w:val="0"/>
          <w:i w:val="0"/>
          <w:color w:val="8A2C1F"/>
          <w:sz w:val="19"/>
        </w:rPr>
        <w:t>Cluster_3</w:t>
      </w:r>
      <w:r>
        <w:rPr>
          <w:b w:val="0"/>
          <w:i w:val="0"/>
          <w:sz w:val="21"/>
        </w:rPr>
        <w:t xml:space="preserve"> has risen to second place. That is legitimate: the cluster is built from tenure, service count and monthly charges only, and after round 1 its name no longer encodes churn. Gain importance is not conserved between models, so when a redundant column is removed the trees redistribute their splits across the remaining features.</w:t>
      </w:r>
    </w:p>
    <w:p>
      <w:pPr>
        <w:keepNext/>
        <w:spacing w:before="120" w:after="60"/>
        <w:jc w:val="center"/>
      </w:pPr>
      <w:r>
        <w:drawing>
          <wp:inline xmlns:a="http://schemas.openxmlformats.org/drawingml/2006/main" xmlns:pic="http://schemas.openxmlformats.org/drawingml/2006/picture">
            <wp:extent cx="5349240" cy="3867912"/>
            <wp:docPr id="27" name="Picture 27"/>
            <wp:cNvGraphicFramePr>
              <a:graphicFrameLocks noChangeAspect="1"/>
            </wp:cNvGraphicFramePr>
            <a:graphic>
              <a:graphicData uri="http://schemas.openxmlformats.org/drawingml/2006/picture">
                <pic:pic>
                  <pic:nvPicPr>
                    <pic:cNvPr id="0" name="phase8_global_feature_importance.png"/>
                    <pic:cNvPicPr/>
                  </pic:nvPicPr>
                  <pic:blipFill>
                    <a:blip r:embed="rId35"/>
                    <a:stretch>
                      <a:fillRect/>
                    </a:stretch>
                  </pic:blipFill>
                  <pic:spPr>
                    <a:xfrm>
                      <a:off x="0" y="0"/>
                      <a:ext cx="5349240" cy="3867912"/>
                    </a:xfrm>
                    <a:prstGeom prst="rect"/>
                  </pic:spPr>
                </pic:pic>
              </a:graphicData>
            </a:graphic>
          </wp:inline>
        </w:drawing>
      </w:r>
    </w:p>
    <w:p>
      <w:pPr>
        <w:spacing w:before="60" w:after="220"/>
        <w:jc w:val="center"/>
      </w:pPr>
      <w:r>
        <w:rPr>
          <w:i/>
          <w:color w:val="555F6B"/>
          <w:sz w:val="17"/>
        </w:rPr>
        <w:t>Figure 27: Global feature importance by gain.</w:t>
      </w:r>
    </w:p>
    <w:p>
      <w:pPr>
        <w:keepNext/>
        <w:spacing w:before="120" w:after="60"/>
        <w:jc w:val="center"/>
      </w:pPr>
      <w:r>
        <w:drawing>
          <wp:inline xmlns:a="http://schemas.openxmlformats.org/drawingml/2006/main" xmlns:pic="http://schemas.openxmlformats.org/drawingml/2006/picture">
            <wp:extent cx="5349240" cy="6360031"/>
            <wp:docPr id="28" name="Picture 28"/>
            <wp:cNvGraphicFramePr>
              <a:graphicFrameLocks noChangeAspect="1"/>
            </wp:cNvGraphicFramePr>
            <a:graphic>
              <a:graphicData uri="http://schemas.openxmlformats.org/drawingml/2006/picture">
                <pic:pic>
                  <pic:nvPicPr>
                    <pic:cNvPr id="0" name="phase8_shap_global_summary.png"/>
                    <pic:cNvPicPr/>
                  </pic:nvPicPr>
                  <pic:blipFill>
                    <a:blip r:embed="rId36"/>
                    <a:stretch>
                      <a:fillRect/>
                    </a:stretch>
                  </pic:blipFill>
                  <pic:spPr>
                    <a:xfrm>
                      <a:off x="0" y="0"/>
                      <a:ext cx="5349240" cy="6360031"/>
                    </a:xfrm>
                    <a:prstGeom prst="rect"/>
                  </pic:spPr>
                </pic:pic>
              </a:graphicData>
            </a:graphic>
          </wp:inline>
        </w:drawing>
      </w:r>
    </w:p>
    <w:p>
      <w:pPr>
        <w:spacing w:before="60" w:after="220"/>
        <w:jc w:val="center"/>
      </w:pPr>
      <w:r>
        <w:rPr>
          <w:i/>
          <w:color w:val="555F6B"/>
          <w:sz w:val="17"/>
        </w:rPr>
        <w:t>Figure 28: SHAP global summary. Each point is one customer; position shows the direction and magnitude of that feature's contribution.</w:t>
      </w:r>
    </w:p>
    <w:p>
      <w:pPr>
        <w:keepNext/>
        <w:spacing w:before="240" w:after="80"/>
      </w:pPr>
      <w:r>
        <w:rPr>
          <w:b/>
          <w:color w:val="1B355E"/>
          <w:sz w:val="25"/>
        </w:rPr>
        <w:t>18.5  Local explanations and reason codes</w:t>
      </w:r>
    </w:p>
    <w:p>
      <w:pPr>
        <w:spacing w:after="120" w:before="0"/>
        <w:jc w:val="both"/>
      </w:pPr>
      <w:r>
        <w:rPr>
          <w:b w:val="0"/>
          <w:i w:val="0"/>
          <w:sz w:val="21"/>
        </w:rPr>
        <w:t>Global importance says what matters across the base. A retention agent needs to know what matters for the customer in front of them, which is what SHAP provides per prediction. Phase 8 converts the three highest-magnitude contributions per customer into plain reason codes.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
              <w:rPr>
                <w:rFonts w:ascii="Consolas" w:hAnsi="Consolas" w:eastAsia="Consolas"/>
                <w:color w:val="E6ECF2"/>
                <w:sz w:val="16"/>
              </w:rPr>
              <w:t>customerID   ChurnProbability  RiskTier   ReasonCode1 / 2 / 3</w:t>
            </w:r>
          </w:p>
          <w:p>
            <w:pPr>
              <w:spacing w:after="0" w:before="0" w:line="240" w:lineRule="auto"/>
            </w:pPr>
            <w:r>
              <w:rPr>
                <w:rFonts w:ascii="Consolas" w:hAnsi="Consolas" w:eastAsia="Consolas"/>
                <w:color w:val="E6ECF2"/>
                <w:sz w:val="16"/>
              </w:rPr>
              <w:t>7216-EWTRS   0.7690            High Risk  tenure increased churn risk</w:t>
            </w:r>
          </w:p>
          <w:p>
            <w:pPr>
              <w:spacing w:after="0" w:before="0" w:line="240" w:lineRule="auto"/>
            </w:pPr>
            <w:r>
              <w:rPr>
                <w:rFonts w:ascii="Consolas" w:hAnsi="Consolas" w:eastAsia="Consolas"/>
                <w:color w:val="E6ECF2"/>
                <w:sz w:val="16"/>
              </w:rPr>
              <w:t xml:space="preserve">                                          Contract_Month-to-month increased churn risk</w:t>
            </w:r>
          </w:p>
          <w:p>
            <w:pPr>
              <w:spacing w:after="0" w:before="0" w:line="240" w:lineRule="auto"/>
            </w:pPr>
            <w:r>
              <w:rPr>
                <w:rFonts w:ascii="Consolas" w:hAnsi="Consolas" w:eastAsia="Consolas"/>
                <w:color w:val="E6ECF2"/>
                <w:sz w:val="16"/>
              </w:rPr>
              <w:t xml:space="preserve">                                          InternetService_Fiber optic increased risk</w:t>
            </w:r>
          </w:p>
          <w:p>
            <w:pPr>
              <w:spacing w:after="0" w:before="0" w:line="240" w:lineRule="auto"/>
            </w:pPr>
            <w:r>
              <w:rPr>
                <w:rFonts w:ascii="Consolas" w:hAnsi="Consolas" w:eastAsia="Consolas"/>
                <w:color w:val="E6ECF2"/>
                <w:sz w:val="16"/>
              </w:rPr>
              <w:t>5178-LMXOP   0.7667            High Risk  (same three drivers)</w:t>
            </w:r>
          </w:p>
          <w:p>
            <w:pPr>
              <w:spacing w:after="0" w:before="0" w:line="240" w:lineRule="auto"/>
            </w:pPr>
            <w:r>
              <w:rPr>
                <w:rFonts w:ascii="Consolas" w:hAnsi="Consolas" w:eastAsia="Consolas"/>
                <w:color w:val="E6ECF2"/>
                <w:sz w:val="16"/>
              </w:rPr>
              <w:t>9300-AGZNL   0.7663            High Risk  (same three drivers)</w:t>
            </w:r>
          </w:p>
          <w:p>
            <w:pPr>
              <w:spacing w:after="0" w:before="0" w:line="240" w:lineRule="auto"/>
            </w:pPr>
            <w:r>
              <w:rPr>
                <w:rFonts w:ascii="Consolas" w:hAnsi="Consolas" w:eastAsia="Consolas"/>
                <w:color w:val="E6ECF2"/>
                <w:sz w:val="16"/>
              </w:rPr>
              <w:t>5419-JPRRN   0.7661            High Risk  (same three drivers)</w:t>
            </w:r>
          </w:p>
          <w:p>
            <w:pPr>
              <w:spacing w:after="0" w:before="0" w:line="240" w:lineRule="auto"/>
            </w:pPr>
            <w:r>
              <w:rPr>
                <w:rFonts w:ascii="Consolas" w:hAnsi="Consolas" w:eastAsia="Consolas"/>
                <w:color w:val="E6ECF2"/>
                <w:sz w:val="16"/>
              </w:rPr>
              <w:t>9497-QCMMS   0.7657            High Risk  (same three drivers)</w:t>
            </w:r>
          </w:p>
        </w:tc>
      </w:tr>
    </w:tbl>
    <w:p>
      <w:pPr>
        <w:spacing w:before="60" w:after="180"/>
        <w:jc w:val="center"/>
      </w:pPr>
      <w:r>
        <w:rPr>
          <w:i/>
          <w:color w:val="555F6B"/>
          <w:sz w:val="17"/>
        </w:rPr>
        <w:t>Listing 21: SHAP reason codes for the five highest-risk customers. The contract signal is now cited through the Contract column itself.</w:t>
      </w:r>
    </w:p>
    <w:p>
      <w:pPr>
        <w:spacing w:after="120" w:before="0"/>
        <w:jc w:val="both"/>
      </w:pPr>
      <w:r>
        <w:rPr>
          <w:b w:val="0"/>
          <w:i w:val="0"/>
          <w:sz w:val="21"/>
        </w:rPr>
        <w:t>All five share the same three drivers because they are the five highest-probability customers in the base, and the strongest signals are contract, tenure and fibre service. That is why phase 9 does not use these raw top-three codes to pick an action: they would repeat contract for almost everyone. Section 18.6 describes what it uses instead.</w:t>
      </w:r>
    </w:p>
    <w:p>
      <w:pPr>
        <w:keepNext/>
        <w:spacing w:before="240" w:after="80"/>
      </w:pPr>
      <w:r>
        <w:rPr>
          <w:b/>
          <w:color w:val="1B355E"/>
          <w:sz w:val="25"/>
        </w:rPr>
        <w:t>18.6  Per-customer driver levers</w:t>
      </w:r>
    </w:p>
    <w:p>
      <w:pPr>
        <w:spacing w:after="120" w:before="0"/>
        <w:jc w:val="both"/>
      </w:pPr>
      <w:r>
        <w:rPr>
          <w:b w:val="0"/>
          <w:i w:val="0"/>
          <w:sz w:val="21"/>
        </w:rPr>
        <w:t>Added in the second remediation round. Phase 8 now computes SHAP values for all 7 043 customers, sums the one-hot columns back to their source feature (the three Contract columns become one Contract contribution), and groups the actionable features into five levers.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15"/>
        <w:gridCol w:w="3384"/>
        <w:gridCol w:w="3916"/>
      </w:tblGrid>
      <w:tr>
        <w:tc>
          <w:tcPr>
            <w:tcW w:type="dxa" w:w="2016"/>
            <w:shd w:val="clear" w:color="auto" w:fill="1B355E"/>
          </w:tcPr>
          <w:p>
            <w:pPr>
              <w:spacing w:after="20" w:before="20"/>
              <w:jc w:val="center"/>
            </w:pPr>
            <w:r>
              <w:rPr>
                <w:b/>
                <w:color w:val="FFFFFF"/>
                <w:sz w:val="16"/>
              </w:rPr>
              <w:t>Lever</w:t>
            </w:r>
          </w:p>
        </w:tc>
        <w:tc>
          <w:tcPr>
            <w:tcW w:type="dxa" w:w="3384"/>
            <w:shd w:val="clear" w:color="auto" w:fill="1B355E"/>
          </w:tcPr>
          <w:p>
            <w:pPr>
              <w:spacing w:after="20" w:before="20"/>
              <w:jc w:val="center"/>
            </w:pPr>
            <w:r>
              <w:rPr>
                <w:b/>
                <w:color w:val="FFFFFF"/>
                <w:sz w:val="16"/>
              </w:rPr>
              <w:t>Source features</w:t>
            </w:r>
          </w:p>
        </w:tc>
        <w:tc>
          <w:tcPr>
            <w:tcW w:type="dxa" w:w="3917"/>
            <w:shd w:val="clear" w:color="auto" w:fill="1B355E"/>
          </w:tcPr>
          <w:p>
            <w:pPr>
              <w:spacing w:after="20" w:before="20"/>
              <w:jc w:val="center"/>
            </w:pPr>
            <w:r>
              <w:rPr>
                <w:b/>
                <w:color w:val="FFFFFF"/>
                <w:sz w:val="16"/>
              </w:rPr>
              <w:t>Action if it is the customer's top lever</w:t>
            </w:r>
          </w:p>
        </w:tc>
      </w:tr>
      <w:tr>
        <w:tc>
          <w:tcPr>
            <w:tcW w:type="dxa" w:w="2016"/>
          </w:tcPr>
          <w:p>
            <w:pPr>
              <w:spacing w:after="20" w:before="20" w:line="254" w:lineRule="auto"/>
              <w:jc w:val="left"/>
            </w:pPr>
            <w:r>
              <w:rPr>
                <w:sz w:val="16"/>
              </w:rPr>
              <w:t>Service quality</w:t>
            </w:r>
          </w:p>
        </w:tc>
        <w:tc>
          <w:tcPr>
            <w:tcW w:type="dxa" w:w="3384"/>
          </w:tcPr>
          <w:p>
            <w:pPr>
              <w:spacing w:after="20" w:before="20" w:line="254" w:lineRule="auto"/>
              <w:jc w:val="center"/>
            </w:pPr>
            <w:r>
              <w:rPr>
                <w:rFonts w:ascii="Consolas" w:hAnsi="Consolas" w:eastAsia="Consolas"/>
                <w:color w:val="8A2C1F"/>
                <w:sz w:val="15"/>
              </w:rPr>
              <w:t>InternetService</w:t>
            </w:r>
          </w:p>
        </w:tc>
        <w:tc>
          <w:tcPr>
            <w:tcW w:type="dxa" w:w="3917"/>
          </w:tcPr>
          <w:p>
            <w:pPr>
              <w:spacing w:after="20" w:before="20" w:line="254" w:lineRule="auto"/>
              <w:jc w:val="left"/>
            </w:pPr>
            <w:r>
              <w:rPr>
                <w:sz w:val="16"/>
              </w:rPr>
              <w:t>Service-quality audit with proactive fix and loyalty credit</w:t>
            </w:r>
          </w:p>
        </w:tc>
      </w:tr>
      <w:tr>
        <w:tc>
          <w:tcPr>
            <w:tcW w:type="dxa" w:w="2016"/>
            <w:shd w:val="clear" w:color="auto" w:fill="F2F5F9"/>
          </w:tcPr>
          <w:p>
            <w:pPr>
              <w:spacing w:after="20" w:before="20" w:line="254" w:lineRule="auto"/>
              <w:jc w:val="left"/>
            </w:pPr>
            <w:r>
              <w:rPr>
                <w:sz w:val="16"/>
              </w:rPr>
              <w:t>Billing and payment</w:t>
            </w:r>
          </w:p>
        </w:tc>
        <w:tc>
          <w:tcPr>
            <w:tcW w:type="dxa" w:w="3384"/>
            <w:shd w:val="clear" w:color="auto" w:fill="F2F5F9"/>
          </w:tcPr>
          <w:p>
            <w:pPr>
              <w:spacing w:after="20" w:before="20" w:line="254" w:lineRule="auto"/>
              <w:jc w:val="center"/>
            </w:pPr>
            <w:r>
              <w:rPr>
                <w:rFonts w:ascii="Consolas" w:hAnsi="Consolas" w:eastAsia="Consolas"/>
                <w:color w:val="8A2C1F"/>
                <w:sz w:val="15"/>
              </w:rPr>
              <w:t>PaymentMethod</w:t>
            </w:r>
            <w:r>
              <w:rPr>
                <w:sz w:val="16"/>
              </w:rPr>
              <w:t xml:space="preserve">, </w:t>
            </w:r>
            <w:r>
              <w:rPr>
                <w:rFonts w:ascii="Consolas" w:hAnsi="Consolas" w:eastAsia="Consolas"/>
                <w:color w:val="8A2C1F"/>
                <w:sz w:val="15"/>
              </w:rPr>
              <w:t>PaperlessBilling</w:t>
            </w:r>
            <w:r>
              <w:rPr>
                <w:sz w:val="16"/>
              </w:rPr>
              <w:t xml:space="preserve">, </w:t>
            </w:r>
            <w:r>
              <w:rPr>
                <w:rFonts w:ascii="Consolas" w:hAnsi="Consolas" w:eastAsia="Consolas"/>
                <w:color w:val="8A2C1F"/>
                <w:sz w:val="15"/>
              </w:rPr>
              <w:t>AutoPayFlag</w:t>
            </w:r>
          </w:p>
        </w:tc>
        <w:tc>
          <w:tcPr>
            <w:tcW w:type="dxa" w:w="3917"/>
            <w:shd w:val="clear" w:color="auto" w:fill="F2F5F9"/>
          </w:tcPr>
          <w:p>
            <w:pPr>
              <w:spacing w:after="20" w:before="20" w:line="254" w:lineRule="auto"/>
              <w:jc w:val="left"/>
            </w:pPr>
            <w:r>
              <w:rPr>
                <w:sz w:val="16"/>
              </w:rPr>
              <w:t>Move to automatic payment with a billing reward</w:t>
            </w:r>
          </w:p>
        </w:tc>
      </w:tr>
      <w:tr>
        <w:tc>
          <w:tcPr>
            <w:tcW w:type="dxa" w:w="2016"/>
          </w:tcPr>
          <w:p>
            <w:pPr>
              <w:spacing w:after="20" w:before="20" w:line="254" w:lineRule="auto"/>
              <w:jc w:val="left"/>
            </w:pPr>
            <w:r>
              <w:rPr>
                <w:sz w:val="16"/>
              </w:rPr>
              <w:t>Protection and support</w:t>
            </w:r>
          </w:p>
        </w:tc>
        <w:tc>
          <w:tcPr>
            <w:tcW w:type="dxa" w:w="3384"/>
          </w:tcPr>
          <w:p>
            <w:pPr>
              <w:spacing w:after="20" w:before="20" w:line="254" w:lineRule="auto"/>
              <w:jc w:val="center"/>
            </w:pPr>
            <w:r>
              <w:rPr>
                <w:rFonts w:ascii="Consolas" w:hAnsi="Consolas" w:eastAsia="Consolas"/>
                <w:color w:val="8A2C1F"/>
                <w:sz w:val="15"/>
              </w:rPr>
              <w:t>TechSupport</w:t>
            </w:r>
            <w:r>
              <w:rPr>
                <w:sz w:val="16"/>
              </w:rPr>
              <w:t xml:space="preserve">, </w:t>
            </w:r>
            <w:r>
              <w:rPr>
                <w:rFonts w:ascii="Consolas" w:hAnsi="Consolas" w:eastAsia="Consolas"/>
                <w:color w:val="8A2C1F"/>
                <w:sz w:val="15"/>
              </w:rPr>
              <w:t>OnlineSecurity</w:t>
            </w:r>
            <w:r>
              <w:rPr>
                <w:sz w:val="16"/>
              </w:rPr>
              <w:t xml:space="preserve">, </w:t>
            </w:r>
            <w:r>
              <w:rPr>
                <w:rFonts w:ascii="Consolas" w:hAnsi="Consolas" w:eastAsia="Consolas"/>
                <w:color w:val="8A2C1F"/>
                <w:sz w:val="15"/>
              </w:rPr>
              <w:t>OnlineBackup</w:t>
            </w:r>
            <w:r>
              <w:rPr>
                <w:sz w:val="16"/>
              </w:rPr>
              <w:t xml:space="preserve">, </w:t>
            </w:r>
            <w:r>
              <w:rPr>
                <w:rFonts w:ascii="Consolas" w:hAnsi="Consolas" w:eastAsia="Consolas"/>
                <w:color w:val="8A2C1F"/>
                <w:sz w:val="15"/>
              </w:rPr>
              <w:t>DeviceProtection</w:t>
            </w:r>
          </w:p>
        </w:tc>
        <w:tc>
          <w:tcPr>
            <w:tcW w:type="dxa" w:w="3917"/>
          </w:tcPr>
          <w:p>
            <w:pPr>
              <w:spacing w:after="20" w:before="20" w:line="254" w:lineRule="auto"/>
              <w:jc w:val="left"/>
            </w:pPr>
            <w:r>
              <w:rPr>
                <w:sz w:val="16"/>
              </w:rPr>
              <w:t>Complimentary tech-support and online-security trial</w:t>
            </w:r>
          </w:p>
        </w:tc>
      </w:tr>
      <w:tr>
        <w:tc>
          <w:tcPr>
            <w:tcW w:type="dxa" w:w="2016"/>
            <w:shd w:val="clear" w:color="auto" w:fill="F2F5F9"/>
          </w:tcPr>
          <w:p>
            <w:pPr>
              <w:spacing w:after="20" w:before="20" w:line="254" w:lineRule="auto"/>
              <w:jc w:val="left"/>
            </w:pPr>
            <w:r>
              <w:rPr>
                <w:sz w:val="16"/>
              </w:rPr>
              <w:t>Engagement and bundling</w:t>
            </w:r>
          </w:p>
        </w:tc>
        <w:tc>
          <w:tcPr>
            <w:tcW w:type="dxa" w:w="3384"/>
            <w:shd w:val="clear" w:color="auto" w:fill="F2F5F9"/>
          </w:tcPr>
          <w:p>
            <w:pPr>
              <w:spacing w:after="20" w:before="20" w:line="254" w:lineRule="auto"/>
              <w:jc w:val="center"/>
            </w:pPr>
            <w:r>
              <w:rPr>
                <w:rFonts w:ascii="Consolas" w:hAnsi="Consolas" w:eastAsia="Consolas"/>
                <w:color w:val="8A2C1F"/>
                <w:sz w:val="15"/>
              </w:rPr>
              <w:t>StreamingTV</w:t>
            </w:r>
            <w:r>
              <w:rPr>
                <w:sz w:val="16"/>
              </w:rPr>
              <w:t xml:space="preserve">, </w:t>
            </w:r>
            <w:r>
              <w:rPr>
                <w:rFonts w:ascii="Consolas" w:hAnsi="Consolas" w:eastAsia="Consolas"/>
                <w:color w:val="8A2C1F"/>
                <w:sz w:val="15"/>
              </w:rPr>
              <w:t>StreamingMovies</w:t>
            </w:r>
            <w:r>
              <w:rPr>
                <w:sz w:val="16"/>
              </w:rPr>
              <w:t xml:space="preserve">, </w:t>
            </w:r>
            <w:r>
              <w:rPr>
                <w:rFonts w:ascii="Consolas" w:hAnsi="Consolas" w:eastAsia="Consolas"/>
                <w:color w:val="8A2C1F"/>
                <w:sz w:val="15"/>
              </w:rPr>
              <w:t>ServiceCount</w:t>
            </w:r>
            <w:r>
              <w:rPr>
                <w:sz w:val="16"/>
              </w:rPr>
              <w:t xml:space="preserve">, </w:t>
            </w:r>
            <w:r>
              <w:rPr>
                <w:rFonts w:ascii="Consolas" w:hAnsi="Consolas" w:eastAsia="Consolas"/>
                <w:color w:val="8A2C1F"/>
                <w:sz w:val="15"/>
              </w:rPr>
              <w:t>MultipleLines</w:t>
            </w:r>
            <w:r>
              <w:rPr>
                <w:sz w:val="16"/>
              </w:rPr>
              <w:t xml:space="preserve">, </w:t>
            </w:r>
            <w:r>
              <w:rPr>
                <w:rFonts w:ascii="Consolas" w:hAnsi="Consolas" w:eastAsia="Consolas"/>
                <w:color w:val="8A2C1F"/>
                <w:sz w:val="15"/>
              </w:rPr>
              <w:t>PhoneService</w:t>
            </w:r>
          </w:p>
        </w:tc>
        <w:tc>
          <w:tcPr>
            <w:tcW w:type="dxa" w:w="3917"/>
            <w:shd w:val="clear" w:color="auto" w:fill="F2F5F9"/>
          </w:tcPr>
          <w:p>
            <w:pPr>
              <w:spacing w:after="20" w:before="20" w:line="254" w:lineRule="auto"/>
              <w:jc w:val="left"/>
            </w:pPr>
            <w:r>
              <w:rPr>
                <w:sz w:val="16"/>
              </w:rPr>
              <w:t>Bundled add-on offer to deepen product engagement</w:t>
            </w:r>
          </w:p>
        </w:tc>
      </w:tr>
      <w:tr>
        <w:tc>
          <w:tcPr>
            <w:tcW w:type="dxa" w:w="2016"/>
          </w:tcPr>
          <w:p>
            <w:pPr>
              <w:spacing w:after="20" w:before="20" w:line="254" w:lineRule="auto"/>
              <w:jc w:val="left"/>
            </w:pPr>
            <w:r>
              <w:rPr>
                <w:sz w:val="16"/>
              </w:rPr>
              <w:t>Price and plan fit</w:t>
            </w:r>
          </w:p>
        </w:tc>
        <w:tc>
          <w:tcPr>
            <w:tcW w:type="dxa" w:w="3384"/>
          </w:tcPr>
          <w:p>
            <w:pPr>
              <w:spacing w:after="20" w:before="20" w:line="254" w:lineRule="auto"/>
              <w:jc w:val="center"/>
            </w:pPr>
            <w:r>
              <w:rPr>
                <w:rFonts w:ascii="Consolas" w:hAnsi="Consolas" w:eastAsia="Consolas"/>
                <w:color w:val="8A2C1F"/>
                <w:sz w:val="15"/>
              </w:rPr>
              <w:t>MonthlyCharges</w:t>
            </w:r>
            <w:r>
              <w:rPr>
                <w:sz w:val="16"/>
              </w:rPr>
              <w:t xml:space="preserve">, </w:t>
            </w:r>
            <w:r>
              <w:rPr>
                <w:rFonts w:ascii="Consolas" w:hAnsi="Consolas" w:eastAsia="Consolas"/>
                <w:color w:val="8A2C1F"/>
                <w:sz w:val="15"/>
              </w:rPr>
              <w:t>ChargeRatio</w:t>
            </w:r>
            <w:r>
              <w:rPr>
                <w:sz w:val="16"/>
              </w:rPr>
              <w:t xml:space="preserve">, </w:t>
            </w:r>
            <w:r>
              <w:rPr>
                <w:rFonts w:ascii="Consolas" w:hAnsi="Consolas" w:eastAsia="Consolas"/>
                <w:color w:val="8A2C1F"/>
                <w:sz w:val="15"/>
              </w:rPr>
              <w:t>ARPU</w:t>
            </w:r>
            <w:r>
              <w:rPr>
                <w:sz w:val="16"/>
              </w:rPr>
              <w:t xml:space="preserve">, </w:t>
            </w:r>
            <w:r>
              <w:rPr>
                <w:rFonts w:ascii="Consolas" w:hAnsi="Consolas" w:eastAsia="Consolas"/>
                <w:color w:val="8A2C1F"/>
                <w:sz w:val="15"/>
              </w:rPr>
              <w:t>ValueTier</w:t>
            </w:r>
            <w:r>
              <w:rPr>
                <w:sz w:val="16"/>
              </w:rPr>
              <w:t xml:space="preserve">, </w:t>
            </w:r>
            <w:r>
              <w:rPr>
                <w:rFonts w:ascii="Consolas" w:hAnsi="Consolas" w:eastAsia="Consolas"/>
                <w:color w:val="8A2C1F"/>
                <w:sz w:val="15"/>
              </w:rPr>
              <w:t>TotalCharges</w:t>
            </w:r>
          </w:p>
        </w:tc>
        <w:tc>
          <w:tcPr>
            <w:tcW w:type="dxa" w:w="3917"/>
          </w:tcPr>
          <w:p>
            <w:pPr>
              <w:spacing w:after="20" w:before="20" w:line="254" w:lineRule="auto"/>
              <w:jc w:val="left"/>
            </w:pPr>
            <w:r>
              <w:rPr>
                <w:sz w:val="16"/>
              </w:rPr>
              <w:t>Plan right-sizing review and personalised tariff</w:t>
            </w:r>
          </w:p>
        </w:tc>
      </w:tr>
      <w:tr>
        <w:tc>
          <w:tcPr>
            <w:tcW w:type="dxa" w:w="2016"/>
            <w:shd w:val="clear" w:color="auto" w:fill="F2F5F9"/>
          </w:tcPr>
          <w:p>
            <w:pPr>
              <w:spacing w:after="20" w:before="20" w:line="254" w:lineRule="auto"/>
              <w:jc w:val="left"/>
            </w:pPr>
            <w:r>
              <w:rPr>
                <w:sz w:val="16"/>
              </w:rPr>
              <w:t>(shared) Contract</w:t>
            </w:r>
          </w:p>
        </w:tc>
        <w:tc>
          <w:tcPr>
            <w:tcW w:type="dxa" w:w="3384"/>
            <w:shd w:val="clear" w:color="auto" w:fill="F2F5F9"/>
          </w:tcPr>
          <w:p>
            <w:pPr>
              <w:spacing w:after="20" w:before="20" w:line="254" w:lineRule="auto"/>
              <w:jc w:val="center"/>
            </w:pPr>
            <w:r>
              <w:rPr>
                <w:rFonts w:ascii="Consolas" w:hAnsi="Consolas" w:eastAsia="Consolas"/>
                <w:color w:val="8A2C1F"/>
                <w:sz w:val="15"/>
              </w:rPr>
              <w:t>Contract</w:t>
            </w:r>
          </w:p>
        </w:tc>
        <w:tc>
          <w:tcPr>
            <w:tcW w:type="dxa" w:w="3917"/>
            <w:shd w:val="clear" w:color="auto" w:fill="F2F5F9"/>
          </w:tcPr>
          <w:p>
            <w:pPr>
              <w:spacing w:after="20" w:before="20" w:line="254" w:lineRule="auto"/>
              <w:jc w:val="left"/>
            </w:pPr>
            <w:r>
              <w:rPr>
                <w:sz w:val="16"/>
              </w:rPr>
              <w:t>Discounted 12- or 24-month contract — the base offer for every month-to-month customer</w:t>
            </w:r>
          </w:p>
        </w:tc>
      </w:tr>
    </w:tbl>
    <w:p>
      <w:pPr>
        <w:spacing w:before="60" w:after="200"/>
        <w:jc w:val="center"/>
      </w:pPr>
      <w:r>
        <w:rPr>
          <w:i/>
          <w:color w:val="555F6B"/>
          <w:sz w:val="17"/>
        </w:rPr>
        <w:t>Table 40: Lever groups defined in churn_features.LEVER_GROUPS and their actions.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feature_shap = aggregate_shap_by_feature(</w:t>
            </w:r>
          </w:p>
          <w:p>
            <w:pPr>
              <w:spacing w:after="0" w:before="0" w:line="240" w:lineRule="auto"/>
            </w:pPr>
            <w:r>
              <w:rPr>
                <w:rFonts w:ascii="Consolas" w:hAnsi="Consolas" w:eastAsia="Consolas"/>
                <w:color w:val="1A232E"/>
                <w:sz w:val="16"/>
              </w:rPr>
              <w:t xml:space="preserve">    all_shap_values, feature_names, X.columns.tolist())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driver_df = assign_shap_drivers(feature_shap)     # PrimaryLever, SecondaryLever</w:t>
            </w:r>
          </w:p>
          <w:p>
            <w:pPr>
              <w:spacing w:after="0" w:before="0" w:line="240" w:lineRule="auto"/>
            </w:pPr>
            <w:r>
              <w:rPr>
                <w:rFonts w:ascii="Consolas" w:hAnsi="Consolas" w:eastAsia="Consolas"/>
                <w:color w:val="1A232E"/>
                <w:sz w:val="16"/>
              </w:rPr>
              <w:t>driver_df.to_csv("data/phase8_customer_risk_drivers.csv", index=False)</w:t>
            </w:r>
          </w:p>
        </w:tc>
      </w:tr>
    </w:tbl>
    <w:p>
      <w:pPr>
        <w:spacing w:before="60" w:after="180"/>
        <w:jc w:val="center"/>
      </w:pPr>
      <w:r>
        <w:rPr>
          <w:i/>
          <w:color w:val="555F6B"/>
          <w:sz w:val="17"/>
        </w:rPr>
        <w:t>Listing 22: The per-customer driver export in phase 8.</w:t>
      </w:r>
    </w:p>
    <w:p>
      <w:pPr>
        <w:spacing w:after="120" w:before="0"/>
        <w:jc w:val="both"/>
      </w:pPr>
      <w:r>
        <w:rPr>
          <w:b w:val="0"/>
          <w:i w:val="0"/>
          <w:sz w:val="21"/>
        </w:rPr>
        <w:t>Tenure, the segment cluster and demographics are deliberately not levers. An offer cannot change how long someone has been a customer or who they are; those attributes tell the business when and to whom to reach out, not what to offer. Among the 724 High Risk customers the primary lever splits as Billing and payment 333, Service quality 273, Price and plan fit 112, Protection and support 4, and Engagement and bundling 2. Every one of them has a lever with a positive contribution.</w:t>
      </w:r>
    </w:p>
    <w:p>
      <w:r>
        <w:br w:type="page"/>
      </w:r>
    </w:p>
    <w:p>
      <w:pPr>
        <w:spacing w:after="0"/>
      </w:pPr>
    </w:p>
    <w:p>
      <w:pPr>
        <w:keepNext/>
        <w:spacing w:before="80" w:after="40"/>
        <w:pBdr>
          <w:bottom w:val="single" w:sz="10" w:space="3" w:color="1B355E"/>
        </w:pBdr>
      </w:pPr>
      <w:r>
        <w:rPr>
          <w:b/>
          <w:color w:val="1B355E"/>
          <w:sz w:val="30"/>
        </w:rPr>
        <w:t>19.  Phase 9 — Business Recommendations and Revenue Impact</w:t>
      </w:r>
    </w:p>
    <w:p>
      <w:pPr>
        <w:spacing w:after="40"/>
      </w:pPr>
    </w:p>
    <w:p>
      <w:pPr>
        <w:keepNext/>
        <w:spacing w:before="240" w:after="80"/>
      </w:pPr>
      <w:r>
        <w:rPr>
          <w:b/>
          <w:color w:val="1B355E"/>
          <w:sz w:val="25"/>
        </w:rPr>
        <w:t>19.1  Purpose</w:t>
      </w:r>
    </w:p>
    <w:p>
      <w:pPr>
        <w:spacing w:after="120" w:before="0"/>
        <w:jc w:val="both"/>
      </w:pPr>
      <w:r>
        <w:rPr>
          <w:b w:val="0"/>
          <w:i w:val="0"/>
          <w:sz w:val="21"/>
        </w:rPr>
        <w:t xml:space="preserve">Phase 9 converts calibrated probabilities into money. It computes each customer's value and revenue at risk, selects a targeting population, assigns a retention action driven by the customer's dominant risk factor, and models the economics of the resulting campaign. </w:t>
      </w:r>
      <w:r>
        <w:rPr>
          <w:b/>
          <w:i w:val="0"/>
          <w:sz w:val="21"/>
        </w:rPr>
        <w:t>Modified during remediation</w:t>
      </w:r>
      <w:r>
        <w:rPr>
          <w:b w:val="0"/>
          <w:i w:val="0"/>
          <w:sz w:val="21"/>
        </w:rPr>
        <w:t xml:space="preserve"> to read recall from phase 7 rather than a hard-coded constant, and in the second round to take each customer's driver from the phase 8 SHAP levers instead of a fixed rule cascade.</w:t>
      </w:r>
    </w:p>
    <w:p>
      <w:pPr>
        <w:keepNext/>
        <w:spacing w:before="240" w:after="80"/>
      </w:pPr>
      <w:r>
        <w:rPr>
          <w:b/>
          <w:color w:val="1B355E"/>
          <w:sz w:val="25"/>
        </w:rPr>
        <w:t>19.2  From probability to priority</w:t>
      </w:r>
    </w:p>
    <w:p>
      <w:pPr>
        <w:spacing w:after="120" w:before="0"/>
        <w:jc w:val="both"/>
      </w:pPr>
      <w:r>
        <w:rPr>
          <w:b w:val="0"/>
          <w:i w:val="0"/>
          <w:sz w:val="21"/>
        </w:rPr>
        <w:t>A churn probability is not by itself a decision. The correct target for retention spend is not the customer most likely to leave, but the one whose departure would cost the most.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7"/>
              </w:rPr>
              <w:t>Customer Value      =  MonthlyCharges  x  Expected Remaining Tenure</w:t>
            </w:r>
          </w:p>
          <w:p>
            <w:pPr>
              <w:spacing w:after="0" w:before="0" w:line="240" w:lineRule="auto"/>
            </w:pPr>
            <w:r>
              <w:rPr>
                <w:rFonts w:ascii="Consolas" w:hAnsi="Consolas" w:eastAsia="Consolas"/>
                <w:color w:val="1A232E"/>
                <w:sz w:val="17"/>
              </w:rPr>
              <w:t>Revenue at Risk     =  P(churn)        x  Customer Value</w:t>
            </w:r>
          </w:p>
          <w:p>
            <w:pPr>
              <w:spacing w:after="0" w:before="0" w:line="240" w:lineRule="auto"/>
            </w:pPr>
            <w:r>
              <w:rPr>
                <w:rFonts w:ascii="Consolas" w:hAnsi="Consolas" w:eastAsia="Consolas"/>
                <w:color w:val="1A232E"/>
                <w:sz w:val="17"/>
              </w:rPr>
              <w:t>Target for Retention=  P(churn) &gt; 0.65</w:t>
            </w:r>
          </w:p>
          <w:p>
            <w:pPr>
              <w:spacing w:after="0" w:before="0" w:line="240" w:lineRule="auto"/>
            </w:pPr>
            <w:r>
              <w:rPr>
                <w:rFonts w:ascii="Consolas" w:hAnsi="Consolas" w:eastAsia="Consolas"/>
                <w:color w:val="1A232E"/>
                <w:sz w:val="17"/>
              </w:rPr>
              <w:t>Expected Saved Rev. =  Revenue at Risk x  Campaign Success Rate</w:t>
            </w:r>
          </w:p>
          <w:p>
            <w:pPr>
              <w:spacing w:after="0" w:before="0" w:line="240" w:lineRule="auto"/>
            </w:pPr>
            <w:r>
              <w:rPr>
                <w:rFonts w:ascii="Consolas" w:hAnsi="Consolas" w:eastAsia="Consolas"/>
                <w:color w:val="1A232E"/>
                <w:sz w:val="17"/>
              </w:rPr>
              <w:t>Campaign Cost       =  Targeted        x  Cost per Retention Offer</w:t>
            </w:r>
          </w:p>
          <w:p>
            <w:pPr>
              <w:spacing w:after="0" w:before="0" w:line="240" w:lineRule="auto"/>
            </w:pPr>
            <w:r>
              <w:rPr>
                <w:rFonts w:ascii="Consolas" w:hAnsi="Consolas" w:eastAsia="Consolas"/>
                <w:color w:val="1A232E"/>
                <w:sz w:val="17"/>
              </w:rPr>
              <w:t>Net Benefit         =  Expected Saved Revenue  -  Campaign Cost</w:t>
            </w:r>
          </w:p>
          <w:p>
            <w:pPr>
              <w:spacing w:after="0" w:before="0" w:line="240" w:lineRule="auto"/>
            </w:pPr>
            <w:r>
              <w:rPr>
                <w:rFonts w:ascii="Consolas" w:hAnsi="Consolas" w:eastAsia="Consolas"/>
                <w:color w:val="1A232E"/>
                <w:sz w:val="17"/>
              </w:rPr>
              <w:t>Retention ROI (%)   =  (Net Benefit / Campaign Cost) x 100</w:t>
            </w:r>
          </w:p>
        </w:tc>
      </w:tr>
    </w:tbl>
    <w:p>
      <w:pPr>
        <w:spacing w:before="60" w:after="180"/>
        <w:jc w:val="center"/>
      </w:pPr>
      <w:r>
        <w:rPr>
          <w:i/>
          <w:color w:val="555F6B"/>
          <w:sz w:val="17"/>
        </w:rPr>
        <w:t>Listing 21: The financial model implemented in phase 9.</w:t>
      </w:r>
    </w:p>
    <w:p>
      <w:pPr>
        <w:keepNext/>
        <w:spacing w:before="240" w:after="80"/>
      </w:pPr>
      <w:r>
        <w:rPr>
          <w:b/>
          <w:color w:val="1B355E"/>
          <w:sz w:val="25"/>
        </w:rPr>
        <w:t>19.3  Financial impact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951"/>
        <w:gridCol w:w="2232"/>
        <w:gridCol w:w="4132"/>
      </w:tblGrid>
      <w:tr>
        <w:tc>
          <w:tcPr>
            <w:tcW w:type="dxa" w:w="2952"/>
            <w:shd w:val="clear" w:color="auto" w:fill="1B355E"/>
          </w:tcPr>
          <w:p>
            <w:pPr>
              <w:spacing w:after="20" w:before="20"/>
              <w:jc w:val="center"/>
            </w:pPr>
            <w:r>
              <w:rPr>
                <w:b/>
                <w:color w:val="FFFFFF"/>
                <w:sz w:val="16"/>
              </w:rPr>
              <w:t>Quantity</w:t>
            </w:r>
          </w:p>
        </w:tc>
        <w:tc>
          <w:tcPr>
            <w:tcW w:type="dxa" w:w="2232"/>
            <w:shd w:val="clear" w:color="auto" w:fill="1B355E"/>
          </w:tcPr>
          <w:p>
            <w:pPr>
              <w:spacing w:after="20" w:before="20"/>
              <w:jc w:val="center"/>
            </w:pPr>
            <w:r>
              <w:rPr>
                <w:b/>
                <w:color w:val="FFFFFF"/>
                <w:sz w:val="16"/>
              </w:rPr>
              <w:t>Value</w:t>
            </w:r>
          </w:p>
        </w:tc>
        <w:tc>
          <w:tcPr>
            <w:tcW w:type="dxa" w:w="4133"/>
            <w:shd w:val="clear" w:color="auto" w:fill="1B355E"/>
          </w:tcPr>
          <w:p>
            <w:pPr>
              <w:spacing w:after="20" w:before="20"/>
              <w:jc w:val="center"/>
            </w:pPr>
            <w:r>
              <w:rPr>
                <w:b/>
                <w:color w:val="FFFFFF"/>
                <w:sz w:val="16"/>
              </w:rPr>
              <w:t>Source</w:t>
            </w:r>
          </w:p>
        </w:tc>
      </w:tr>
      <w:tr>
        <w:tc>
          <w:tcPr>
            <w:tcW w:type="dxa" w:w="2952"/>
          </w:tcPr>
          <w:p>
            <w:pPr>
              <w:spacing w:after="20" w:before="20" w:line="254" w:lineRule="auto"/>
              <w:jc w:val="left"/>
            </w:pPr>
            <w:r>
              <w:rPr>
                <w:sz w:val="16"/>
              </w:rPr>
              <w:t>Customers in base</w:t>
            </w:r>
          </w:p>
        </w:tc>
        <w:tc>
          <w:tcPr>
            <w:tcW w:type="dxa" w:w="2232"/>
          </w:tcPr>
          <w:p>
            <w:pPr>
              <w:spacing w:after="20" w:before="20" w:line="254" w:lineRule="auto"/>
              <w:jc w:val="center"/>
            </w:pPr>
            <w:r>
              <w:rPr>
                <w:sz w:val="16"/>
              </w:rPr>
              <w:t>7 043</w:t>
            </w:r>
          </w:p>
        </w:tc>
        <w:tc>
          <w:tcPr>
            <w:tcW w:type="dxa" w:w="4133"/>
          </w:tcPr>
          <w:p>
            <w:pPr>
              <w:spacing w:after="20" w:before="20" w:line="254" w:lineRule="auto"/>
              <w:jc w:val="center"/>
            </w:pPr>
            <w:r>
              <w:rPr>
                <w:sz w:val="16"/>
              </w:rPr>
              <w:t>measured</w:t>
            </w:r>
          </w:p>
        </w:tc>
      </w:tr>
      <w:tr>
        <w:tc>
          <w:tcPr>
            <w:tcW w:type="dxa" w:w="2952"/>
            <w:shd w:val="clear" w:color="auto" w:fill="F2F5F9"/>
          </w:tcPr>
          <w:p>
            <w:pPr>
              <w:spacing w:after="20" w:before="20" w:line="254" w:lineRule="auto"/>
              <w:jc w:val="left"/>
            </w:pPr>
            <w:r>
              <w:rPr>
                <w:sz w:val="16"/>
              </w:rPr>
              <w:t>Baseline churn rate</w:t>
            </w:r>
          </w:p>
        </w:tc>
        <w:tc>
          <w:tcPr>
            <w:tcW w:type="dxa" w:w="2232"/>
            <w:shd w:val="clear" w:color="auto" w:fill="F2F5F9"/>
          </w:tcPr>
          <w:p>
            <w:pPr>
              <w:spacing w:after="20" w:before="20" w:line="254" w:lineRule="auto"/>
              <w:jc w:val="center"/>
            </w:pPr>
            <w:r>
              <w:rPr>
                <w:sz w:val="16"/>
              </w:rPr>
              <w:t>26.54 %</w:t>
            </w:r>
          </w:p>
        </w:tc>
        <w:tc>
          <w:tcPr>
            <w:tcW w:type="dxa" w:w="4133"/>
            <w:shd w:val="clear" w:color="auto" w:fill="F2F5F9"/>
          </w:tcPr>
          <w:p>
            <w:pPr>
              <w:spacing w:after="20" w:before="20" w:line="254" w:lineRule="auto"/>
              <w:jc w:val="center"/>
            </w:pPr>
            <w:r>
              <w:rPr>
                <w:b/>
                <w:sz w:val="16"/>
              </w:rPr>
              <w:t>measured from the cleaned data</w:t>
            </w:r>
          </w:p>
        </w:tc>
      </w:tr>
      <w:tr>
        <w:tc>
          <w:tcPr>
            <w:tcW w:type="dxa" w:w="2952"/>
          </w:tcPr>
          <w:p>
            <w:pPr>
              <w:spacing w:after="20" w:before="20" w:line="254" w:lineRule="auto"/>
              <w:jc w:val="left"/>
            </w:pPr>
            <w:r>
              <w:rPr>
                <w:sz w:val="16"/>
              </w:rPr>
              <w:t>Model recall</w:t>
            </w:r>
          </w:p>
        </w:tc>
        <w:tc>
          <w:tcPr>
            <w:tcW w:type="dxa" w:w="2232"/>
          </w:tcPr>
          <w:p>
            <w:pPr>
              <w:spacing w:after="20" w:before="20" w:line="254" w:lineRule="auto"/>
              <w:jc w:val="center"/>
            </w:pPr>
            <w:r>
              <w:rPr>
                <w:sz w:val="16"/>
              </w:rPr>
              <w:t>0.8262</w:t>
            </w:r>
          </w:p>
        </w:tc>
        <w:tc>
          <w:tcPr>
            <w:tcW w:type="dxa" w:w="4133"/>
          </w:tcPr>
          <w:p>
            <w:pPr>
              <w:spacing w:after="20" w:before="20" w:line="254" w:lineRule="auto"/>
              <w:jc w:val="center"/>
            </w:pPr>
            <w:r>
              <w:rPr>
                <w:b/>
                <w:sz w:val="16"/>
              </w:rPr>
              <w:t>read from phase 7 results</w:t>
            </w:r>
          </w:p>
        </w:tc>
      </w:tr>
      <w:tr>
        <w:tc>
          <w:tcPr>
            <w:tcW w:type="dxa" w:w="2952"/>
            <w:shd w:val="clear" w:color="auto" w:fill="F2F5F9"/>
          </w:tcPr>
          <w:p>
            <w:pPr>
              <w:spacing w:after="20" w:before="20" w:line="254" w:lineRule="auto"/>
              <w:jc w:val="left"/>
            </w:pPr>
            <w:r>
              <w:rPr>
                <w:sz w:val="16"/>
              </w:rPr>
              <w:t>High-risk customers targeted</w:t>
            </w:r>
          </w:p>
        </w:tc>
        <w:tc>
          <w:tcPr>
            <w:tcW w:type="dxa" w:w="2232"/>
            <w:shd w:val="clear" w:color="auto" w:fill="F2F5F9"/>
          </w:tcPr>
          <w:p>
            <w:pPr>
              <w:spacing w:after="20" w:before="20" w:line="254" w:lineRule="auto"/>
              <w:jc w:val="center"/>
            </w:pPr>
            <w:r>
              <w:rPr>
                <w:sz w:val="16"/>
              </w:rPr>
              <w:t>724</w:t>
            </w:r>
          </w:p>
        </w:tc>
        <w:tc>
          <w:tcPr>
            <w:tcW w:type="dxa" w:w="4133"/>
            <w:shd w:val="clear" w:color="auto" w:fill="F2F5F9"/>
          </w:tcPr>
          <w:p>
            <w:pPr>
              <w:spacing w:after="20" w:before="20" w:line="254" w:lineRule="auto"/>
              <w:jc w:val="center"/>
            </w:pPr>
            <w:r>
              <w:rPr>
                <w:sz w:val="16"/>
              </w:rPr>
              <w:t>p(churn) &gt; 0.65</w:t>
            </w:r>
          </w:p>
        </w:tc>
      </w:tr>
      <w:tr>
        <w:tc>
          <w:tcPr>
            <w:tcW w:type="dxa" w:w="2952"/>
          </w:tcPr>
          <w:p>
            <w:pPr>
              <w:spacing w:after="20" w:before="20" w:line="254" w:lineRule="auto"/>
              <w:jc w:val="left"/>
            </w:pPr>
            <w:r>
              <w:rPr>
                <w:sz w:val="16"/>
              </w:rPr>
              <w:t>Average customer value</w:t>
            </w:r>
          </w:p>
        </w:tc>
        <w:tc>
          <w:tcPr>
            <w:tcW w:type="dxa" w:w="2232"/>
          </w:tcPr>
          <w:p>
            <w:pPr>
              <w:spacing w:after="20" w:before="20" w:line="254" w:lineRule="auto"/>
              <w:jc w:val="center"/>
            </w:pPr>
            <w:r>
              <w:rPr>
                <w:sz w:val="16"/>
              </w:rPr>
              <w:t>$777.14</w:t>
            </w:r>
          </w:p>
        </w:tc>
        <w:tc>
          <w:tcPr>
            <w:tcW w:type="dxa" w:w="4133"/>
          </w:tcPr>
          <w:p>
            <w:pPr>
              <w:spacing w:after="20" w:before="20" w:line="254" w:lineRule="auto"/>
              <w:jc w:val="center"/>
            </w:pPr>
            <w:r>
              <w:rPr>
                <w:sz w:val="16"/>
              </w:rPr>
              <w:t>derived</w:t>
            </w:r>
          </w:p>
        </w:tc>
      </w:tr>
      <w:tr>
        <w:tc>
          <w:tcPr>
            <w:tcW w:type="dxa" w:w="2952"/>
            <w:shd w:val="clear" w:color="auto" w:fill="F2F5F9"/>
          </w:tcPr>
          <w:p>
            <w:pPr>
              <w:spacing w:after="20" w:before="20" w:line="254" w:lineRule="auto"/>
              <w:jc w:val="left"/>
            </w:pPr>
            <w:r>
              <w:rPr>
                <w:sz w:val="16"/>
              </w:rPr>
              <w:t>Total revenue at risk</w:t>
            </w:r>
          </w:p>
        </w:tc>
        <w:tc>
          <w:tcPr>
            <w:tcW w:type="dxa" w:w="2232"/>
            <w:shd w:val="clear" w:color="auto" w:fill="F2F5F9"/>
          </w:tcPr>
          <w:p>
            <w:pPr>
              <w:spacing w:after="20" w:before="20" w:line="254" w:lineRule="auto"/>
              <w:jc w:val="center"/>
            </w:pPr>
            <w:r>
              <w:rPr>
                <w:b/>
                <w:sz w:val="16"/>
              </w:rPr>
              <w:t>$491 820.10</w:t>
            </w:r>
          </w:p>
        </w:tc>
        <w:tc>
          <w:tcPr>
            <w:tcW w:type="dxa" w:w="4133"/>
            <w:shd w:val="clear" w:color="auto" w:fill="F2F5F9"/>
          </w:tcPr>
          <w:p>
            <w:pPr>
              <w:spacing w:after="20" w:before="20" w:line="254" w:lineRule="auto"/>
              <w:jc w:val="center"/>
            </w:pPr>
            <w:r>
              <w:rPr>
                <w:sz w:val="16"/>
              </w:rPr>
              <w:t>derived</w:t>
            </w:r>
          </w:p>
        </w:tc>
      </w:tr>
      <w:tr>
        <w:tc>
          <w:tcPr>
            <w:tcW w:type="dxa" w:w="2952"/>
          </w:tcPr>
          <w:p>
            <w:pPr>
              <w:spacing w:after="20" w:before="20" w:line="254" w:lineRule="auto"/>
              <w:jc w:val="left"/>
            </w:pPr>
            <w:r>
              <w:rPr>
                <w:sz w:val="16"/>
              </w:rPr>
              <w:t>Expected saved revenue</w:t>
            </w:r>
          </w:p>
        </w:tc>
        <w:tc>
          <w:tcPr>
            <w:tcW w:type="dxa" w:w="2232"/>
          </w:tcPr>
          <w:p>
            <w:pPr>
              <w:spacing w:after="20" w:before="20" w:line="254" w:lineRule="auto"/>
              <w:jc w:val="center"/>
            </w:pPr>
            <w:r>
              <w:rPr>
                <w:sz w:val="16"/>
              </w:rPr>
              <w:t>$147 546.03</w:t>
            </w:r>
          </w:p>
        </w:tc>
        <w:tc>
          <w:tcPr>
            <w:tcW w:type="dxa" w:w="4133"/>
          </w:tcPr>
          <w:p>
            <w:pPr>
              <w:spacing w:after="20" w:before="20" w:line="254" w:lineRule="auto"/>
              <w:jc w:val="left"/>
            </w:pPr>
            <w:r>
              <w:rPr>
                <w:sz w:val="16"/>
              </w:rPr>
              <w:t>at 30 % campaign success</w:t>
            </w:r>
          </w:p>
        </w:tc>
      </w:tr>
      <w:tr>
        <w:tc>
          <w:tcPr>
            <w:tcW w:type="dxa" w:w="2952"/>
            <w:shd w:val="clear" w:color="auto" w:fill="F2F5F9"/>
          </w:tcPr>
          <w:p>
            <w:pPr>
              <w:spacing w:after="20" w:before="20" w:line="254" w:lineRule="auto"/>
              <w:jc w:val="left"/>
            </w:pPr>
            <w:r>
              <w:rPr>
                <w:sz w:val="16"/>
              </w:rPr>
              <w:t>Campaign cost</w:t>
            </w:r>
          </w:p>
        </w:tc>
        <w:tc>
          <w:tcPr>
            <w:tcW w:type="dxa" w:w="2232"/>
            <w:shd w:val="clear" w:color="auto" w:fill="F2F5F9"/>
          </w:tcPr>
          <w:p>
            <w:pPr>
              <w:spacing w:after="20" w:before="20" w:line="254" w:lineRule="auto"/>
              <w:jc w:val="center"/>
            </w:pPr>
            <w:r>
              <w:rPr>
                <w:sz w:val="16"/>
              </w:rPr>
              <w:t>$10 860.00</w:t>
            </w:r>
          </w:p>
        </w:tc>
        <w:tc>
          <w:tcPr>
            <w:tcW w:type="dxa" w:w="4133"/>
            <w:shd w:val="clear" w:color="auto" w:fill="F2F5F9"/>
          </w:tcPr>
          <w:p>
            <w:pPr>
              <w:spacing w:after="20" w:before="20" w:line="254" w:lineRule="auto"/>
              <w:jc w:val="center"/>
            </w:pPr>
            <w:r>
              <w:rPr>
                <w:sz w:val="16"/>
              </w:rPr>
              <w:t>724 offers at $15.00</w:t>
            </w:r>
          </w:p>
        </w:tc>
      </w:tr>
      <w:tr>
        <w:tc>
          <w:tcPr>
            <w:tcW w:type="dxa" w:w="2952"/>
          </w:tcPr>
          <w:p>
            <w:pPr>
              <w:spacing w:after="20" w:before="20" w:line="254" w:lineRule="auto"/>
              <w:jc w:val="left"/>
            </w:pPr>
            <w:r>
              <w:rPr>
                <w:b/>
                <w:sz w:val="16"/>
              </w:rPr>
              <w:t>Net benefit</w:t>
            </w:r>
          </w:p>
        </w:tc>
        <w:tc>
          <w:tcPr>
            <w:tcW w:type="dxa" w:w="2232"/>
          </w:tcPr>
          <w:p>
            <w:pPr>
              <w:spacing w:after="20" w:before="20" w:line="254" w:lineRule="auto"/>
              <w:jc w:val="center"/>
            </w:pPr>
            <w:r>
              <w:rPr>
                <w:b/>
                <w:sz w:val="16"/>
              </w:rPr>
              <w:t>$136 686.03</w:t>
            </w:r>
          </w:p>
        </w:tc>
        <w:tc>
          <w:tcPr>
            <w:tcW w:type="dxa" w:w="4133"/>
          </w:tcPr>
          <w:p>
            <w:pPr>
              <w:spacing w:after="20" w:before="20" w:line="254" w:lineRule="auto"/>
              <w:jc w:val="center"/>
            </w:pPr>
            <w:r>
              <w:rPr>
                <w:sz w:val="16"/>
              </w:rPr>
              <w:t>derived</w:t>
            </w:r>
          </w:p>
        </w:tc>
      </w:tr>
      <w:tr>
        <w:tc>
          <w:tcPr>
            <w:tcW w:type="dxa" w:w="2952"/>
            <w:shd w:val="clear" w:color="auto" w:fill="F2F5F9"/>
          </w:tcPr>
          <w:p>
            <w:pPr>
              <w:spacing w:after="20" w:before="20" w:line="254" w:lineRule="auto"/>
              <w:jc w:val="left"/>
            </w:pPr>
            <w:r>
              <w:rPr>
                <w:b/>
                <w:sz w:val="16"/>
              </w:rPr>
              <w:t>Retention ROI</w:t>
            </w:r>
          </w:p>
        </w:tc>
        <w:tc>
          <w:tcPr>
            <w:tcW w:type="dxa" w:w="2232"/>
            <w:shd w:val="clear" w:color="auto" w:fill="F2F5F9"/>
          </w:tcPr>
          <w:p>
            <w:pPr>
              <w:spacing w:after="20" w:before="20" w:line="254" w:lineRule="auto"/>
              <w:jc w:val="center"/>
            </w:pPr>
            <w:r>
              <w:rPr>
                <w:b/>
                <w:sz w:val="16"/>
              </w:rPr>
              <w:t>1 258.62 %</w:t>
            </w:r>
          </w:p>
        </w:tc>
        <w:tc>
          <w:tcPr>
            <w:tcW w:type="dxa" w:w="4133"/>
            <w:shd w:val="clear" w:color="auto" w:fill="F2F5F9"/>
          </w:tcPr>
          <w:p>
            <w:pPr>
              <w:spacing w:after="20" w:before="20" w:line="254" w:lineRule="auto"/>
              <w:jc w:val="center"/>
            </w:pPr>
            <w:r>
              <w:rPr>
                <w:sz w:val="16"/>
              </w:rPr>
              <w:t>derived</w:t>
            </w:r>
          </w:p>
        </w:tc>
      </w:tr>
      <w:tr>
        <w:tc>
          <w:tcPr>
            <w:tcW w:type="dxa" w:w="2952"/>
          </w:tcPr>
          <w:p>
            <w:pPr>
              <w:spacing w:after="20" w:before="20" w:line="254" w:lineRule="auto"/>
              <w:jc w:val="left"/>
            </w:pPr>
            <w:r>
              <w:rPr>
                <w:sz w:val="16"/>
              </w:rPr>
              <w:t>Expected retained customers</w:t>
            </w:r>
          </w:p>
        </w:tc>
        <w:tc>
          <w:tcPr>
            <w:tcW w:type="dxa" w:w="2232"/>
          </w:tcPr>
          <w:p>
            <w:pPr>
              <w:spacing w:after="20" w:before="20" w:line="254" w:lineRule="auto"/>
              <w:jc w:val="center"/>
            </w:pPr>
            <w:r>
              <w:rPr>
                <w:sz w:val="16"/>
              </w:rPr>
              <w:t>463</w:t>
            </w:r>
          </w:p>
        </w:tc>
        <w:tc>
          <w:tcPr>
            <w:tcW w:type="dxa" w:w="4133"/>
          </w:tcPr>
          <w:p>
            <w:pPr>
              <w:spacing w:after="20" w:before="20" w:line="254" w:lineRule="auto"/>
              <w:jc w:val="center"/>
            </w:pPr>
            <w:r>
              <w:rPr>
                <w:sz w:val="16"/>
              </w:rPr>
              <w:t>derived</w:t>
            </w:r>
          </w:p>
        </w:tc>
      </w:tr>
      <w:tr>
        <w:tc>
          <w:tcPr>
            <w:tcW w:type="dxa" w:w="2952"/>
            <w:shd w:val="clear" w:color="auto" w:fill="F2F5F9"/>
          </w:tcPr>
          <w:p>
            <w:pPr>
              <w:spacing w:after="20" w:before="20" w:line="254" w:lineRule="auto"/>
              <w:jc w:val="left"/>
            </w:pPr>
            <w:r>
              <w:rPr>
                <w:sz w:val="16"/>
              </w:rPr>
              <w:t>Projected churn rate after campaign</w:t>
            </w:r>
          </w:p>
        </w:tc>
        <w:tc>
          <w:tcPr>
            <w:tcW w:type="dxa" w:w="2232"/>
            <w:shd w:val="clear" w:color="auto" w:fill="F2F5F9"/>
          </w:tcPr>
          <w:p>
            <w:pPr>
              <w:spacing w:after="20" w:before="20" w:line="254" w:lineRule="auto"/>
              <w:jc w:val="center"/>
            </w:pPr>
            <w:r>
              <w:rPr>
                <w:sz w:val="16"/>
              </w:rPr>
              <w:t>19.96 %</w:t>
            </w:r>
          </w:p>
        </w:tc>
        <w:tc>
          <w:tcPr>
            <w:tcW w:type="dxa" w:w="4133"/>
            <w:shd w:val="clear" w:color="auto" w:fill="F2F5F9"/>
          </w:tcPr>
          <w:p>
            <w:pPr>
              <w:spacing w:after="20" w:before="20" w:line="254" w:lineRule="auto"/>
              <w:jc w:val="center"/>
            </w:pPr>
            <w:r>
              <w:rPr>
                <w:sz w:val="16"/>
              </w:rPr>
              <w:t>from 26.54 % baseline</w:t>
            </w:r>
          </w:p>
        </w:tc>
      </w:tr>
    </w:tbl>
    <w:p>
      <w:pPr>
        <w:spacing w:before="60" w:after="200"/>
        <w:jc w:val="center"/>
      </w:pPr>
      <w:r>
        <w:rPr>
          <w:i/>
          <w:color w:val="555F6B"/>
          <w:sz w:val="17"/>
        </w:rPr>
        <w:t>Table 41: Financial impact summary produced by phase 9 after both remediation rounds.</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FFF6E5"/>
          </w:tcPr>
          <w:p>
            <w:pPr>
              <w:spacing w:after="40"/>
            </w:pPr>
            <w:r>
              <w:rPr>
                <w:b/>
                <w:color w:val="8A5A10"/>
                <w:sz w:val="19"/>
              </w:rPr>
              <w:t>Three inputs to this model are assumptions, not measurements.</w:t>
            </w:r>
          </w:p>
          <w:p>
            <w:pPr>
              <w:spacing w:after="0"/>
              <w:jc w:val="both"/>
            </w:pPr>
            <w:r>
              <w:rPr>
                <w:sz w:val="19"/>
              </w:rPr>
              <w:t>The expected remaining tenure of 12 months, the 30 % campaign success rate and the $15.00 cost per offer are stated constants at the top of phase 9. The project holds no campaign-outcome data, so none of the three can be validated from the data. Customer counts, churn rates, probabilities and recall are all measured. The calculation shows the shape of the business case and the sensitivity of the return to each assumption; it should be re-run against observed campaign results before any budget decision rests on it.</w:t>
            </w:r>
          </w:p>
        </w:tc>
      </w:tr>
    </w:tbl>
    <w:p>
      <w:pPr>
        <w:spacing w:after="120"/>
      </w:pPr>
    </w:p>
    <w:p>
      <w:pPr>
        <w:keepNext/>
        <w:spacing w:before="120" w:after="60"/>
        <w:jc w:val="center"/>
      </w:pPr>
      <w:r>
        <w:drawing>
          <wp:inline xmlns:a="http://schemas.openxmlformats.org/drawingml/2006/main" xmlns:pic="http://schemas.openxmlformats.org/drawingml/2006/picture">
            <wp:extent cx="5074920" cy="3010546"/>
            <wp:docPr id="29" name="Picture 29"/>
            <wp:cNvGraphicFramePr>
              <a:graphicFrameLocks noChangeAspect="1"/>
            </wp:cNvGraphicFramePr>
            <a:graphic>
              <a:graphicData uri="http://schemas.openxmlformats.org/drawingml/2006/picture">
                <pic:pic>
                  <pic:nvPicPr>
                    <pic:cNvPr id="0" name="phase9_retention_financial_impact.png"/>
                    <pic:cNvPicPr/>
                  </pic:nvPicPr>
                  <pic:blipFill>
                    <a:blip r:embed="rId37"/>
                    <a:stretch>
                      <a:fillRect/>
                    </a:stretch>
                  </pic:blipFill>
                  <pic:spPr>
                    <a:xfrm>
                      <a:off x="0" y="0"/>
                      <a:ext cx="5074920" cy="3010546"/>
                    </a:xfrm>
                    <a:prstGeom prst="rect"/>
                  </pic:spPr>
                </pic:pic>
              </a:graphicData>
            </a:graphic>
          </wp:inline>
        </w:drawing>
      </w:r>
    </w:p>
    <w:p>
      <w:pPr>
        <w:spacing w:before="60" w:after="220"/>
        <w:jc w:val="center"/>
      </w:pPr>
      <w:r>
        <w:rPr>
          <w:i/>
          <w:color w:val="555F6B"/>
          <w:sz w:val="17"/>
        </w:rPr>
        <w:t>Figure 29: The financial value chain from revenue at risk through to net benefit.</w:t>
      </w:r>
    </w:p>
    <w:p>
      <w:pPr>
        <w:keepNext/>
        <w:spacing w:before="240" w:after="80"/>
      </w:pPr>
      <w:r>
        <w:rPr>
          <w:b/>
          <w:color w:val="1B355E"/>
          <w:sz w:val="25"/>
        </w:rPr>
        <w:t>19.4  Where the value sits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1699"/>
        <w:gridCol w:w="1800"/>
        <w:gridCol w:w="1728"/>
        <w:gridCol w:w="1756"/>
      </w:tblGrid>
      <w:tr>
        <w:tc>
          <w:tcPr>
            <w:tcW w:type="dxa" w:w="2333"/>
            <w:shd w:val="clear" w:color="auto" w:fill="1B355E"/>
          </w:tcPr>
          <w:p>
            <w:pPr>
              <w:spacing w:after="20" w:before="20"/>
              <w:jc w:val="center"/>
            </w:pPr>
            <w:r>
              <w:rPr>
                <w:b/>
                <w:color w:val="FFFFFF"/>
                <w:sz w:val="16"/>
              </w:rPr>
              <w:t>Segment</w:t>
            </w:r>
          </w:p>
        </w:tc>
        <w:tc>
          <w:tcPr>
            <w:tcW w:type="dxa" w:w="1699"/>
            <w:shd w:val="clear" w:color="auto" w:fill="1B355E"/>
          </w:tcPr>
          <w:p>
            <w:pPr>
              <w:spacing w:after="20" w:before="20"/>
              <w:jc w:val="center"/>
            </w:pPr>
            <w:r>
              <w:rPr>
                <w:b/>
                <w:color w:val="FFFFFF"/>
                <w:sz w:val="16"/>
              </w:rPr>
              <w:t>High-risk customers</w:t>
            </w:r>
          </w:p>
        </w:tc>
        <w:tc>
          <w:tcPr>
            <w:tcW w:type="dxa" w:w="1800"/>
            <w:shd w:val="clear" w:color="auto" w:fill="1B355E"/>
          </w:tcPr>
          <w:p>
            <w:pPr>
              <w:spacing w:after="20" w:before="20"/>
              <w:jc w:val="center"/>
            </w:pPr>
            <w:r>
              <w:rPr>
                <w:b/>
                <w:color w:val="FFFFFF"/>
                <w:sz w:val="16"/>
              </w:rPr>
              <w:t>Revenue at risk</w:t>
            </w:r>
          </w:p>
        </w:tc>
        <w:tc>
          <w:tcPr>
            <w:tcW w:type="dxa" w:w="1728"/>
            <w:shd w:val="clear" w:color="auto" w:fill="1B355E"/>
          </w:tcPr>
          <w:p>
            <w:pPr>
              <w:spacing w:after="20" w:before="20"/>
              <w:jc w:val="center"/>
            </w:pPr>
            <w:r>
              <w:rPr>
                <w:b/>
                <w:color w:val="FFFFFF"/>
                <w:sz w:val="16"/>
              </w:rPr>
              <w:t>Net benefit</w:t>
            </w:r>
          </w:p>
        </w:tc>
        <w:tc>
          <w:tcPr>
            <w:tcW w:type="dxa" w:w="1757"/>
            <w:shd w:val="clear" w:color="auto" w:fill="1B355E"/>
          </w:tcPr>
          <w:p>
            <w:pPr>
              <w:spacing w:after="20" w:before="20"/>
              <w:jc w:val="center"/>
            </w:pPr>
            <w:r>
              <w:rPr>
                <w:b/>
                <w:color w:val="FFFFFF"/>
                <w:sz w:val="16"/>
              </w:rPr>
              <w:t>Share of value</w:t>
            </w:r>
          </w:p>
        </w:tc>
      </w:tr>
      <w:tr>
        <w:tc>
          <w:tcPr>
            <w:tcW w:type="dxa" w:w="2333"/>
          </w:tcPr>
          <w:p>
            <w:pPr>
              <w:spacing w:after="20" w:before="20" w:line="254" w:lineRule="auto"/>
              <w:jc w:val="left"/>
            </w:pPr>
            <w:r>
              <w:rPr>
                <w:b/>
                <w:sz w:val="16"/>
              </w:rPr>
              <w:t>New High-Spend</w:t>
            </w:r>
          </w:p>
        </w:tc>
        <w:tc>
          <w:tcPr>
            <w:tcW w:type="dxa" w:w="1699"/>
          </w:tcPr>
          <w:p>
            <w:pPr>
              <w:spacing w:after="20" w:before="20" w:line="254" w:lineRule="auto"/>
              <w:jc w:val="center"/>
            </w:pPr>
            <w:r>
              <w:rPr>
                <w:b/>
                <w:sz w:val="16"/>
              </w:rPr>
              <w:t>675</w:t>
            </w:r>
          </w:p>
        </w:tc>
        <w:tc>
          <w:tcPr>
            <w:tcW w:type="dxa" w:w="1800"/>
          </w:tcPr>
          <w:p>
            <w:pPr>
              <w:spacing w:after="20" w:before="20" w:line="254" w:lineRule="auto"/>
              <w:jc w:val="center"/>
            </w:pPr>
            <w:r>
              <w:rPr>
                <w:b/>
                <w:sz w:val="16"/>
              </w:rPr>
              <w:t>$476 105.69</w:t>
            </w:r>
          </w:p>
        </w:tc>
        <w:tc>
          <w:tcPr>
            <w:tcW w:type="dxa" w:w="1728"/>
          </w:tcPr>
          <w:p>
            <w:pPr>
              <w:spacing w:after="20" w:before="20" w:line="254" w:lineRule="auto"/>
              <w:jc w:val="center"/>
            </w:pPr>
            <w:r>
              <w:rPr>
                <w:b/>
                <w:sz w:val="16"/>
              </w:rPr>
              <w:t>$132 706.71</w:t>
            </w:r>
          </w:p>
        </w:tc>
        <w:tc>
          <w:tcPr>
            <w:tcW w:type="dxa" w:w="1757"/>
          </w:tcPr>
          <w:p>
            <w:pPr>
              <w:spacing w:after="20" w:before="20" w:line="254" w:lineRule="auto"/>
              <w:jc w:val="center"/>
            </w:pPr>
            <w:r>
              <w:rPr>
                <w:b/>
                <w:sz w:val="16"/>
              </w:rPr>
              <w:t>96.8 %</w:t>
            </w:r>
          </w:p>
        </w:tc>
      </w:tr>
      <w:tr>
        <w:tc>
          <w:tcPr>
            <w:tcW w:type="dxa" w:w="2333"/>
            <w:shd w:val="clear" w:color="auto" w:fill="F2F5F9"/>
          </w:tcPr>
          <w:p>
            <w:pPr>
              <w:spacing w:after="20" w:before="20" w:line="254" w:lineRule="auto"/>
              <w:jc w:val="left"/>
            </w:pPr>
            <w:r>
              <w:rPr>
                <w:sz w:val="16"/>
              </w:rPr>
              <w:t>New Budget</w:t>
            </w:r>
          </w:p>
        </w:tc>
        <w:tc>
          <w:tcPr>
            <w:tcW w:type="dxa" w:w="1699"/>
            <w:shd w:val="clear" w:color="auto" w:fill="F2F5F9"/>
          </w:tcPr>
          <w:p>
            <w:pPr>
              <w:spacing w:after="20" w:before="20" w:line="254" w:lineRule="auto"/>
              <w:jc w:val="center"/>
            </w:pPr>
            <w:r>
              <w:rPr>
                <w:sz w:val="16"/>
              </w:rPr>
              <w:t>48</w:t>
            </w:r>
          </w:p>
        </w:tc>
        <w:tc>
          <w:tcPr>
            <w:tcW w:type="dxa" w:w="1800"/>
            <w:shd w:val="clear" w:color="auto" w:fill="F2F5F9"/>
          </w:tcPr>
          <w:p>
            <w:pPr>
              <w:spacing w:after="20" w:before="20" w:line="254" w:lineRule="auto"/>
              <w:jc w:val="center"/>
            </w:pPr>
            <w:r>
              <w:rPr>
                <w:sz w:val="16"/>
              </w:rPr>
              <w:t>$14 830.91</w:t>
            </w:r>
          </w:p>
        </w:tc>
        <w:tc>
          <w:tcPr>
            <w:tcW w:type="dxa" w:w="1728"/>
            <w:shd w:val="clear" w:color="auto" w:fill="F2F5F9"/>
          </w:tcPr>
          <w:p>
            <w:pPr>
              <w:spacing w:after="20" w:before="20" w:line="254" w:lineRule="auto"/>
              <w:jc w:val="center"/>
            </w:pPr>
            <w:r>
              <w:rPr>
                <w:sz w:val="16"/>
              </w:rPr>
              <w:t>$3 729.27</w:t>
            </w:r>
          </w:p>
        </w:tc>
        <w:tc>
          <w:tcPr>
            <w:tcW w:type="dxa" w:w="1757"/>
            <w:shd w:val="clear" w:color="auto" w:fill="F2F5F9"/>
          </w:tcPr>
          <w:p>
            <w:pPr>
              <w:spacing w:after="20" w:before="20" w:line="254" w:lineRule="auto"/>
              <w:jc w:val="center"/>
            </w:pPr>
            <w:r>
              <w:rPr>
                <w:sz w:val="16"/>
              </w:rPr>
              <w:t>3.0 %</w:t>
            </w:r>
          </w:p>
        </w:tc>
      </w:tr>
      <w:tr>
        <w:tc>
          <w:tcPr>
            <w:tcW w:type="dxa" w:w="2333"/>
          </w:tcPr>
          <w:p>
            <w:pPr>
              <w:spacing w:after="20" w:before="20" w:line="254" w:lineRule="auto"/>
              <w:jc w:val="left"/>
            </w:pPr>
            <w:r>
              <w:rPr>
                <w:sz w:val="16"/>
              </w:rPr>
              <w:t>Established High-Value</w:t>
            </w:r>
          </w:p>
        </w:tc>
        <w:tc>
          <w:tcPr>
            <w:tcW w:type="dxa" w:w="1699"/>
          </w:tcPr>
          <w:p>
            <w:pPr>
              <w:spacing w:after="20" w:before="20" w:line="254" w:lineRule="auto"/>
              <w:jc w:val="center"/>
            </w:pPr>
            <w:r>
              <w:rPr>
                <w:sz w:val="16"/>
              </w:rPr>
              <w:t>1</w:t>
            </w:r>
          </w:p>
        </w:tc>
        <w:tc>
          <w:tcPr>
            <w:tcW w:type="dxa" w:w="1800"/>
          </w:tcPr>
          <w:p>
            <w:pPr>
              <w:spacing w:after="20" w:before="20" w:line="254" w:lineRule="auto"/>
              <w:jc w:val="center"/>
            </w:pPr>
            <w:r>
              <w:rPr>
                <w:sz w:val="16"/>
              </w:rPr>
              <w:t>$883.49</w:t>
            </w:r>
          </w:p>
        </w:tc>
        <w:tc>
          <w:tcPr>
            <w:tcW w:type="dxa" w:w="1728"/>
          </w:tcPr>
          <w:p>
            <w:pPr>
              <w:spacing w:after="20" w:before="20" w:line="254" w:lineRule="auto"/>
              <w:jc w:val="center"/>
            </w:pPr>
            <w:r>
              <w:rPr>
                <w:sz w:val="16"/>
              </w:rPr>
              <w:t>$250.05</w:t>
            </w:r>
          </w:p>
        </w:tc>
        <w:tc>
          <w:tcPr>
            <w:tcW w:type="dxa" w:w="1757"/>
          </w:tcPr>
          <w:p>
            <w:pPr>
              <w:spacing w:after="20" w:before="20" w:line="254" w:lineRule="auto"/>
              <w:jc w:val="center"/>
            </w:pPr>
            <w:r>
              <w:rPr>
                <w:sz w:val="16"/>
              </w:rPr>
              <w:t>0.2 %</w:t>
            </w:r>
          </w:p>
        </w:tc>
      </w:tr>
      <w:tr>
        <w:tc>
          <w:tcPr>
            <w:tcW w:type="dxa" w:w="2333"/>
            <w:shd w:val="clear" w:color="auto" w:fill="F2F5F9"/>
          </w:tcPr>
          <w:p>
            <w:pPr>
              <w:spacing w:after="20" w:before="20" w:line="254" w:lineRule="auto"/>
              <w:jc w:val="left"/>
            </w:pPr>
            <w:r>
              <w:rPr>
                <w:sz w:val="16"/>
              </w:rPr>
              <w:t>Established Budget</w:t>
            </w:r>
          </w:p>
        </w:tc>
        <w:tc>
          <w:tcPr>
            <w:tcW w:type="dxa" w:w="1699"/>
            <w:shd w:val="clear" w:color="auto" w:fill="F2F5F9"/>
          </w:tcPr>
          <w:p>
            <w:pPr>
              <w:spacing w:after="20" w:before="20" w:line="254" w:lineRule="auto"/>
              <w:jc w:val="center"/>
            </w:pPr>
            <w:r>
              <w:rPr>
                <w:sz w:val="16"/>
              </w:rPr>
              <w:t>0</w:t>
            </w:r>
          </w:p>
        </w:tc>
        <w:tc>
          <w:tcPr>
            <w:tcW w:type="dxa" w:w="1800"/>
            <w:shd w:val="clear" w:color="auto" w:fill="F2F5F9"/>
          </w:tcPr>
          <w:p>
            <w:pPr>
              <w:spacing w:after="20" w:before="20" w:line="254" w:lineRule="auto"/>
              <w:jc w:val="center"/>
            </w:pPr>
            <w:r>
              <w:rPr>
                <w:sz w:val="16"/>
              </w:rPr>
              <w:t>—</w:t>
            </w:r>
          </w:p>
        </w:tc>
        <w:tc>
          <w:tcPr>
            <w:tcW w:type="dxa" w:w="1728"/>
            <w:shd w:val="clear" w:color="auto" w:fill="F2F5F9"/>
          </w:tcPr>
          <w:p>
            <w:pPr>
              <w:spacing w:after="20" w:before="20" w:line="254" w:lineRule="auto"/>
              <w:jc w:val="center"/>
            </w:pPr>
            <w:r>
              <w:rPr>
                <w:sz w:val="16"/>
              </w:rPr>
              <w:t>—</w:t>
            </w:r>
          </w:p>
        </w:tc>
        <w:tc>
          <w:tcPr>
            <w:tcW w:type="dxa" w:w="1757"/>
            <w:shd w:val="clear" w:color="auto" w:fill="F2F5F9"/>
          </w:tcPr>
          <w:p>
            <w:pPr>
              <w:spacing w:after="20" w:before="20" w:line="254" w:lineRule="auto"/>
              <w:jc w:val="center"/>
            </w:pPr>
            <w:r>
              <w:rPr>
                <w:sz w:val="16"/>
              </w:rPr>
              <w:t>—</w:t>
            </w:r>
          </w:p>
        </w:tc>
      </w:tr>
    </w:tbl>
    <w:p>
      <w:pPr>
        <w:spacing w:before="60" w:after="200"/>
        <w:jc w:val="center"/>
      </w:pPr>
      <w:r>
        <w:rPr>
          <w:i/>
          <w:color w:val="555F6B"/>
          <w:sz w:val="17"/>
        </w:rPr>
        <w:t>Table 42: High-risk population and revenue at risk by segment.</w:t>
      </w:r>
    </w:p>
    <w:p>
      <w:pPr>
        <w:spacing w:after="120" w:before="0"/>
        <w:jc w:val="both"/>
      </w:pPr>
      <w:r>
        <w:rPr>
          <w:b w:val="0"/>
          <w:i w:val="0"/>
          <w:sz w:val="21"/>
        </w:rPr>
        <w:t>The concentration is striking and operationally useful: 96.8 % of the recoverable value sits in a single segment. New High-Spend customers combine the highest churn probability with substantial monthly revenue, so a campaign that addressed only this segment would capture almost all of the available benefit. The Established Budget segment contributes no high-risk customers at all, which is consistent with its 4.44 % churn rate.</w:t>
      </w:r>
    </w:p>
    <w:p>
      <w:pPr>
        <w:keepNext/>
        <w:spacing w:before="120" w:after="60"/>
        <w:jc w:val="center"/>
      </w:pPr>
      <w:r>
        <w:drawing>
          <wp:inline xmlns:a="http://schemas.openxmlformats.org/drawingml/2006/main" xmlns:pic="http://schemas.openxmlformats.org/drawingml/2006/picture">
            <wp:extent cx="4983480" cy="2956302"/>
            <wp:docPr id="30" name="Picture 30"/>
            <wp:cNvGraphicFramePr>
              <a:graphicFrameLocks noChangeAspect="1"/>
            </wp:cNvGraphicFramePr>
            <a:graphic>
              <a:graphicData uri="http://schemas.openxmlformats.org/drawingml/2006/picture">
                <pic:pic>
                  <pic:nvPicPr>
                    <pic:cNvPr id="0" name="phase9_revenue_at_risk_by_segment.png"/>
                    <pic:cNvPicPr/>
                  </pic:nvPicPr>
                  <pic:blipFill>
                    <a:blip r:embed="rId38"/>
                    <a:stretch>
                      <a:fillRect/>
                    </a:stretch>
                  </pic:blipFill>
                  <pic:spPr>
                    <a:xfrm>
                      <a:off x="0" y="0"/>
                      <a:ext cx="4983480" cy="2956302"/>
                    </a:xfrm>
                    <a:prstGeom prst="rect"/>
                  </pic:spPr>
                </pic:pic>
              </a:graphicData>
            </a:graphic>
          </wp:inline>
        </w:drawing>
      </w:r>
    </w:p>
    <w:p>
      <w:pPr>
        <w:spacing w:before="60" w:after="220"/>
        <w:jc w:val="center"/>
      </w:pPr>
      <w:r>
        <w:rPr>
          <w:i/>
          <w:color w:val="555F6B"/>
          <w:sz w:val="17"/>
        </w:rPr>
        <w:t>Figure 30: Revenue at risk by high-risk customer segment.</w:t>
      </w:r>
    </w:p>
    <w:p>
      <w:pPr>
        <w:keepNext/>
        <w:spacing w:before="240" w:after="80"/>
      </w:pPr>
      <w:r>
        <w:rPr>
          <w:b/>
          <w:color w:val="1B355E"/>
          <w:sz w:val="25"/>
        </w:rPr>
        <w:t>19.5  Driver-to-action mapping</w:t>
      </w:r>
    </w:p>
    <w:p>
      <w:pPr>
        <w:spacing w:after="120" w:before="0"/>
        <w:jc w:val="both"/>
      </w:pPr>
      <w:r>
        <w:rPr>
          <w:b w:val="0"/>
          <w:i w:val="0"/>
          <w:sz w:val="21"/>
        </w:rPr>
        <w:t>Each targeted customer receives two things: the shared base offer, because all of them are on month-to-month contracts, and a lever-specific action chosen from their own SHAP attribution. The previous rule cascade tested contract first and so put all 732 targeted customers into one category; Section 22.3 records that correction.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df["SharedDriver"] = df["Contract"].eq("Month-to-month").map(</w:t>
            </w:r>
          </w:p>
          <w:p>
            <w:pPr>
              <w:spacing w:after="0" w:before="0" w:line="240" w:lineRule="auto"/>
            </w:pPr>
            <w:r>
              <w:rPr>
                <w:rFonts w:ascii="Consolas" w:hAnsi="Consolas" w:eastAsia="Consolas"/>
                <w:color w:val="1A232E"/>
                <w:sz w:val="16"/>
              </w:rPr>
              <w:t xml:space="preserve">    {True: "Month-to-month contract", False: "None"})</w:t>
            </w:r>
          </w:p>
          <w:p>
            <w:pPr>
              <w:spacing w:after="0" w:before="0" w:line="240" w:lineRule="auto"/>
            </w:pPr>
            <w:r>
              <w:rPr>
                <w:rFonts w:ascii="Consolas" w:hAnsi="Consolas" w:eastAsia="Consolas"/>
                <w:color w:val="1A232E"/>
                <w:sz w:val="16"/>
              </w:rPr>
              <w:t>df["DominantRiskDriver"] = df["PrimaryLever"]        # from phase 8 SHAP</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def assign_retention_action(row):</w:t>
            </w:r>
          </w:p>
          <w:p>
            <w:pPr>
              <w:spacing w:after="0" w:before="0" w:line="240" w:lineRule="auto"/>
            </w:pPr>
            <w:r>
              <w:rPr>
                <w:rFonts w:ascii="Consolas" w:hAnsi="Consolas" w:eastAsia="Consolas"/>
                <w:color w:val="1A232E"/>
                <w:sz w:val="16"/>
              </w:rPr>
              <w:t xml:space="preserve">    lever_action = LEVER_ACTIONS.get(row["PrimaryLever"], "Personalised retention review")</w:t>
            </w:r>
          </w:p>
          <w:p>
            <w:pPr>
              <w:spacing w:after="0" w:before="0" w:line="240" w:lineRule="auto"/>
            </w:pPr>
            <w:r>
              <w:rPr>
                <w:rFonts w:ascii="Consolas" w:hAnsi="Consolas" w:eastAsia="Consolas"/>
                <w:color w:val="1A232E"/>
                <w:sz w:val="16"/>
              </w:rPr>
              <w:t xml:space="preserve">    if row["SharedDriver"] == "Month-to-month contract":</w:t>
            </w:r>
          </w:p>
          <w:p>
            <w:pPr>
              <w:spacing w:after="0" w:before="0" w:line="240" w:lineRule="auto"/>
            </w:pPr>
            <w:r>
              <w:rPr>
                <w:rFonts w:ascii="Consolas" w:hAnsi="Consolas" w:eastAsia="Consolas"/>
                <w:color w:val="1A232E"/>
                <w:sz w:val="16"/>
              </w:rPr>
              <w:t xml:space="preserve">        return f"{SHARED_ACTION} + {lever_action}"</w:t>
            </w:r>
          </w:p>
          <w:p>
            <w:pPr>
              <w:spacing w:after="0" w:before="0" w:line="240" w:lineRule="auto"/>
            </w:pPr>
            <w:r>
              <w:rPr>
                <w:rFonts w:ascii="Consolas" w:hAnsi="Consolas" w:eastAsia="Consolas"/>
                <w:color w:val="1A232E"/>
                <w:sz w:val="16"/>
              </w:rPr>
              <w:t xml:space="preserve">    return lever_action</w:t>
            </w:r>
          </w:p>
        </w:tc>
      </w:tr>
    </w:tbl>
    <w:p>
      <w:pPr>
        <w:spacing w:before="60" w:after="180"/>
        <w:jc w:val="center"/>
      </w:pPr>
      <w:r>
        <w:rPr>
          <w:i/>
          <w:color w:val="555F6B"/>
          <w:sz w:val="17"/>
        </w:rPr>
        <w:t>Listing 23: Driver and action assignment in phase 9 after the second round.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15"/>
        <w:gridCol w:w="3168"/>
        <w:gridCol w:w="1152"/>
        <w:gridCol w:w="1512"/>
        <w:gridCol w:w="1468"/>
      </w:tblGrid>
      <w:tr>
        <w:tc>
          <w:tcPr>
            <w:tcW w:type="dxa" w:w="2016"/>
            <w:shd w:val="clear" w:color="auto" w:fill="1B355E"/>
          </w:tcPr>
          <w:p>
            <w:pPr>
              <w:spacing w:after="20" w:before="20"/>
              <w:jc w:val="center"/>
            </w:pPr>
            <w:r>
              <w:rPr>
                <w:b/>
                <w:color w:val="FFFFFF"/>
                <w:sz w:val="16"/>
              </w:rPr>
              <w:t>Dominant driver (SHAP lever)</w:t>
            </w:r>
          </w:p>
        </w:tc>
        <w:tc>
          <w:tcPr>
            <w:tcW w:type="dxa" w:w="3168"/>
            <w:shd w:val="clear" w:color="auto" w:fill="1B355E"/>
          </w:tcPr>
          <w:p>
            <w:pPr>
              <w:spacing w:after="20" w:before="20"/>
              <w:jc w:val="center"/>
            </w:pPr>
            <w:r>
              <w:rPr>
                <w:b/>
                <w:color w:val="FFFFFF"/>
                <w:sz w:val="16"/>
              </w:rPr>
              <w:t>Lever-specific action</w:t>
            </w:r>
          </w:p>
        </w:tc>
        <w:tc>
          <w:tcPr>
            <w:tcW w:type="dxa" w:w="1152"/>
            <w:shd w:val="clear" w:color="auto" w:fill="1B355E"/>
          </w:tcPr>
          <w:p>
            <w:pPr>
              <w:spacing w:after="20" w:before="20"/>
              <w:jc w:val="center"/>
            </w:pPr>
            <w:r>
              <w:rPr>
                <w:b/>
                <w:color w:val="FFFFFF"/>
                <w:sz w:val="16"/>
              </w:rPr>
              <w:t>Customers</w:t>
            </w:r>
          </w:p>
        </w:tc>
        <w:tc>
          <w:tcPr>
            <w:tcW w:type="dxa" w:w="1512"/>
            <w:shd w:val="clear" w:color="auto" w:fill="1B355E"/>
          </w:tcPr>
          <w:p>
            <w:pPr>
              <w:spacing w:after="20" w:before="20"/>
              <w:jc w:val="center"/>
            </w:pPr>
            <w:r>
              <w:rPr>
                <w:b/>
                <w:color w:val="FFFFFF"/>
                <w:sz w:val="16"/>
              </w:rPr>
              <w:t>Revenue at risk</w:t>
            </w:r>
          </w:p>
        </w:tc>
        <w:tc>
          <w:tcPr>
            <w:tcW w:type="dxa" w:w="1469"/>
            <w:shd w:val="clear" w:color="auto" w:fill="1B355E"/>
          </w:tcPr>
          <w:p>
            <w:pPr>
              <w:spacing w:after="20" w:before="20"/>
              <w:jc w:val="center"/>
            </w:pPr>
            <w:r>
              <w:rPr>
                <w:b/>
                <w:color w:val="FFFFFF"/>
                <w:sz w:val="16"/>
              </w:rPr>
              <w:t>Net benefit</w:t>
            </w:r>
          </w:p>
        </w:tc>
      </w:tr>
      <w:tr>
        <w:tc>
          <w:tcPr>
            <w:tcW w:type="dxa" w:w="2016"/>
          </w:tcPr>
          <w:p>
            <w:pPr>
              <w:spacing w:after="20" w:before="20" w:line="254" w:lineRule="auto"/>
              <w:jc w:val="left"/>
            </w:pPr>
            <w:r>
              <w:rPr>
                <w:sz w:val="16"/>
              </w:rPr>
              <w:t>Billing and payment</w:t>
            </w:r>
          </w:p>
        </w:tc>
        <w:tc>
          <w:tcPr>
            <w:tcW w:type="dxa" w:w="3168"/>
          </w:tcPr>
          <w:p>
            <w:pPr>
              <w:spacing w:after="20" w:before="20" w:line="254" w:lineRule="auto"/>
              <w:jc w:val="left"/>
            </w:pPr>
            <w:r>
              <w:rPr>
                <w:sz w:val="16"/>
              </w:rPr>
              <w:t>Move to automatic payment with a billing reward</w:t>
            </w:r>
          </w:p>
        </w:tc>
        <w:tc>
          <w:tcPr>
            <w:tcW w:type="dxa" w:w="1152"/>
          </w:tcPr>
          <w:p>
            <w:pPr>
              <w:spacing w:after="20" w:before="20" w:line="254" w:lineRule="auto"/>
              <w:jc w:val="center"/>
            </w:pPr>
            <w:r>
              <w:rPr>
                <w:b/>
                <w:sz w:val="16"/>
              </w:rPr>
              <w:t>333</w:t>
            </w:r>
          </w:p>
        </w:tc>
        <w:tc>
          <w:tcPr>
            <w:tcW w:type="dxa" w:w="1512"/>
          </w:tcPr>
          <w:p>
            <w:pPr>
              <w:spacing w:after="20" w:before="20" w:line="254" w:lineRule="auto"/>
              <w:jc w:val="center"/>
            </w:pPr>
            <w:r>
              <w:rPr>
                <w:sz w:val="16"/>
              </w:rPr>
              <w:t>$207 612.36</w:t>
            </w:r>
          </w:p>
        </w:tc>
        <w:tc>
          <w:tcPr>
            <w:tcW w:type="dxa" w:w="1469"/>
          </w:tcPr>
          <w:p>
            <w:pPr>
              <w:spacing w:after="20" w:before="20" w:line="254" w:lineRule="auto"/>
              <w:jc w:val="center"/>
            </w:pPr>
            <w:r>
              <w:rPr>
                <w:sz w:val="16"/>
              </w:rPr>
              <w:t>$57 288.71</w:t>
            </w:r>
          </w:p>
        </w:tc>
      </w:tr>
      <w:tr>
        <w:tc>
          <w:tcPr>
            <w:tcW w:type="dxa" w:w="2016"/>
            <w:shd w:val="clear" w:color="auto" w:fill="F2F5F9"/>
          </w:tcPr>
          <w:p>
            <w:pPr>
              <w:spacing w:after="20" w:before="20" w:line="254" w:lineRule="auto"/>
              <w:jc w:val="left"/>
            </w:pPr>
            <w:r>
              <w:rPr>
                <w:sz w:val="16"/>
              </w:rPr>
              <w:t>Service quality</w:t>
            </w:r>
          </w:p>
        </w:tc>
        <w:tc>
          <w:tcPr>
            <w:tcW w:type="dxa" w:w="3168"/>
            <w:shd w:val="clear" w:color="auto" w:fill="F2F5F9"/>
          </w:tcPr>
          <w:p>
            <w:pPr>
              <w:spacing w:after="20" w:before="20" w:line="254" w:lineRule="auto"/>
              <w:jc w:val="left"/>
            </w:pPr>
            <w:r>
              <w:rPr>
                <w:sz w:val="16"/>
              </w:rPr>
              <w:t>Service-quality audit with proactive fix and loyalty credit</w:t>
            </w:r>
          </w:p>
        </w:tc>
        <w:tc>
          <w:tcPr>
            <w:tcW w:type="dxa" w:w="1152"/>
            <w:shd w:val="clear" w:color="auto" w:fill="F2F5F9"/>
          </w:tcPr>
          <w:p>
            <w:pPr>
              <w:spacing w:after="20" w:before="20" w:line="254" w:lineRule="auto"/>
              <w:jc w:val="center"/>
            </w:pPr>
            <w:r>
              <w:rPr>
                <w:b/>
                <w:sz w:val="16"/>
              </w:rPr>
              <w:t>273</w:t>
            </w:r>
          </w:p>
        </w:tc>
        <w:tc>
          <w:tcPr>
            <w:tcW w:type="dxa" w:w="1512"/>
            <w:shd w:val="clear" w:color="auto" w:fill="F2F5F9"/>
          </w:tcPr>
          <w:p>
            <w:pPr>
              <w:spacing w:after="20" w:before="20" w:line="254" w:lineRule="auto"/>
              <w:jc w:val="center"/>
            </w:pPr>
            <w:r>
              <w:rPr>
                <w:sz w:val="16"/>
              </w:rPr>
              <w:t>$189 548.51</w:t>
            </w:r>
          </w:p>
        </w:tc>
        <w:tc>
          <w:tcPr>
            <w:tcW w:type="dxa" w:w="1469"/>
            <w:shd w:val="clear" w:color="auto" w:fill="F2F5F9"/>
          </w:tcPr>
          <w:p>
            <w:pPr>
              <w:spacing w:after="20" w:before="20" w:line="254" w:lineRule="auto"/>
              <w:jc w:val="center"/>
            </w:pPr>
            <w:r>
              <w:rPr>
                <w:sz w:val="16"/>
              </w:rPr>
              <w:t>$52 769.55</w:t>
            </w:r>
          </w:p>
        </w:tc>
      </w:tr>
      <w:tr>
        <w:tc>
          <w:tcPr>
            <w:tcW w:type="dxa" w:w="2016"/>
          </w:tcPr>
          <w:p>
            <w:pPr>
              <w:spacing w:after="20" w:before="20" w:line="254" w:lineRule="auto"/>
              <w:jc w:val="left"/>
            </w:pPr>
            <w:r>
              <w:rPr>
                <w:sz w:val="16"/>
              </w:rPr>
              <w:t>Price and plan fit</w:t>
            </w:r>
          </w:p>
        </w:tc>
        <w:tc>
          <w:tcPr>
            <w:tcW w:type="dxa" w:w="3168"/>
          </w:tcPr>
          <w:p>
            <w:pPr>
              <w:spacing w:after="20" w:before="20" w:line="254" w:lineRule="auto"/>
              <w:jc w:val="left"/>
            </w:pPr>
            <w:r>
              <w:rPr>
                <w:sz w:val="16"/>
              </w:rPr>
              <w:t>Plan right-sizing review and personalised tariff</w:t>
            </w:r>
          </w:p>
        </w:tc>
        <w:tc>
          <w:tcPr>
            <w:tcW w:type="dxa" w:w="1152"/>
          </w:tcPr>
          <w:p>
            <w:pPr>
              <w:spacing w:after="20" w:before="20" w:line="254" w:lineRule="auto"/>
              <w:jc w:val="center"/>
            </w:pPr>
            <w:r>
              <w:rPr>
                <w:b/>
                <w:sz w:val="16"/>
              </w:rPr>
              <w:t>112</w:t>
            </w:r>
          </w:p>
        </w:tc>
        <w:tc>
          <w:tcPr>
            <w:tcW w:type="dxa" w:w="1512"/>
          </w:tcPr>
          <w:p>
            <w:pPr>
              <w:spacing w:after="20" w:before="20" w:line="254" w:lineRule="auto"/>
              <w:jc w:val="center"/>
            </w:pPr>
            <w:r>
              <w:rPr>
                <w:sz w:val="16"/>
              </w:rPr>
              <w:t>$93 165.51</w:t>
            </w:r>
          </w:p>
        </w:tc>
        <w:tc>
          <w:tcPr>
            <w:tcW w:type="dxa" w:w="1469"/>
          </w:tcPr>
          <w:p>
            <w:pPr>
              <w:spacing w:after="20" w:before="20" w:line="254" w:lineRule="auto"/>
              <w:jc w:val="center"/>
            </w:pPr>
            <w:r>
              <w:rPr>
                <w:sz w:val="16"/>
              </w:rPr>
              <w:t>$26 269.65</w:t>
            </w:r>
          </w:p>
        </w:tc>
      </w:tr>
      <w:tr>
        <w:tc>
          <w:tcPr>
            <w:tcW w:type="dxa" w:w="2016"/>
            <w:shd w:val="clear" w:color="auto" w:fill="F2F5F9"/>
          </w:tcPr>
          <w:p>
            <w:pPr>
              <w:spacing w:after="20" w:before="20" w:line="254" w:lineRule="auto"/>
              <w:jc w:val="left"/>
            </w:pPr>
            <w:r>
              <w:rPr>
                <w:sz w:val="16"/>
              </w:rPr>
              <w:t>Protection and support</w:t>
            </w:r>
          </w:p>
        </w:tc>
        <w:tc>
          <w:tcPr>
            <w:tcW w:type="dxa" w:w="3168"/>
            <w:shd w:val="clear" w:color="auto" w:fill="F2F5F9"/>
          </w:tcPr>
          <w:p>
            <w:pPr>
              <w:spacing w:after="20" w:before="20" w:line="254" w:lineRule="auto"/>
              <w:jc w:val="left"/>
            </w:pPr>
            <w:r>
              <w:rPr>
                <w:sz w:val="16"/>
              </w:rPr>
              <w:t>Complimentary tech-support and online-security trial</w:t>
            </w:r>
          </w:p>
        </w:tc>
        <w:tc>
          <w:tcPr>
            <w:tcW w:type="dxa" w:w="1152"/>
            <w:shd w:val="clear" w:color="auto" w:fill="F2F5F9"/>
          </w:tcPr>
          <w:p>
            <w:pPr>
              <w:spacing w:after="20" w:before="20" w:line="254" w:lineRule="auto"/>
              <w:jc w:val="center"/>
            </w:pPr>
            <w:r>
              <w:rPr>
                <w:sz w:val="16"/>
              </w:rPr>
              <w:t>4</w:t>
            </w:r>
          </w:p>
        </w:tc>
        <w:tc>
          <w:tcPr>
            <w:tcW w:type="dxa" w:w="1512"/>
            <w:shd w:val="clear" w:color="auto" w:fill="F2F5F9"/>
          </w:tcPr>
          <w:p>
            <w:pPr>
              <w:spacing w:after="20" w:before="20" w:line="254" w:lineRule="auto"/>
              <w:jc w:val="center"/>
            </w:pPr>
            <w:r>
              <w:rPr>
                <w:sz w:val="16"/>
              </w:rPr>
              <w:t>$810.58</w:t>
            </w:r>
          </w:p>
        </w:tc>
        <w:tc>
          <w:tcPr>
            <w:tcW w:type="dxa" w:w="1469"/>
            <w:shd w:val="clear" w:color="auto" w:fill="F2F5F9"/>
          </w:tcPr>
          <w:p>
            <w:pPr>
              <w:spacing w:after="20" w:before="20" w:line="254" w:lineRule="auto"/>
              <w:jc w:val="center"/>
            </w:pPr>
            <w:r>
              <w:rPr>
                <w:sz w:val="16"/>
              </w:rPr>
              <w:t>$183.17</w:t>
            </w:r>
          </w:p>
        </w:tc>
      </w:tr>
      <w:tr>
        <w:tc>
          <w:tcPr>
            <w:tcW w:type="dxa" w:w="2016"/>
          </w:tcPr>
          <w:p>
            <w:pPr>
              <w:spacing w:after="20" w:before="20" w:line="254" w:lineRule="auto"/>
              <w:jc w:val="left"/>
            </w:pPr>
            <w:r>
              <w:rPr>
                <w:sz w:val="16"/>
              </w:rPr>
              <w:t>Engagement and bundling</w:t>
            </w:r>
          </w:p>
        </w:tc>
        <w:tc>
          <w:tcPr>
            <w:tcW w:type="dxa" w:w="3168"/>
          </w:tcPr>
          <w:p>
            <w:pPr>
              <w:spacing w:after="20" w:before="20" w:line="254" w:lineRule="auto"/>
              <w:jc w:val="left"/>
            </w:pPr>
            <w:r>
              <w:rPr>
                <w:sz w:val="16"/>
              </w:rPr>
              <w:t>Bundled add-on offer to deepen product engagement</w:t>
            </w:r>
          </w:p>
        </w:tc>
        <w:tc>
          <w:tcPr>
            <w:tcW w:type="dxa" w:w="1152"/>
          </w:tcPr>
          <w:p>
            <w:pPr>
              <w:spacing w:after="20" w:before="20" w:line="254" w:lineRule="auto"/>
              <w:jc w:val="center"/>
            </w:pPr>
            <w:r>
              <w:rPr>
                <w:sz w:val="16"/>
              </w:rPr>
              <w:t>2</w:t>
            </w:r>
          </w:p>
        </w:tc>
        <w:tc>
          <w:tcPr>
            <w:tcW w:type="dxa" w:w="1512"/>
          </w:tcPr>
          <w:p>
            <w:pPr>
              <w:spacing w:after="20" w:before="20" w:line="254" w:lineRule="auto"/>
              <w:jc w:val="center"/>
            </w:pPr>
            <w:r>
              <w:rPr>
                <w:sz w:val="16"/>
              </w:rPr>
              <w:t>$683.13</w:t>
            </w:r>
          </w:p>
        </w:tc>
        <w:tc>
          <w:tcPr>
            <w:tcW w:type="dxa" w:w="1469"/>
          </w:tcPr>
          <w:p>
            <w:pPr>
              <w:spacing w:after="20" w:before="20" w:line="254" w:lineRule="auto"/>
              <w:jc w:val="center"/>
            </w:pPr>
            <w:r>
              <w:rPr>
                <w:sz w:val="16"/>
              </w:rPr>
              <w:t>$174.94</w:t>
            </w:r>
          </w:p>
        </w:tc>
      </w:tr>
    </w:tbl>
    <w:p>
      <w:pPr>
        <w:spacing w:before="60" w:after="200"/>
        <w:jc w:val="center"/>
      </w:pPr>
      <w:r>
        <w:rPr>
          <w:i/>
          <w:color w:val="555F6B"/>
          <w:sz w:val="17"/>
        </w:rPr>
        <w:t>Table 43: Recommendation mapping produced by phase 9. Every row also receives the shared contract offer.</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168"/>
        <w:gridCol w:w="3168"/>
        <w:gridCol w:w="2980"/>
      </w:tblGrid>
      <w:tr>
        <w:tc>
          <w:tcPr>
            <w:tcW w:type="dxa" w:w="3168"/>
            <w:shd w:val="clear" w:color="auto" w:fill="1B355E"/>
          </w:tcPr>
          <w:p>
            <w:pPr>
              <w:spacing w:after="20" w:before="20"/>
              <w:jc w:val="center"/>
            </w:pPr>
            <w:r>
              <w:rPr>
                <w:b/>
                <w:color w:val="FFFFFF"/>
                <w:sz w:val="16"/>
              </w:rPr>
              <w:t>Dominant driver</w:t>
            </w:r>
          </w:p>
        </w:tc>
        <w:tc>
          <w:tcPr>
            <w:tcW w:type="dxa" w:w="3168"/>
            <w:shd w:val="clear" w:color="auto" w:fill="1B355E"/>
          </w:tcPr>
          <w:p>
            <w:pPr>
              <w:spacing w:after="20" w:before="20"/>
              <w:jc w:val="center"/>
            </w:pPr>
            <w:r>
              <w:rPr>
                <w:b/>
                <w:color w:val="FFFFFF"/>
                <w:sz w:val="16"/>
              </w:rPr>
              <w:t>Onboarding window (0-12 months)</w:t>
            </w:r>
          </w:p>
        </w:tc>
        <w:tc>
          <w:tcPr>
            <w:tcW w:type="dxa" w:w="2981"/>
            <w:shd w:val="clear" w:color="auto" w:fill="1B355E"/>
          </w:tcPr>
          <w:p>
            <w:pPr>
              <w:spacing w:after="20" w:before="20"/>
              <w:jc w:val="center"/>
            </w:pPr>
            <w:r>
              <w:rPr>
                <w:b/>
                <w:color w:val="FFFFFF"/>
                <w:sz w:val="16"/>
              </w:rPr>
              <w:t>Established (13+ months)</w:t>
            </w:r>
          </w:p>
        </w:tc>
      </w:tr>
      <w:tr>
        <w:tc>
          <w:tcPr>
            <w:tcW w:type="dxa" w:w="3168"/>
          </w:tcPr>
          <w:p>
            <w:pPr>
              <w:spacing w:after="20" w:before="20" w:line="254" w:lineRule="auto"/>
              <w:jc w:val="left"/>
            </w:pPr>
            <w:r>
              <w:rPr>
                <w:sz w:val="16"/>
              </w:rPr>
              <w:t>Billing and payment</w:t>
            </w:r>
          </w:p>
        </w:tc>
        <w:tc>
          <w:tcPr>
            <w:tcW w:type="dxa" w:w="3168"/>
          </w:tcPr>
          <w:p>
            <w:pPr>
              <w:spacing w:after="20" w:before="20" w:line="254" w:lineRule="auto"/>
              <w:jc w:val="center"/>
            </w:pPr>
            <w:r>
              <w:rPr>
                <w:sz w:val="16"/>
              </w:rPr>
              <w:t>292</w:t>
            </w:r>
          </w:p>
        </w:tc>
        <w:tc>
          <w:tcPr>
            <w:tcW w:type="dxa" w:w="2981"/>
          </w:tcPr>
          <w:p>
            <w:pPr>
              <w:spacing w:after="20" w:before="20" w:line="254" w:lineRule="auto"/>
              <w:jc w:val="center"/>
            </w:pPr>
            <w:r>
              <w:rPr>
                <w:sz w:val="16"/>
              </w:rPr>
              <w:t>41</w:t>
            </w:r>
          </w:p>
        </w:tc>
      </w:tr>
      <w:tr>
        <w:tc>
          <w:tcPr>
            <w:tcW w:type="dxa" w:w="3168"/>
            <w:shd w:val="clear" w:color="auto" w:fill="F2F5F9"/>
          </w:tcPr>
          <w:p>
            <w:pPr>
              <w:spacing w:after="20" w:before="20" w:line="254" w:lineRule="auto"/>
              <w:jc w:val="left"/>
            </w:pPr>
            <w:r>
              <w:rPr>
                <w:sz w:val="16"/>
              </w:rPr>
              <w:t>Service quality</w:t>
            </w:r>
          </w:p>
        </w:tc>
        <w:tc>
          <w:tcPr>
            <w:tcW w:type="dxa" w:w="3168"/>
            <w:shd w:val="clear" w:color="auto" w:fill="F2F5F9"/>
          </w:tcPr>
          <w:p>
            <w:pPr>
              <w:spacing w:after="20" w:before="20" w:line="254" w:lineRule="auto"/>
              <w:jc w:val="center"/>
            </w:pPr>
            <w:r>
              <w:rPr>
                <w:sz w:val="16"/>
              </w:rPr>
              <w:t>257</w:t>
            </w:r>
          </w:p>
        </w:tc>
        <w:tc>
          <w:tcPr>
            <w:tcW w:type="dxa" w:w="2981"/>
            <w:shd w:val="clear" w:color="auto" w:fill="F2F5F9"/>
          </w:tcPr>
          <w:p>
            <w:pPr>
              <w:spacing w:after="20" w:before="20" w:line="254" w:lineRule="auto"/>
              <w:jc w:val="center"/>
            </w:pPr>
            <w:r>
              <w:rPr>
                <w:sz w:val="16"/>
              </w:rPr>
              <w:t>16</w:t>
            </w:r>
          </w:p>
        </w:tc>
      </w:tr>
      <w:tr>
        <w:tc>
          <w:tcPr>
            <w:tcW w:type="dxa" w:w="3168"/>
          </w:tcPr>
          <w:p>
            <w:pPr>
              <w:spacing w:after="20" w:before="20" w:line="254" w:lineRule="auto"/>
              <w:jc w:val="left"/>
            </w:pPr>
            <w:r>
              <w:rPr>
                <w:sz w:val="16"/>
              </w:rPr>
              <w:t>Price and plan fit</w:t>
            </w:r>
          </w:p>
        </w:tc>
        <w:tc>
          <w:tcPr>
            <w:tcW w:type="dxa" w:w="3168"/>
          </w:tcPr>
          <w:p>
            <w:pPr>
              <w:spacing w:after="20" w:before="20" w:line="254" w:lineRule="auto"/>
              <w:jc w:val="center"/>
            </w:pPr>
            <w:r>
              <w:rPr>
                <w:sz w:val="16"/>
              </w:rPr>
              <w:t>112</w:t>
            </w:r>
          </w:p>
        </w:tc>
        <w:tc>
          <w:tcPr>
            <w:tcW w:type="dxa" w:w="2981"/>
          </w:tcPr>
          <w:p>
            <w:pPr>
              <w:spacing w:after="20" w:before="20" w:line="254" w:lineRule="auto"/>
              <w:jc w:val="center"/>
            </w:pPr>
            <w:r>
              <w:rPr>
                <w:sz w:val="16"/>
              </w:rPr>
              <w:t>0</w:t>
            </w:r>
          </w:p>
        </w:tc>
      </w:tr>
      <w:tr>
        <w:tc>
          <w:tcPr>
            <w:tcW w:type="dxa" w:w="3168"/>
            <w:shd w:val="clear" w:color="auto" w:fill="F2F5F9"/>
          </w:tcPr>
          <w:p>
            <w:pPr>
              <w:spacing w:after="20" w:before="20" w:line="254" w:lineRule="auto"/>
              <w:jc w:val="left"/>
            </w:pPr>
            <w:r>
              <w:rPr>
                <w:sz w:val="16"/>
              </w:rPr>
              <w:t>Protection and support</w:t>
            </w:r>
          </w:p>
        </w:tc>
        <w:tc>
          <w:tcPr>
            <w:tcW w:type="dxa" w:w="3168"/>
            <w:shd w:val="clear" w:color="auto" w:fill="F2F5F9"/>
          </w:tcPr>
          <w:p>
            <w:pPr>
              <w:spacing w:after="20" w:before="20" w:line="254" w:lineRule="auto"/>
              <w:jc w:val="center"/>
            </w:pPr>
            <w:r>
              <w:rPr>
                <w:sz w:val="16"/>
              </w:rPr>
              <w:t>4</w:t>
            </w:r>
          </w:p>
        </w:tc>
        <w:tc>
          <w:tcPr>
            <w:tcW w:type="dxa" w:w="2981"/>
            <w:shd w:val="clear" w:color="auto" w:fill="F2F5F9"/>
          </w:tcPr>
          <w:p>
            <w:pPr>
              <w:spacing w:after="20" w:before="20" w:line="254" w:lineRule="auto"/>
              <w:jc w:val="center"/>
            </w:pPr>
            <w:r>
              <w:rPr>
                <w:sz w:val="16"/>
              </w:rPr>
              <w:t>0</w:t>
            </w:r>
          </w:p>
        </w:tc>
      </w:tr>
      <w:tr>
        <w:tc>
          <w:tcPr>
            <w:tcW w:type="dxa" w:w="3168"/>
          </w:tcPr>
          <w:p>
            <w:pPr>
              <w:spacing w:after="20" w:before="20" w:line="254" w:lineRule="auto"/>
              <w:jc w:val="left"/>
            </w:pPr>
            <w:r>
              <w:rPr>
                <w:sz w:val="16"/>
              </w:rPr>
              <w:t>Engagement and bundling</w:t>
            </w:r>
          </w:p>
        </w:tc>
        <w:tc>
          <w:tcPr>
            <w:tcW w:type="dxa" w:w="3168"/>
          </w:tcPr>
          <w:p>
            <w:pPr>
              <w:spacing w:after="20" w:before="20" w:line="254" w:lineRule="auto"/>
              <w:jc w:val="center"/>
            </w:pPr>
            <w:r>
              <w:rPr>
                <w:sz w:val="16"/>
              </w:rPr>
              <w:t>2</w:t>
            </w:r>
          </w:p>
        </w:tc>
        <w:tc>
          <w:tcPr>
            <w:tcW w:type="dxa" w:w="2981"/>
          </w:tcPr>
          <w:p>
            <w:pPr>
              <w:spacing w:after="20" w:before="20" w:line="254" w:lineRule="auto"/>
              <w:jc w:val="center"/>
            </w:pPr>
            <w:r>
              <w:rPr>
                <w:sz w:val="16"/>
              </w:rPr>
              <w:t>0</w:t>
            </w:r>
          </w:p>
        </w:tc>
      </w:tr>
    </w:tbl>
    <w:p>
      <w:pPr>
        <w:spacing w:before="60" w:after="200"/>
        <w:jc w:val="center"/>
      </w:pPr>
      <w:r>
        <w:rPr>
          <w:i/>
          <w:color w:val="555F6B"/>
          <w:sz w:val="17"/>
        </w:rPr>
        <w:t>Table 44: Targeted customers by driver and lifecycle stage. The lifecycle stage tells the team when to reach out; the lever tells them what to offer.</w:t>
      </w:r>
    </w:p>
    <w:p>
      <w:pPr>
        <w:spacing w:after="120" w:before="0"/>
        <w:jc w:val="both"/>
      </w:pPr>
      <w:r>
        <w:rPr>
          <w:b w:val="0"/>
          <w:i w:val="0"/>
          <w:sz w:val="21"/>
        </w:rPr>
        <w:t>Three levers carry almost all of the value, and they are genuinely different conversations: 333 customers whose risk is driven mainly by billing (manual payment, paper billing), 273 driven by their fibre service, and 112 driven by price relative to what they get. The two small categories are a real result rather than noise to be forced larger: for the highest-risk customers, protection and bundling contribute little to predicted risk. The high-risk list also carries each customer's second lever, so a campaign team can combine offers where the top two contributions are close.</w:t>
      </w:r>
    </w:p>
    <w:p>
      <w:pPr>
        <w:keepNext/>
        <w:spacing w:before="120" w:after="60"/>
        <w:jc w:val="center"/>
      </w:pPr>
      <w:r>
        <w:drawing>
          <wp:inline xmlns:a="http://schemas.openxmlformats.org/drawingml/2006/main" xmlns:pic="http://schemas.openxmlformats.org/drawingml/2006/picture">
            <wp:extent cx="4983480" cy="2683412"/>
            <wp:docPr id="31" name="Picture 31"/>
            <wp:cNvGraphicFramePr>
              <a:graphicFrameLocks noChangeAspect="1"/>
            </wp:cNvGraphicFramePr>
            <a:graphic>
              <a:graphicData uri="http://schemas.openxmlformats.org/drawingml/2006/picture">
                <pic:pic>
                  <pic:nvPicPr>
                    <pic:cNvPr id="0" name="phase9_revenue_at_risk_by_driver.png"/>
                    <pic:cNvPicPr/>
                  </pic:nvPicPr>
                  <pic:blipFill>
                    <a:blip r:embed="rId39"/>
                    <a:stretch>
                      <a:fillRect/>
                    </a:stretch>
                  </pic:blipFill>
                  <pic:spPr>
                    <a:xfrm>
                      <a:off x="0" y="0"/>
                      <a:ext cx="4983480" cy="2683412"/>
                    </a:xfrm>
                    <a:prstGeom prst="rect"/>
                  </pic:spPr>
                </pic:pic>
              </a:graphicData>
            </a:graphic>
          </wp:inline>
        </w:drawing>
      </w:r>
    </w:p>
    <w:p>
      <w:pPr>
        <w:spacing w:before="60" w:after="220"/>
        <w:jc w:val="center"/>
      </w:pPr>
      <w:r>
        <w:rPr>
          <w:i/>
          <w:color w:val="555F6B"/>
          <w:sz w:val="17"/>
        </w:rPr>
        <w:t>Figure 31: Revenue at risk by dominant churn driver after the second round. The chart now separates five driver categories instead of one.</w:t>
      </w:r>
    </w:p>
    <w:p>
      <w:r>
        <w:br w:type="page"/>
      </w:r>
    </w:p>
    <w:p>
      <w:pPr>
        <w:spacing w:after="0"/>
      </w:pPr>
    </w:p>
    <w:p>
      <w:pPr>
        <w:keepNext/>
        <w:spacing w:before="80" w:after="40"/>
        <w:pBdr>
          <w:bottom w:val="single" w:sz="10" w:space="3" w:color="1B355E"/>
        </w:pBdr>
      </w:pPr>
      <w:r>
        <w:rPr>
          <w:b/>
          <w:color w:val="1B355E"/>
          <w:sz w:val="30"/>
        </w:rPr>
        <w:t>20.  The Streamlit Dashboard</w:t>
      </w:r>
    </w:p>
    <w:p>
      <w:pPr>
        <w:spacing w:after="40"/>
      </w:pPr>
    </w:p>
    <w:p>
      <w:pPr>
        <w:keepNext/>
        <w:spacing w:before="240" w:after="80"/>
      </w:pPr>
      <w:r>
        <w:rPr>
          <w:b/>
          <w:color w:val="1B355E"/>
          <w:sz w:val="25"/>
        </w:rPr>
        <w:t>20.1  Purpose and structure</w:t>
      </w:r>
    </w:p>
    <w:p>
      <w:pPr>
        <w:spacing w:after="120" w:before="0"/>
        <w:jc w:val="both"/>
      </w:pPr>
      <w:r>
        <w:rPr>
          <w:b w:val="0"/>
          <w:i w:val="0"/>
          <w:sz w:val="21"/>
        </w:rPr>
        <w:t xml:space="preserve">The dashboard is the delivery layer. At 1 145 lines it is the largest single module in the project, and it reads every artefact the nine phases produce. It provides authenticated access, a set of analytical pages, and two scoring routes for customers the model has never seen. </w:t>
      </w:r>
      <w:r>
        <w:rPr>
          <w:b/>
          <w:i w:val="0"/>
          <w:sz w:val="21"/>
        </w:rPr>
        <w:t>Modified during remediation</w:t>
      </w:r>
      <w:r>
        <w:rPr>
          <w:b w:val="0"/>
          <w:i w:val="0"/>
          <w:sz w:val="21"/>
        </w:rPr>
        <w:t xml:space="preserve"> so that scoring rebuilds features through the shared module.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6983"/>
      </w:tblGrid>
      <w:tr>
        <w:tc>
          <w:tcPr>
            <w:tcW w:type="dxa" w:w="2333"/>
            <w:shd w:val="clear" w:color="auto" w:fill="1B355E"/>
          </w:tcPr>
          <w:p>
            <w:pPr>
              <w:spacing w:after="20" w:before="20"/>
              <w:jc w:val="center"/>
            </w:pPr>
            <w:r>
              <w:rPr>
                <w:b/>
                <w:color w:val="FFFFFF"/>
                <w:sz w:val="17"/>
              </w:rPr>
              <w:t>Area</w:t>
            </w:r>
          </w:p>
        </w:tc>
        <w:tc>
          <w:tcPr>
            <w:tcW w:type="dxa" w:w="6984"/>
            <w:shd w:val="clear" w:color="auto" w:fill="1B355E"/>
          </w:tcPr>
          <w:p>
            <w:pPr>
              <w:spacing w:after="20" w:before="20"/>
              <w:jc w:val="center"/>
            </w:pPr>
            <w:r>
              <w:rPr>
                <w:b/>
                <w:color w:val="FFFFFF"/>
                <w:sz w:val="17"/>
              </w:rPr>
              <w:t>Function</w:t>
            </w:r>
          </w:p>
        </w:tc>
      </w:tr>
      <w:tr>
        <w:tc>
          <w:tcPr>
            <w:tcW w:type="dxa" w:w="2333"/>
          </w:tcPr>
          <w:p>
            <w:pPr>
              <w:spacing w:after="20" w:before="20" w:line="254" w:lineRule="auto"/>
              <w:jc w:val="left"/>
            </w:pPr>
            <w:r>
              <w:rPr>
                <w:sz w:val="17"/>
              </w:rPr>
              <w:t>Authentication</w:t>
            </w:r>
          </w:p>
        </w:tc>
        <w:tc>
          <w:tcPr>
            <w:tcW w:type="dxa" w:w="6984"/>
          </w:tcPr>
          <w:p>
            <w:pPr>
              <w:spacing w:after="20" w:before="20" w:line="254" w:lineRule="auto"/>
              <w:jc w:val="left"/>
            </w:pPr>
            <w:r>
              <w:rPr>
                <w:sz w:val="17"/>
              </w:rPr>
              <w:t>SQLite-backed accounts with SHA-256 password hashing; login gates every page</w:t>
            </w:r>
          </w:p>
        </w:tc>
      </w:tr>
      <w:tr>
        <w:tc>
          <w:tcPr>
            <w:tcW w:type="dxa" w:w="2333"/>
            <w:shd w:val="clear" w:color="auto" w:fill="F2F5F9"/>
          </w:tcPr>
          <w:p>
            <w:pPr>
              <w:spacing w:after="20" w:before="20" w:line="254" w:lineRule="auto"/>
              <w:jc w:val="left"/>
            </w:pPr>
            <w:r>
              <w:rPr>
                <w:sz w:val="17"/>
              </w:rPr>
              <w:t>Executive overview</w:t>
            </w:r>
          </w:p>
        </w:tc>
        <w:tc>
          <w:tcPr>
            <w:tcW w:type="dxa" w:w="6984"/>
            <w:shd w:val="clear" w:color="auto" w:fill="F2F5F9"/>
          </w:tcPr>
          <w:p>
            <w:pPr>
              <w:spacing w:after="20" w:before="20" w:line="254" w:lineRule="auto"/>
              <w:jc w:val="left"/>
            </w:pPr>
            <w:r>
              <w:rPr>
                <w:sz w:val="17"/>
              </w:rPr>
              <w:t>Base size, churn rate, revenue at risk and model headline metrics</w:t>
            </w:r>
          </w:p>
        </w:tc>
      </w:tr>
      <w:tr>
        <w:tc>
          <w:tcPr>
            <w:tcW w:type="dxa" w:w="2333"/>
          </w:tcPr>
          <w:p>
            <w:pPr>
              <w:spacing w:after="20" w:before="20" w:line="254" w:lineRule="auto"/>
              <w:jc w:val="left"/>
            </w:pPr>
            <w:r>
              <w:rPr>
                <w:sz w:val="17"/>
              </w:rPr>
              <w:t>Exploratory pages</w:t>
            </w:r>
          </w:p>
        </w:tc>
        <w:tc>
          <w:tcPr>
            <w:tcW w:type="dxa" w:w="6984"/>
          </w:tcPr>
          <w:p>
            <w:pPr>
              <w:spacing w:after="20" w:before="20" w:line="254" w:lineRule="auto"/>
              <w:jc w:val="left"/>
            </w:pPr>
            <w:r>
              <w:rPr>
                <w:sz w:val="17"/>
              </w:rPr>
              <w:t>The phase 3 charts with the churn-rate tables behind them</w:t>
            </w:r>
          </w:p>
        </w:tc>
      </w:tr>
      <w:tr>
        <w:tc>
          <w:tcPr>
            <w:tcW w:type="dxa" w:w="2333"/>
            <w:shd w:val="clear" w:color="auto" w:fill="F2F5F9"/>
          </w:tcPr>
          <w:p>
            <w:pPr>
              <w:spacing w:after="20" w:before="20" w:line="254" w:lineRule="auto"/>
              <w:jc w:val="left"/>
            </w:pPr>
            <w:r>
              <w:rPr>
                <w:sz w:val="17"/>
              </w:rPr>
              <w:t>Segmentation</w:t>
            </w:r>
          </w:p>
        </w:tc>
        <w:tc>
          <w:tcPr>
            <w:tcW w:type="dxa" w:w="6984"/>
            <w:shd w:val="clear" w:color="auto" w:fill="F2F5F9"/>
          </w:tcPr>
          <w:p>
            <w:pPr>
              <w:spacing w:after="20" w:before="20" w:line="254" w:lineRule="auto"/>
              <w:jc w:val="left"/>
            </w:pPr>
            <w:r>
              <w:rPr>
                <w:sz w:val="17"/>
              </w:rPr>
              <w:t>Segment profiles and the phase 5 charts</w:t>
            </w:r>
          </w:p>
        </w:tc>
      </w:tr>
      <w:tr>
        <w:tc>
          <w:tcPr>
            <w:tcW w:type="dxa" w:w="2333"/>
          </w:tcPr>
          <w:p>
            <w:pPr>
              <w:spacing w:after="20" w:before="20" w:line="254" w:lineRule="auto"/>
              <w:jc w:val="left"/>
            </w:pPr>
            <w:r>
              <w:rPr>
                <w:sz w:val="17"/>
              </w:rPr>
              <w:t>Model performance</w:t>
            </w:r>
          </w:p>
        </w:tc>
        <w:tc>
          <w:tcPr>
            <w:tcW w:type="dxa" w:w="6984"/>
          </w:tcPr>
          <w:p>
            <w:pPr>
              <w:spacing w:after="20" w:before="20" w:line="254" w:lineRule="auto"/>
              <w:jc w:val="left"/>
            </w:pPr>
            <w:r>
              <w:rPr>
                <w:sz w:val="17"/>
              </w:rPr>
              <w:t>The phase 7 comparison table and evaluation charts</w:t>
            </w:r>
          </w:p>
        </w:tc>
      </w:tr>
      <w:tr>
        <w:tc>
          <w:tcPr>
            <w:tcW w:type="dxa" w:w="2333"/>
            <w:shd w:val="clear" w:color="auto" w:fill="F2F5F9"/>
          </w:tcPr>
          <w:p>
            <w:pPr>
              <w:spacing w:after="20" w:before="20" w:line="254" w:lineRule="auto"/>
              <w:jc w:val="left"/>
            </w:pPr>
            <w:r>
              <w:rPr>
                <w:sz w:val="17"/>
              </w:rPr>
              <w:t>Explainability</w:t>
            </w:r>
          </w:p>
        </w:tc>
        <w:tc>
          <w:tcPr>
            <w:tcW w:type="dxa" w:w="6984"/>
            <w:shd w:val="clear" w:color="auto" w:fill="F2F5F9"/>
          </w:tcPr>
          <w:p>
            <w:pPr>
              <w:spacing w:after="20" w:before="20" w:line="254" w:lineRule="auto"/>
              <w:jc w:val="left"/>
            </w:pPr>
            <w:r>
              <w:rPr>
                <w:sz w:val="17"/>
              </w:rPr>
              <w:t>Global importance, SHAP summary and per-customer reason codes</w:t>
            </w:r>
          </w:p>
        </w:tc>
      </w:tr>
      <w:tr>
        <w:tc>
          <w:tcPr>
            <w:tcW w:type="dxa" w:w="2333"/>
          </w:tcPr>
          <w:p>
            <w:pPr>
              <w:spacing w:after="20" w:before="20" w:line="254" w:lineRule="auto"/>
              <w:jc w:val="left"/>
            </w:pPr>
            <w:r>
              <w:rPr>
                <w:sz w:val="17"/>
              </w:rPr>
              <w:t>Retention targets</w:t>
            </w:r>
          </w:p>
        </w:tc>
        <w:tc>
          <w:tcPr>
            <w:tcW w:type="dxa" w:w="6984"/>
          </w:tcPr>
          <w:p>
            <w:pPr>
              <w:spacing w:after="20" w:before="20" w:line="254" w:lineRule="auto"/>
              <w:jc w:val="left"/>
            </w:pPr>
            <w:r>
              <w:rPr>
                <w:sz w:val="17"/>
              </w:rPr>
              <w:t>The ranked high-risk list, downloadable as CSV</w:t>
            </w:r>
          </w:p>
        </w:tc>
      </w:tr>
      <w:tr>
        <w:tc>
          <w:tcPr>
            <w:tcW w:type="dxa" w:w="2333"/>
            <w:shd w:val="clear" w:color="auto" w:fill="F2F5F9"/>
          </w:tcPr>
          <w:p>
            <w:pPr>
              <w:spacing w:after="20" w:before="20" w:line="254" w:lineRule="auto"/>
              <w:jc w:val="left"/>
            </w:pPr>
            <w:r>
              <w:rPr>
                <w:b/>
                <w:sz w:val="17"/>
              </w:rPr>
              <w:t>Batch scoring</w:t>
            </w:r>
          </w:p>
        </w:tc>
        <w:tc>
          <w:tcPr>
            <w:tcW w:type="dxa" w:w="6984"/>
            <w:shd w:val="clear" w:color="auto" w:fill="F2F5F9"/>
          </w:tcPr>
          <w:p>
            <w:pPr>
              <w:spacing w:after="20" w:before="20" w:line="254" w:lineRule="auto"/>
              <w:jc w:val="center"/>
            </w:pPr>
            <w:r>
              <w:rPr>
                <w:b/>
                <w:sz w:val="17"/>
              </w:rPr>
              <w:t>Upload a CSV and score every row</w:t>
            </w:r>
          </w:p>
        </w:tc>
      </w:tr>
      <w:tr>
        <w:tc>
          <w:tcPr>
            <w:tcW w:type="dxa" w:w="2333"/>
          </w:tcPr>
          <w:p>
            <w:pPr>
              <w:spacing w:after="20" w:before="20" w:line="254" w:lineRule="auto"/>
              <w:jc w:val="left"/>
            </w:pPr>
            <w:r>
              <w:rPr>
                <w:b/>
                <w:sz w:val="17"/>
              </w:rPr>
              <w:t>Single customer</w:t>
            </w:r>
          </w:p>
        </w:tc>
        <w:tc>
          <w:tcPr>
            <w:tcW w:type="dxa" w:w="6984"/>
          </w:tcPr>
          <w:p>
            <w:pPr>
              <w:spacing w:after="20" w:before="20" w:line="254" w:lineRule="auto"/>
              <w:jc w:val="center"/>
            </w:pPr>
            <w:r>
              <w:rPr>
                <w:b/>
                <w:sz w:val="17"/>
              </w:rPr>
              <w:t>Enter one customer's attributes and score them</w:t>
            </w:r>
          </w:p>
        </w:tc>
      </w:tr>
    </w:tbl>
    <w:p>
      <w:pPr>
        <w:spacing w:before="60" w:after="200"/>
        <w:jc w:val="center"/>
      </w:pPr>
      <w:r>
        <w:rPr>
          <w:i/>
          <w:color w:val="555F6B"/>
          <w:sz w:val="17"/>
        </w:rPr>
        <w:t>Table 45: Functional areas of the dashboard.</w:t>
      </w:r>
    </w:p>
    <w:p>
      <w:pPr>
        <w:keepNext/>
        <w:spacing w:before="240" w:after="80"/>
      </w:pPr>
      <w:r>
        <w:rPr>
          <w:b/>
          <w:color w:val="1B355E"/>
          <w:sz w:val="25"/>
        </w:rPr>
        <w:t>20.2  How scoring works after remediation</w:t>
      </w:r>
    </w:p>
    <w:p>
      <w:pPr>
        <w:spacing w:after="120" w:before="0"/>
        <w:jc w:val="both"/>
      </w:pPr>
      <w:r>
        <w:rPr>
          <w:b w:val="0"/>
          <w:i w:val="0"/>
          <w:sz w:val="21"/>
        </w:rPr>
        <w:t>Both scoring routes now pass through one function, which rebuilds every model input from raw columns using the same code and the same fitted artefacts as the training pipeline: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prepare_scoring_dataframe(uploaded_dataframe):</w:t>
            </w:r>
          </w:p>
          <w:p>
            <w:pPr>
              <w:spacing w:after="0" w:before="0" w:line="240" w:lineRule="auto"/>
            </w:pPr>
            <w:r>
              <w:rPr>
                <w:rFonts w:ascii="Consolas" w:hAnsi="Consolas" w:eastAsia="Consolas"/>
                <w:color w:val="1A232E"/>
                <w:sz w:val="16"/>
              </w:rPr>
              <w:t xml:space="preserve">    scoring_dataframe = uploaded_dataframe.copy()</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feature_artifacts  = load_feature_artifacts()      # phase 4 tier edges</w:t>
            </w:r>
          </w:p>
          <w:p>
            <w:pPr>
              <w:spacing w:after="0" w:before="0" w:line="240" w:lineRule="auto"/>
            </w:pPr>
            <w:r>
              <w:rPr>
                <w:rFonts w:ascii="Consolas" w:hAnsi="Consolas" w:eastAsia="Consolas"/>
                <w:color w:val="1A232E"/>
                <w:sz w:val="16"/>
              </w:rPr>
              <w:t xml:space="preserve">    segmentation_model = load_segmentation_model()     # phase 5 scaler+KMeans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if segmentation_model is None or feature_artifacts is None:</w:t>
            </w:r>
          </w:p>
          <w:p>
            <w:pPr>
              <w:spacing w:after="0" w:before="0" w:line="240" w:lineRule="auto"/>
            </w:pPr>
            <w:r>
              <w:rPr>
                <w:rFonts w:ascii="Consolas" w:hAnsi="Consolas" w:eastAsia="Consolas"/>
                <w:color w:val="1A232E"/>
                <w:sz w:val="16"/>
              </w:rPr>
              <w:t xml:space="preserve">        st.error("Run phases 4 and 5 to generate the required artefacts.")</w:t>
            </w:r>
          </w:p>
          <w:p>
            <w:pPr>
              <w:spacing w:after="0" w:before="0" w:line="240" w:lineRule="auto"/>
            </w:pPr>
            <w:r>
              <w:rPr>
                <w:rFonts w:ascii="Consolas" w:hAnsi="Consolas" w:eastAsia="Consolas"/>
                <w:color w:val="1A232E"/>
                <w:sz w:val="16"/>
              </w:rPr>
              <w:t xml:space="preserve">        st.stop()</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 Engineered features, using the quartile edges fitted during training.</w:t>
            </w:r>
          </w:p>
          <w:p>
            <w:pPr>
              <w:spacing w:after="0" w:before="0" w:line="240" w:lineRule="auto"/>
            </w:pPr>
            <w:r>
              <w:rPr>
                <w:rFonts w:ascii="Consolas" w:hAnsi="Consolas" w:eastAsia="Consolas"/>
                <w:color w:val="1A232E"/>
                <w:sz w:val="16"/>
              </w:rPr>
              <w:t xml:space="preserve">    scoring_dataframe, _ = add_engineered_features(</w:t>
            </w:r>
          </w:p>
          <w:p>
            <w:pPr>
              <w:spacing w:after="0" w:before="0" w:line="240" w:lineRule="auto"/>
            </w:pPr>
            <w:r>
              <w:rPr>
                <w:rFonts w:ascii="Consolas" w:hAnsi="Consolas" w:eastAsia="Consolas"/>
                <w:color w:val="1A232E"/>
                <w:sz w:val="16"/>
              </w:rPr>
              <w:t xml:space="preserve">        scoring_dataframe, artifacts=feature_artifacts)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 Cluster and segment, assigned by the trained centroids.</w:t>
            </w:r>
          </w:p>
          <w:p>
            <w:pPr>
              <w:spacing w:after="0" w:before="0" w:line="240" w:lineRule="auto"/>
            </w:pPr>
            <w:r>
              <w:rPr>
                <w:rFonts w:ascii="Consolas" w:hAnsi="Consolas" w:eastAsia="Consolas"/>
                <w:color w:val="1A232E"/>
                <w:sz w:val="16"/>
              </w:rPr>
              <w:t xml:space="preserve">    scoring_dataframe = assign_clusters(scoring_dataframe, segmentation_model)</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 The model was trained on the nominal form, so the encoder expects it.</w:t>
            </w:r>
          </w:p>
          <w:p>
            <w:pPr>
              <w:spacing w:after="0" w:before="0" w:line="240" w:lineRule="auto"/>
            </w:pPr>
            <w:r>
              <w:rPr>
                <w:rFonts w:ascii="Consolas" w:hAnsi="Consolas" w:eastAsia="Consolas"/>
                <w:color w:val="1A232E"/>
                <w:sz w:val="16"/>
              </w:rPr>
              <w:t xml:space="preserve">    return to_nominal_cluster(scoring_dataframe)</w:t>
            </w:r>
          </w:p>
        </w:tc>
      </w:tr>
    </w:tbl>
    <w:p>
      <w:pPr>
        <w:spacing w:before="60" w:after="180"/>
        <w:jc w:val="center"/>
      </w:pPr>
      <w:r>
        <w:rPr>
          <w:i/>
          <w:color w:val="555F6B"/>
          <w:sz w:val="17"/>
        </w:rPr>
        <w:t>Listing 22: The corrected scoring path. The explicit artefact checks mean a missing model produces a clear instruction rather than a confusing prediction error.</w:t>
      </w:r>
    </w:p>
    <w:p>
      <w:pPr>
        <w:spacing w:after="120" w:before="0"/>
        <w:jc w:val="both"/>
      </w:pPr>
      <w:r>
        <w:rPr>
          <w:b w:val="0"/>
          <w:i w:val="0"/>
          <w:sz w:val="21"/>
        </w:rPr>
        <w:t>The single-customer page still chooses its recommendation with a short rule cascade (contract, then tech support, then payment method). For one customer that is a single choice rather than a collapse, but it is not the SHAP-lever logic phase 9 now uses; Section 22.4 lists it as the one remaining inconsistency.</w:t>
      </w:r>
    </w:p>
    <w:p>
      <w:pPr>
        <w:spacing w:after="120" w:before="0"/>
        <w:jc w:val="both"/>
      </w:pPr>
      <w:r>
        <w:rPr>
          <w:b w:val="0"/>
          <w:i w:val="0"/>
          <w:sz w:val="21"/>
        </w:rPr>
        <w:t>The single-customer page previously called the hand-written segment heuristic directly. It now routes through the same function, so a customer entered by hand and the same customer arriving in an uploaded file receive identical feature values and therefore identical predictions.</w:t>
      </w:r>
    </w:p>
    <w:p>
      <w:pPr>
        <w:keepNext/>
        <w:spacing w:before="240" w:after="80"/>
      </w:pPr>
      <w:r>
        <w:rPr>
          <w:b/>
          <w:color w:val="1B355E"/>
          <w:sz w:val="25"/>
        </w:rPr>
        <w:t>20.3  Verification</w:t>
      </w:r>
    </w:p>
    <w:p>
      <w:pPr>
        <w:spacing w:after="120" w:before="0"/>
        <w:jc w:val="both"/>
      </w:pPr>
      <w:r>
        <w:rPr>
          <w:b w:val="0"/>
          <w:i w:val="0"/>
          <w:sz w:val="21"/>
        </w:rPr>
        <w:t>The dashboard was started in the virtual environment and its scoring path exercised against the retrained calibrated model.</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816"/>
        <w:gridCol w:w="5500"/>
      </w:tblGrid>
      <w:tr>
        <w:tc>
          <w:tcPr>
            <w:tcW w:type="dxa" w:w="3816"/>
            <w:shd w:val="clear" w:color="auto" w:fill="1B355E"/>
          </w:tcPr>
          <w:p>
            <w:pPr>
              <w:spacing w:after="20" w:before="20"/>
              <w:jc w:val="center"/>
            </w:pPr>
            <w:r>
              <w:rPr>
                <w:b/>
                <w:color w:val="FFFFFF"/>
                <w:sz w:val="17"/>
              </w:rPr>
              <w:t>Check</w:t>
            </w:r>
          </w:p>
        </w:tc>
        <w:tc>
          <w:tcPr>
            <w:tcW w:type="dxa" w:w="5501"/>
            <w:shd w:val="clear" w:color="auto" w:fill="1B355E"/>
          </w:tcPr>
          <w:p>
            <w:pPr>
              <w:spacing w:after="20" w:before="20"/>
              <w:jc w:val="center"/>
            </w:pPr>
            <w:r>
              <w:rPr>
                <w:b/>
                <w:color w:val="FFFFFF"/>
                <w:sz w:val="17"/>
              </w:rPr>
              <w:t>Result</w:t>
            </w:r>
          </w:p>
        </w:tc>
      </w:tr>
      <w:tr>
        <w:tc>
          <w:tcPr>
            <w:tcW w:type="dxa" w:w="3816"/>
          </w:tcPr>
          <w:p>
            <w:pPr>
              <w:spacing w:after="20" w:before="20" w:line="254" w:lineRule="auto"/>
              <w:jc w:val="left"/>
            </w:pPr>
            <w:r>
              <w:rPr>
                <w:sz w:val="17"/>
              </w:rPr>
              <w:t>Application starts</w:t>
            </w:r>
          </w:p>
        </w:tc>
        <w:tc>
          <w:tcPr>
            <w:tcW w:type="dxa" w:w="5501"/>
          </w:tcPr>
          <w:p>
            <w:pPr>
              <w:spacing w:after="20" w:before="20" w:line="254" w:lineRule="auto"/>
              <w:jc w:val="left"/>
            </w:pPr>
            <w:r>
              <w:rPr>
                <w:b/>
                <w:sz w:val="17"/>
              </w:rPr>
              <w:t>Yes</w:t>
            </w:r>
            <w:r>
              <w:rPr>
                <w:sz w:val="17"/>
              </w:rPr>
              <w:t xml:space="preserve"> — no import or load errors</w:t>
            </w:r>
          </w:p>
        </w:tc>
      </w:tr>
      <w:tr>
        <w:tc>
          <w:tcPr>
            <w:tcW w:type="dxa" w:w="3816"/>
            <w:shd w:val="clear" w:color="auto" w:fill="F2F5F9"/>
          </w:tcPr>
          <w:p>
            <w:pPr>
              <w:spacing w:after="20" w:before="20" w:line="254" w:lineRule="auto"/>
              <w:jc w:val="left"/>
            </w:pPr>
            <w:r>
              <w:rPr>
                <w:sz w:val="17"/>
              </w:rPr>
              <w:t xml:space="preserve">Shared module resolves from </w:t>
            </w:r>
            <w:r>
              <w:rPr>
                <w:rFonts w:ascii="Consolas" w:hAnsi="Consolas" w:eastAsia="Consolas"/>
                <w:color w:val="8A2C1F"/>
                <w:sz w:val="16"/>
              </w:rPr>
              <w:t>app/</w:t>
            </w:r>
          </w:p>
        </w:tc>
        <w:tc>
          <w:tcPr>
            <w:tcW w:type="dxa" w:w="5501"/>
            <w:shd w:val="clear" w:color="auto" w:fill="F2F5F9"/>
          </w:tcPr>
          <w:p>
            <w:pPr>
              <w:spacing w:after="20" w:before="20" w:line="254" w:lineRule="auto"/>
              <w:jc w:val="center"/>
            </w:pPr>
            <w:r>
              <w:rPr>
                <w:sz w:val="17"/>
              </w:rPr>
              <w:t xml:space="preserve">Yes — </w:t>
            </w:r>
            <w:r>
              <w:rPr>
                <w:rFonts w:ascii="Consolas" w:hAnsi="Consolas" w:eastAsia="Consolas"/>
                <w:color w:val="8A2C1F"/>
                <w:sz w:val="16"/>
              </w:rPr>
              <w:t>PROJECT_ROOT</w:t>
            </w:r>
            <w:r>
              <w:rPr>
                <w:sz w:val="17"/>
              </w:rPr>
              <w:t xml:space="preserve"> is already on </w:t>
            </w:r>
            <w:r>
              <w:rPr>
                <w:rFonts w:ascii="Consolas" w:hAnsi="Consolas" w:eastAsia="Consolas"/>
                <w:color w:val="8A2C1F"/>
                <w:sz w:val="16"/>
              </w:rPr>
              <w:t>sys.path</w:t>
            </w:r>
          </w:p>
        </w:tc>
      </w:tr>
      <w:tr>
        <w:tc>
          <w:tcPr>
            <w:tcW w:type="dxa" w:w="3816"/>
          </w:tcPr>
          <w:p>
            <w:pPr>
              <w:spacing w:after="20" w:before="20" w:line="254" w:lineRule="auto"/>
              <w:jc w:val="left"/>
            </w:pPr>
            <w:r>
              <w:rPr>
                <w:sz w:val="17"/>
              </w:rPr>
              <w:t>Model input count</w:t>
            </w:r>
          </w:p>
        </w:tc>
        <w:tc>
          <w:tcPr>
            <w:tcW w:type="dxa" w:w="5501"/>
          </w:tcPr>
          <w:p>
            <w:pPr>
              <w:spacing w:after="20" w:before="20" w:line="254" w:lineRule="auto"/>
              <w:jc w:val="center"/>
            </w:pPr>
            <w:r>
              <w:rPr>
                <w:sz w:val="17"/>
              </w:rPr>
              <w:t>26 features</w:t>
            </w:r>
          </w:p>
        </w:tc>
      </w:tr>
      <w:tr>
        <w:tc>
          <w:tcPr>
            <w:tcW w:type="dxa" w:w="3816"/>
            <w:shd w:val="clear" w:color="auto" w:fill="F2F5F9"/>
          </w:tcPr>
          <w:p>
            <w:pPr>
              <w:spacing w:after="20" w:before="20" w:line="254" w:lineRule="auto"/>
              <w:jc w:val="left"/>
            </w:pPr>
            <w:r>
              <w:rPr>
                <w:sz w:val="17"/>
              </w:rPr>
              <w:t>All inputs reconstructed from raw columns</w:t>
            </w:r>
          </w:p>
        </w:tc>
        <w:tc>
          <w:tcPr>
            <w:tcW w:type="dxa" w:w="5501"/>
            <w:shd w:val="clear" w:color="auto" w:fill="F2F5F9"/>
          </w:tcPr>
          <w:p>
            <w:pPr>
              <w:spacing w:after="20" w:before="20" w:line="254" w:lineRule="auto"/>
              <w:jc w:val="center"/>
            </w:pPr>
            <w:r>
              <w:rPr>
                <w:b/>
                <w:sz w:val="17"/>
              </w:rPr>
              <w:t>Yes — 0 missing</w:t>
            </w:r>
          </w:p>
        </w:tc>
      </w:tr>
      <w:tr>
        <w:tc>
          <w:tcPr>
            <w:tcW w:type="dxa" w:w="3816"/>
          </w:tcPr>
          <w:p>
            <w:pPr>
              <w:spacing w:after="20" w:before="20" w:line="254" w:lineRule="auto"/>
              <w:jc w:val="left"/>
            </w:pPr>
            <w:r>
              <w:rPr>
                <w:sz w:val="17"/>
              </w:rPr>
              <w:t>Engineered features supplied at scoring time</w:t>
            </w:r>
          </w:p>
        </w:tc>
        <w:tc>
          <w:tcPr>
            <w:tcW w:type="dxa" w:w="5501"/>
          </w:tcPr>
          <w:p>
            <w:pPr>
              <w:spacing w:after="20" w:before="20" w:line="254" w:lineRule="auto"/>
              <w:jc w:val="center"/>
            </w:pPr>
            <w:r>
              <w:rPr>
                <w:rFonts w:ascii="Consolas" w:hAnsi="Consolas" w:eastAsia="Consolas"/>
                <w:color w:val="8A2C1F"/>
                <w:sz w:val="16"/>
              </w:rPr>
              <w:t>ServiceCount</w:t>
            </w:r>
            <w:r>
              <w:rPr>
                <w:sz w:val="17"/>
              </w:rPr>
              <w:t xml:space="preserve">, </w:t>
            </w:r>
            <w:r>
              <w:rPr>
                <w:rFonts w:ascii="Consolas" w:hAnsi="Consolas" w:eastAsia="Consolas"/>
                <w:color w:val="8A2C1F"/>
                <w:sz w:val="16"/>
              </w:rPr>
              <w:t>Cluster</w:t>
            </w:r>
            <w:r>
              <w:rPr>
                <w:sz w:val="17"/>
              </w:rPr>
              <w:t xml:space="preserve">, </w:t>
            </w:r>
            <w:r>
              <w:rPr>
                <w:rFonts w:ascii="Consolas" w:hAnsi="Consolas" w:eastAsia="Consolas"/>
                <w:color w:val="8A2C1F"/>
                <w:sz w:val="16"/>
              </w:rPr>
              <w:t>TenureBand</w:t>
            </w:r>
            <w:r>
              <w:rPr>
                <w:sz w:val="17"/>
              </w:rPr>
              <w:t xml:space="preserve">, </w:t>
            </w:r>
            <w:r>
              <w:rPr>
                <w:rFonts w:ascii="Consolas" w:hAnsi="Consolas" w:eastAsia="Consolas"/>
                <w:color w:val="8A2C1F"/>
                <w:sz w:val="16"/>
              </w:rPr>
              <w:t>ARPU</w:t>
            </w:r>
            <w:r>
              <w:rPr>
                <w:sz w:val="17"/>
              </w:rPr>
              <w:t xml:space="preserve">, </w:t>
            </w:r>
            <w:r>
              <w:rPr>
                <w:rFonts w:ascii="Consolas" w:hAnsi="Consolas" w:eastAsia="Consolas"/>
                <w:color w:val="8A2C1F"/>
                <w:sz w:val="16"/>
              </w:rPr>
              <w:t>ChargeRatio</w:t>
            </w:r>
            <w:r>
              <w:rPr>
                <w:sz w:val="17"/>
              </w:rPr>
              <w:t xml:space="preserve">, </w:t>
            </w:r>
            <w:r>
              <w:rPr>
                <w:rFonts w:ascii="Consolas" w:hAnsi="Consolas" w:eastAsia="Consolas"/>
                <w:color w:val="8A2C1F"/>
                <w:sz w:val="16"/>
              </w:rPr>
              <w:t>ValueTier</w:t>
            </w:r>
            <w:r>
              <w:rPr>
                <w:sz w:val="17"/>
              </w:rPr>
              <w:t xml:space="preserve">, </w:t>
            </w:r>
            <w:r>
              <w:rPr>
                <w:rFonts w:ascii="Consolas" w:hAnsi="Consolas" w:eastAsia="Consolas"/>
                <w:color w:val="8A2C1F"/>
                <w:sz w:val="16"/>
              </w:rPr>
              <w:t>AutoPayFlag</w:t>
            </w:r>
          </w:p>
        </w:tc>
      </w:tr>
      <w:tr>
        <w:tc>
          <w:tcPr>
            <w:tcW w:type="dxa" w:w="3816"/>
            <w:shd w:val="clear" w:color="auto" w:fill="F2F5F9"/>
          </w:tcPr>
          <w:p>
            <w:pPr>
              <w:spacing w:after="20" w:before="20" w:line="254" w:lineRule="auto"/>
              <w:jc w:val="left"/>
            </w:pPr>
            <w:r>
              <w:rPr>
                <w:rFonts w:ascii="Consolas" w:hAnsi="Consolas" w:eastAsia="Consolas"/>
                <w:color w:val="8A2C1F"/>
                <w:sz w:val="16"/>
              </w:rPr>
              <w:t>CustomerSegment</w:t>
            </w:r>
            <w:r>
              <w:rPr>
                <w:sz w:val="17"/>
              </w:rPr>
              <w:t xml:space="preserve"> passed to the model</w:t>
            </w:r>
          </w:p>
        </w:tc>
        <w:tc>
          <w:tcPr>
            <w:tcW w:type="dxa" w:w="5501"/>
            <w:shd w:val="clear" w:color="auto" w:fill="F2F5F9"/>
          </w:tcPr>
          <w:p>
            <w:pPr>
              <w:spacing w:after="20" w:before="20" w:line="254" w:lineRule="auto"/>
              <w:jc w:val="center"/>
            </w:pPr>
            <w:r>
              <w:rPr>
                <w:b/>
                <w:sz w:val="17"/>
              </w:rPr>
              <w:t>No</w:t>
            </w:r>
            <w:r>
              <w:rPr>
                <w:sz w:val="17"/>
              </w:rPr>
              <w:t xml:space="preserve"> — label only</w:t>
            </w:r>
          </w:p>
        </w:tc>
      </w:tr>
      <w:tr>
        <w:tc>
          <w:tcPr>
            <w:tcW w:type="dxa" w:w="3816"/>
          </w:tcPr>
          <w:p>
            <w:pPr>
              <w:spacing w:after="20" w:before="20" w:line="254" w:lineRule="auto"/>
              <w:jc w:val="left"/>
            </w:pPr>
            <w:r>
              <w:rPr>
                <w:sz w:val="17"/>
              </w:rPr>
              <w:t>Batch scoring on 200 held-out rows</w:t>
            </w:r>
          </w:p>
        </w:tc>
        <w:tc>
          <w:tcPr>
            <w:tcW w:type="dxa" w:w="5501"/>
          </w:tcPr>
          <w:p>
            <w:pPr>
              <w:spacing w:after="20" w:before="20" w:line="254" w:lineRule="auto"/>
              <w:jc w:val="left"/>
            </w:pPr>
            <w:r>
              <w:rPr>
                <w:sz w:val="17"/>
              </w:rPr>
              <w:t>succeeded; probabilities 0.0251 to 0.7443, mean 0.2656</w:t>
            </w:r>
          </w:p>
        </w:tc>
      </w:tr>
    </w:tbl>
    <w:p>
      <w:pPr>
        <w:spacing w:before="60" w:after="200"/>
        <w:jc w:val="center"/>
      </w:pPr>
      <w:r>
        <w:rPr>
          <w:i/>
          <w:color w:val="555F6B"/>
          <w:sz w:val="17"/>
        </w:rPr>
        <w:t>Table 46: Dashboard verification after remediation.</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DF3FA"/>
          </w:tcPr>
          <w:p>
            <w:pPr>
              <w:spacing w:after="40"/>
            </w:pPr>
            <w:r>
              <w:rPr>
                <w:b/>
                <w:color w:val="1B355E"/>
                <w:sz w:val="19"/>
              </w:rPr>
              <w:t>Running the dashboard.</w:t>
            </w:r>
          </w:p>
          <w:p>
            <w:pPr>
              <w:spacing w:after="0"/>
              <w:jc w:val="both"/>
            </w:pPr>
            <w:r>
              <w:rPr>
                <w:sz w:val="19"/>
              </w:rPr>
              <w:t xml:space="preserve">From the working directory with the environment active: </w:t>
            </w:r>
            <w:r>
              <w:rPr>
                <w:rFonts w:ascii="Consolas" w:hAnsi="Consolas"/>
                <w:color w:val="8A2C1F"/>
                <w:sz w:val="18"/>
              </w:rPr>
              <w:t>streamlit run app/app.py</w:t>
            </w:r>
            <w:r>
              <w:rPr>
                <w:sz w:val="19"/>
              </w:rPr>
              <w:t>. The application opens on localhost:8501 and requires an account, which can be created from the login screen. All nine phases must have been executed first, because the dashboard reads their artefacts rather than recomputing anything.</w:t>
            </w:r>
          </w:p>
        </w:tc>
      </w:tr>
    </w:tbl>
    <w:p>
      <w:pPr>
        <w:spacing w:after="120"/>
      </w:pPr>
    </w:p>
    <w:p>
      <w:r>
        <w:br w:type="page"/>
      </w:r>
    </w:p>
    <w:p>
      <w:pPr>
        <w:spacing w:after="0"/>
      </w:pPr>
    </w:p>
    <w:p>
      <w:pPr>
        <w:keepNext/>
        <w:spacing w:before="80" w:after="40"/>
        <w:pBdr>
          <w:bottom w:val="single" w:sz="10" w:space="3" w:color="1B355E"/>
        </w:pBdr>
      </w:pPr>
      <w:r>
        <w:rPr>
          <w:b/>
          <w:color w:val="1B355E"/>
          <w:sz w:val="30"/>
        </w:rPr>
        <w:t>21.  Results — Before and After Remediation</w:t>
      </w:r>
    </w:p>
    <w:p>
      <w:pPr>
        <w:spacing w:after="40"/>
      </w:pPr>
    </w:p>
    <w:p>
      <w:pPr>
        <w:keepNext/>
        <w:spacing w:before="240" w:after="80"/>
      </w:pPr>
      <w:r>
        <w:rPr>
          <w:b/>
          <w:color w:val="1B355E"/>
          <w:sz w:val="25"/>
        </w:rPr>
        <w:t>21.1  Headline model performance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04"/>
        <w:gridCol w:w="1699"/>
        <w:gridCol w:w="1843"/>
        <w:gridCol w:w="1324"/>
        <w:gridCol w:w="2145"/>
      </w:tblGrid>
      <w:tr>
        <w:tc>
          <w:tcPr>
            <w:tcW w:type="dxa" w:w="2304"/>
            <w:shd w:val="clear" w:color="auto" w:fill="1B355E"/>
          </w:tcPr>
          <w:p>
            <w:pPr>
              <w:spacing w:after="20" w:before="20"/>
              <w:jc w:val="center"/>
            </w:pPr>
            <w:r>
              <w:rPr>
                <w:b/>
                <w:color w:val="FFFFFF"/>
                <w:sz w:val="16"/>
              </w:rPr>
              <w:t>Metric (Tuned XGBoost)</w:t>
            </w:r>
          </w:p>
        </w:tc>
        <w:tc>
          <w:tcPr>
            <w:tcW w:type="dxa" w:w="1699"/>
            <w:shd w:val="clear" w:color="auto" w:fill="1B355E"/>
          </w:tcPr>
          <w:p>
            <w:pPr>
              <w:spacing w:after="20" w:before="20"/>
              <w:jc w:val="center"/>
            </w:pPr>
            <w:r>
              <w:rPr>
                <w:b/>
                <w:color w:val="FFFFFF"/>
                <w:sz w:val="16"/>
              </w:rPr>
              <w:t>Delivered</w:t>
            </w:r>
          </w:p>
        </w:tc>
        <w:tc>
          <w:tcPr>
            <w:tcW w:type="dxa" w:w="1843"/>
            <w:shd w:val="clear" w:color="auto" w:fill="1B355E"/>
          </w:tcPr>
          <w:p>
            <w:pPr>
              <w:spacing w:after="20" w:before="20"/>
              <w:jc w:val="center"/>
            </w:pPr>
            <w:r>
              <w:rPr>
                <w:b/>
                <w:color w:val="FFFFFF"/>
                <w:sz w:val="16"/>
              </w:rPr>
              <w:t>Final</w:t>
            </w:r>
          </w:p>
        </w:tc>
        <w:tc>
          <w:tcPr>
            <w:tcW w:type="dxa" w:w="1325"/>
            <w:shd w:val="clear" w:color="auto" w:fill="1B355E"/>
          </w:tcPr>
          <w:p>
            <w:pPr>
              <w:spacing w:after="20" w:before="20"/>
              <w:jc w:val="center"/>
            </w:pPr>
            <w:r>
              <w:rPr>
                <w:b/>
                <w:color w:val="FFFFFF"/>
                <w:sz w:val="16"/>
              </w:rPr>
              <w:t>Change</w:t>
            </w:r>
          </w:p>
        </w:tc>
        <w:tc>
          <w:tcPr>
            <w:tcW w:type="dxa" w:w="2146"/>
            <w:shd w:val="clear" w:color="auto" w:fill="1B355E"/>
          </w:tcPr>
          <w:p>
            <w:pPr>
              <w:spacing w:after="20" w:before="20"/>
              <w:jc w:val="center"/>
            </w:pPr>
            <w:r>
              <w:rPr>
                <w:b/>
                <w:color w:val="FFFFFF"/>
                <w:sz w:val="16"/>
              </w:rPr>
              <w:t>Reading</w:t>
            </w:r>
          </w:p>
        </w:tc>
      </w:tr>
      <w:tr>
        <w:tc>
          <w:tcPr>
            <w:tcW w:type="dxa" w:w="2304"/>
          </w:tcPr>
          <w:p>
            <w:pPr>
              <w:spacing w:after="20" w:before="20" w:line="254" w:lineRule="auto"/>
              <w:jc w:val="left"/>
            </w:pPr>
            <w:r>
              <w:rPr>
                <w:sz w:val="16"/>
              </w:rPr>
              <w:t>Test records</w:t>
            </w:r>
          </w:p>
        </w:tc>
        <w:tc>
          <w:tcPr>
            <w:tcW w:type="dxa" w:w="1699"/>
          </w:tcPr>
          <w:p>
            <w:pPr>
              <w:spacing w:after="20" w:before="20" w:line="254" w:lineRule="auto"/>
              <w:jc w:val="center"/>
            </w:pPr>
            <w:r>
              <w:rPr>
                <w:sz w:val="16"/>
              </w:rPr>
              <w:t>353</w:t>
            </w:r>
          </w:p>
        </w:tc>
        <w:tc>
          <w:tcPr>
            <w:tcW w:type="dxa" w:w="1843"/>
          </w:tcPr>
          <w:p>
            <w:pPr>
              <w:spacing w:after="20" w:before="20" w:line="254" w:lineRule="auto"/>
              <w:jc w:val="center"/>
            </w:pPr>
            <w:r>
              <w:rPr>
                <w:b/>
                <w:sz w:val="16"/>
              </w:rPr>
              <w:t>1 409</w:t>
            </w:r>
          </w:p>
        </w:tc>
        <w:tc>
          <w:tcPr>
            <w:tcW w:type="dxa" w:w="1325"/>
          </w:tcPr>
          <w:p>
            <w:pPr>
              <w:spacing w:after="20" w:before="20" w:line="254" w:lineRule="auto"/>
              <w:jc w:val="center"/>
            </w:pPr>
            <w:r>
              <w:rPr>
                <w:sz w:val="16"/>
              </w:rPr>
              <w:t>4.0×</w:t>
            </w:r>
          </w:p>
        </w:tc>
        <w:tc>
          <w:tcPr>
            <w:tcW w:type="dxa" w:w="2146"/>
          </w:tcPr>
          <w:p>
            <w:pPr>
              <w:spacing w:after="20" w:before="20" w:line="254" w:lineRule="auto"/>
              <w:jc w:val="center"/>
            </w:pPr>
            <w:r>
              <w:rPr>
                <w:sz w:val="16"/>
              </w:rPr>
              <w:t>defect 1</w:t>
            </w:r>
          </w:p>
        </w:tc>
      </w:tr>
      <w:tr>
        <w:tc>
          <w:tcPr>
            <w:tcW w:type="dxa" w:w="2304"/>
            <w:shd w:val="clear" w:color="auto" w:fill="F2F5F9"/>
          </w:tcPr>
          <w:p>
            <w:pPr>
              <w:spacing w:after="20" w:before="20" w:line="254" w:lineRule="auto"/>
              <w:jc w:val="left"/>
            </w:pPr>
            <w:r>
              <w:rPr>
                <w:sz w:val="16"/>
              </w:rPr>
              <w:t>Churners in test set</w:t>
            </w:r>
          </w:p>
        </w:tc>
        <w:tc>
          <w:tcPr>
            <w:tcW w:type="dxa" w:w="1699"/>
            <w:shd w:val="clear" w:color="auto" w:fill="F2F5F9"/>
          </w:tcPr>
          <w:p>
            <w:pPr>
              <w:spacing w:after="20" w:before="20" w:line="254" w:lineRule="auto"/>
              <w:jc w:val="center"/>
            </w:pPr>
            <w:r>
              <w:rPr>
                <w:sz w:val="16"/>
              </w:rPr>
              <w:t>94</w:t>
            </w:r>
          </w:p>
        </w:tc>
        <w:tc>
          <w:tcPr>
            <w:tcW w:type="dxa" w:w="1843"/>
            <w:shd w:val="clear" w:color="auto" w:fill="F2F5F9"/>
          </w:tcPr>
          <w:p>
            <w:pPr>
              <w:spacing w:after="20" w:before="20" w:line="254" w:lineRule="auto"/>
              <w:jc w:val="center"/>
            </w:pPr>
            <w:r>
              <w:rPr>
                <w:b/>
                <w:sz w:val="16"/>
              </w:rPr>
              <w:t>374</w:t>
            </w:r>
          </w:p>
        </w:tc>
        <w:tc>
          <w:tcPr>
            <w:tcW w:type="dxa" w:w="1325"/>
            <w:shd w:val="clear" w:color="auto" w:fill="F2F5F9"/>
          </w:tcPr>
          <w:p>
            <w:pPr>
              <w:spacing w:after="20" w:before="20" w:line="254" w:lineRule="auto"/>
              <w:jc w:val="center"/>
            </w:pPr>
            <w:r>
              <w:rPr>
                <w:sz w:val="16"/>
              </w:rPr>
              <w:t>4.0×</w:t>
            </w:r>
          </w:p>
        </w:tc>
        <w:tc>
          <w:tcPr>
            <w:tcW w:type="dxa" w:w="2146"/>
            <w:shd w:val="clear" w:color="auto" w:fill="F2F5F9"/>
          </w:tcPr>
          <w:p>
            <w:pPr>
              <w:spacing w:after="20" w:before="20" w:line="254" w:lineRule="auto"/>
              <w:jc w:val="center"/>
            </w:pPr>
            <w:r>
              <w:rPr>
                <w:sz w:val="16"/>
              </w:rPr>
              <w:t>defect 1</w:t>
            </w:r>
          </w:p>
        </w:tc>
      </w:tr>
      <w:tr>
        <w:tc>
          <w:tcPr>
            <w:tcW w:type="dxa" w:w="2304"/>
          </w:tcPr>
          <w:p>
            <w:pPr>
              <w:spacing w:after="20" w:before="20" w:line="254" w:lineRule="auto"/>
              <w:jc w:val="left"/>
            </w:pPr>
            <w:r>
              <w:rPr>
                <w:sz w:val="16"/>
              </w:rPr>
              <w:t>ROC-AUC</w:t>
            </w:r>
          </w:p>
        </w:tc>
        <w:tc>
          <w:tcPr>
            <w:tcW w:type="dxa" w:w="1699"/>
          </w:tcPr>
          <w:p>
            <w:pPr>
              <w:spacing w:after="20" w:before="20" w:line="254" w:lineRule="auto"/>
              <w:jc w:val="center"/>
            </w:pPr>
            <w:r>
              <w:rPr>
                <w:sz w:val="16"/>
              </w:rPr>
              <w:t>0.8349</w:t>
            </w:r>
          </w:p>
        </w:tc>
        <w:tc>
          <w:tcPr>
            <w:tcW w:type="dxa" w:w="1843"/>
          </w:tcPr>
          <w:p>
            <w:pPr>
              <w:spacing w:after="20" w:before="20" w:line="254" w:lineRule="auto"/>
              <w:jc w:val="center"/>
            </w:pPr>
            <w:r>
              <w:rPr>
                <w:b/>
                <w:sz w:val="16"/>
              </w:rPr>
              <w:t>0.8472</w:t>
            </w:r>
          </w:p>
        </w:tc>
        <w:tc>
          <w:tcPr>
            <w:tcW w:type="dxa" w:w="1325"/>
          </w:tcPr>
          <w:p>
            <w:pPr>
              <w:spacing w:after="20" w:before="20" w:line="254" w:lineRule="auto"/>
              <w:jc w:val="center"/>
            </w:pPr>
            <w:r>
              <w:rPr>
                <w:sz w:val="16"/>
              </w:rPr>
              <w:t>+0.0123</w:t>
            </w:r>
          </w:p>
        </w:tc>
        <w:tc>
          <w:tcPr>
            <w:tcW w:type="dxa" w:w="2146"/>
          </w:tcPr>
          <w:p>
            <w:pPr>
              <w:spacing w:after="20" w:before="20" w:line="254" w:lineRule="auto"/>
              <w:jc w:val="center"/>
            </w:pPr>
            <w:r>
              <w:rPr>
                <w:sz w:val="16"/>
              </w:rPr>
              <w:t>improved</w:t>
            </w:r>
          </w:p>
        </w:tc>
      </w:tr>
      <w:tr>
        <w:tc>
          <w:tcPr>
            <w:tcW w:type="dxa" w:w="2304"/>
            <w:shd w:val="clear" w:color="auto" w:fill="F2F5F9"/>
          </w:tcPr>
          <w:p>
            <w:pPr>
              <w:spacing w:after="20" w:before="20" w:line="254" w:lineRule="auto"/>
              <w:jc w:val="left"/>
            </w:pPr>
            <w:r>
              <w:rPr>
                <w:sz w:val="16"/>
              </w:rPr>
              <w:t>PR-AUC</w:t>
            </w:r>
          </w:p>
        </w:tc>
        <w:tc>
          <w:tcPr>
            <w:tcW w:type="dxa" w:w="1699"/>
            <w:shd w:val="clear" w:color="auto" w:fill="F2F5F9"/>
          </w:tcPr>
          <w:p>
            <w:pPr>
              <w:spacing w:after="20" w:before="20" w:line="254" w:lineRule="auto"/>
              <w:jc w:val="center"/>
            </w:pPr>
            <w:r>
              <w:rPr>
                <w:sz w:val="16"/>
              </w:rPr>
              <w:t>0.6128</w:t>
            </w:r>
          </w:p>
        </w:tc>
        <w:tc>
          <w:tcPr>
            <w:tcW w:type="dxa" w:w="1843"/>
            <w:shd w:val="clear" w:color="auto" w:fill="F2F5F9"/>
          </w:tcPr>
          <w:p>
            <w:pPr>
              <w:spacing w:after="20" w:before="20" w:line="254" w:lineRule="auto"/>
              <w:jc w:val="center"/>
            </w:pPr>
            <w:r>
              <w:rPr>
                <w:b/>
                <w:sz w:val="16"/>
              </w:rPr>
              <w:t>0.6632</w:t>
            </w:r>
          </w:p>
        </w:tc>
        <w:tc>
          <w:tcPr>
            <w:tcW w:type="dxa" w:w="1325"/>
            <w:shd w:val="clear" w:color="auto" w:fill="F2F5F9"/>
          </w:tcPr>
          <w:p>
            <w:pPr>
              <w:spacing w:after="20" w:before="20" w:line="254" w:lineRule="auto"/>
              <w:jc w:val="center"/>
            </w:pPr>
            <w:r>
              <w:rPr>
                <w:sz w:val="16"/>
              </w:rPr>
              <w:t>+0.0504</w:t>
            </w:r>
          </w:p>
        </w:tc>
        <w:tc>
          <w:tcPr>
            <w:tcW w:type="dxa" w:w="2146"/>
            <w:shd w:val="clear" w:color="auto" w:fill="F2F5F9"/>
          </w:tcPr>
          <w:p>
            <w:pPr>
              <w:spacing w:after="20" w:before="20" w:line="254" w:lineRule="auto"/>
              <w:jc w:val="left"/>
            </w:pPr>
            <w:r>
              <w:rPr>
                <w:sz w:val="16"/>
              </w:rPr>
              <w:t>the more meaningful gain at this imbalance</w:t>
            </w:r>
          </w:p>
        </w:tc>
      </w:tr>
      <w:tr>
        <w:tc>
          <w:tcPr>
            <w:tcW w:type="dxa" w:w="2304"/>
          </w:tcPr>
          <w:p>
            <w:pPr>
              <w:spacing w:after="20" w:before="20" w:line="254" w:lineRule="auto"/>
              <w:jc w:val="left"/>
            </w:pPr>
            <w:r>
              <w:rPr>
                <w:sz w:val="16"/>
              </w:rPr>
              <w:t>Recall</w:t>
            </w:r>
          </w:p>
        </w:tc>
        <w:tc>
          <w:tcPr>
            <w:tcW w:type="dxa" w:w="1699"/>
          </w:tcPr>
          <w:p>
            <w:pPr>
              <w:spacing w:after="20" w:before="20" w:line="254" w:lineRule="auto"/>
              <w:jc w:val="center"/>
            </w:pPr>
            <w:r>
              <w:rPr>
                <w:sz w:val="16"/>
              </w:rPr>
              <w:t>0.7766</w:t>
            </w:r>
          </w:p>
        </w:tc>
        <w:tc>
          <w:tcPr>
            <w:tcW w:type="dxa" w:w="1843"/>
          </w:tcPr>
          <w:p>
            <w:pPr>
              <w:spacing w:after="20" w:before="20" w:line="254" w:lineRule="auto"/>
              <w:jc w:val="center"/>
            </w:pPr>
            <w:r>
              <w:rPr>
                <w:b/>
                <w:sz w:val="16"/>
              </w:rPr>
              <w:t>0.8262</w:t>
            </w:r>
          </w:p>
        </w:tc>
        <w:tc>
          <w:tcPr>
            <w:tcW w:type="dxa" w:w="1325"/>
          </w:tcPr>
          <w:p>
            <w:pPr>
              <w:spacing w:after="20" w:before="20" w:line="254" w:lineRule="auto"/>
              <w:jc w:val="center"/>
            </w:pPr>
            <w:r>
              <w:rPr>
                <w:sz w:val="16"/>
              </w:rPr>
              <w:t>+0.0496</w:t>
            </w:r>
          </w:p>
        </w:tc>
        <w:tc>
          <w:tcPr>
            <w:tcW w:type="dxa" w:w="2146"/>
          </w:tcPr>
          <w:p>
            <w:pPr>
              <w:spacing w:after="20" w:before="20" w:line="254" w:lineRule="auto"/>
              <w:jc w:val="center"/>
            </w:pPr>
            <w:r>
              <w:rPr>
                <w:sz w:val="16"/>
              </w:rPr>
              <w:t>misses fewer churners</w:t>
            </w:r>
          </w:p>
        </w:tc>
      </w:tr>
      <w:tr>
        <w:tc>
          <w:tcPr>
            <w:tcW w:type="dxa" w:w="2304"/>
            <w:shd w:val="clear" w:color="auto" w:fill="F2F5F9"/>
          </w:tcPr>
          <w:p>
            <w:pPr>
              <w:spacing w:after="20" w:before="20" w:line="254" w:lineRule="auto"/>
              <w:jc w:val="left"/>
            </w:pPr>
            <w:r>
              <w:rPr>
                <w:sz w:val="16"/>
              </w:rPr>
              <w:t>Precision</w:t>
            </w:r>
          </w:p>
        </w:tc>
        <w:tc>
          <w:tcPr>
            <w:tcW w:type="dxa" w:w="1699"/>
            <w:shd w:val="clear" w:color="auto" w:fill="F2F5F9"/>
          </w:tcPr>
          <w:p>
            <w:pPr>
              <w:spacing w:after="20" w:before="20" w:line="254" w:lineRule="auto"/>
              <w:jc w:val="center"/>
            </w:pPr>
            <w:r>
              <w:rPr>
                <w:sz w:val="16"/>
              </w:rPr>
              <w:t>0.4932</w:t>
            </w:r>
          </w:p>
        </w:tc>
        <w:tc>
          <w:tcPr>
            <w:tcW w:type="dxa" w:w="1843"/>
            <w:shd w:val="clear" w:color="auto" w:fill="F2F5F9"/>
          </w:tcPr>
          <w:p>
            <w:pPr>
              <w:spacing w:after="20" w:before="20" w:line="254" w:lineRule="auto"/>
              <w:jc w:val="center"/>
            </w:pPr>
            <w:r>
              <w:rPr>
                <w:sz w:val="16"/>
              </w:rPr>
              <w:t>0.4992</w:t>
            </w:r>
          </w:p>
        </w:tc>
        <w:tc>
          <w:tcPr>
            <w:tcW w:type="dxa" w:w="1325"/>
            <w:shd w:val="clear" w:color="auto" w:fill="F2F5F9"/>
          </w:tcPr>
          <w:p>
            <w:pPr>
              <w:spacing w:after="20" w:before="20" w:line="254" w:lineRule="auto"/>
              <w:jc w:val="center"/>
            </w:pPr>
            <w:r>
              <w:rPr>
                <w:sz w:val="16"/>
              </w:rPr>
              <w:t>+0.0060</w:t>
            </w:r>
          </w:p>
        </w:tc>
        <w:tc>
          <w:tcPr>
            <w:tcW w:type="dxa" w:w="2146"/>
            <w:shd w:val="clear" w:color="auto" w:fill="F2F5F9"/>
          </w:tcPr>
          <w:p>
            <w:pPr>
              <w:spacing w:after="20" w:before="20" w:line="254" w:lineRule="auto"/>
              <w:jc w:val="center"/>
            </w:pPr>
            <w:r>
              <w:rPr>
                <w:sz w:val="16"/>
              </w:rPr>
              <w:t>essentially unchanged</w:t>
            </w:r>
          </w:p>
        </w:tc>
      </w:tr>
      <w:tr>
        <w:tc>
          <w:tcPr>
            <w:tcW w:type="dxa" w:w="2304"/>
          </w:tcPr>
          <w:p>
            <w:pPr>
              <w:spacing w:after="20" w:before="20" w:line="254" w:lineRule="auto"/>
              <w:jc w:val="left"/>
            </w:pPr>
            <w:r>
              <w:rPr>
                <w:sz w:val="16"/>
              </w:rPr>
              <w:t>F1 score</w:t>
            </w:r>
          </w:p>
        </w:tc>
        <w:tc>
          <w:tcPr>
            <w:tcW w:type="dxa" w:w="1699"/>
          </w:tcPr>
          <w:p>
            <w:pPr>
              <w:spacing w:after="20" w:before="20" w:line="254" w:lineRule="auto"/>
              <w:jc w:val="center"/>
            </w:pPr>
            <w:r>
              <w:rPr>
                <w:sz w:val="16"/>
              </w:rPr>
              <w:t>0.6033</w:t>
            </w:r>
          </w:p>
        </w:tc>
        <w:tc>
          <w:tcPr>
            <w:tcW w:type="dxa" w:w="1843"/>
          </w:tcPr>
          <w:p>
            <w:pPr>
              <w:spacing w:after="20" w:before="20" w:line="254" w:lineRule="auto"/>
              <w:jc w:val="center"/>
            </w:pPr>
            <w:r>
              <w:rPr>
                <w:b/>
                <w:sz w:val="16"/>
              </w:rPr>
              <w:t>0.6224</w:t>
            </w:r>
          </w:p>
        </w:tc>
        <w:tc>
          <w:tcPr>
            <w:tcW w:type="dxa" w:w="1325"/>
          </w:tcPr>
          <w:p>
            <w:pPr>
              <w:spacing w:after="20" w:before="20" w:line="254" w:lineRule="auto"/>
              <w:jc w:val="center"/>
            </w:pPr>
            <w:r>
              <w:rPr>
                <w:sz w:val="16"/>
              </w:rPr>
              <w:t>+0.0191</w:t>
            </w:r>
          </w:p>
        </w:tc>
        <w:tc>
          <w:tcPr>
            <w:tcW w:type="dxa" w:w="2146"/>
          </w:tcPr>
          <w:p>
            <w:pPr>
              <w:spacing w:after="20" w:before="20" w:line="254" w:lineRule="auto"/>
              <w:jc w:val="center"/>
            </w:pPr>
            <w:r>
              <w:rPr>
                <w:sz w:val="16"/>
              </w:rPr>
              <w:t>improved</w:t>
            </w:r>
          </w:p>
        </w:tc>
      </w:tr>
      <w:tr>
        <w:tc>
          <w:tcPr>
            <w:tcW w:type="dxa" w:w="2304"/>
            <w:shd w:val="clear" w:color="auto" w:fill="F2F5F9"/>
          </w:tcPr>
          <w:p>
            <w:pPr>
              <w:spacing w:after="20" w:before="20" w:line="254" w:lineRule="auto"/>
              <w:jc w:val="left"/>
            </w:pPr>
            <w:r>
              <w:rPr>
                <w:sz w:val="16"/>
              </w:rPr>
              <w:t>Accuracy</w:t>
            </w:r>
          </w:p>
        </w:tc>
        <w:tc>
          <w:tcPr>
            <w:tcW w:type="dxa" w:w="1699"/>
            <w:shd w:val="clear" w:color="auto" w:fill="F2F5F9"/>
          </w:tcPr>
          <w:p>
            <w:pPr>
              <w:spacing w:after="20" w:before="20" w:line="254" w:lineRule="auto"/>
              <w:jc w:val="center"/>
            </w:pPr>
            <w:r>
              <w:rPr>
                <w:sz w:val="16"/>
              </w:rPr>
              <w:t>0.7280</w:t>
            </w:r>
          </w:p>
        </w:tc>
        <w:tc>
          <w:tcPr>
            <w:tcW w:type="dxa" w:w="1843"/>
            <w:shd w:val="clear" w:color="auto" w:fill="F2F5F9"/>
          </w:tcPr>
          <w:p>
            <w:pPr>
              <w:spacing w:after="20" w:before="20" w:line="254" w:lineRule="auto"/>
              <w:jc w:val="center"/>
            </w:pPr>
            <w:r>
              <w:rPr>
                <w:sz w:val="16"/>
              </w:rPr>
              <w:t>0.7339</w:t>
            </w:r>
          </w:p>
        </w:tc>
        <w:tc>
          <w:tcPr>
            <w:tcW w:type="dxa" w:w="1325"/>
            <w:shd w:val="clear" w:color="auto" w:fill="F2F5F9"/>
          </w:tcPr>
          <w:p>
            <w:pPr>
              <w:spacing w:after="20" w:before="20" w:line="254" w:lineRule="auto"/>
              <w:jc w:val="center"/>
            </w:pPr>
            <w:r>
              <w:rPr>
                <w:sz w:val="16"/>
              </w:rPr>
              <w:t>+0.0059</w:t>
            </w:r>
          </w:p>
        </w:tc>
        <w:tc>
          <w:tcPr>
            <w:tcW w:type="dxa" w:w="2146"/>
            <w:shd w:val="clear" w:color="auto" w:fill="F2F5F9"/>
          </w:tcPr>
          <w:p>
            <w:pPr>
              <w:spacing w:after="20" w:before="20" w:line="254" w:lineRule="auto"/>
              <w:jc w:val="center"/>
            </w:pPr>
            <w:r>
              <w:rPr>
                <w:sz w:val="16"/>
              </w:rPr>
              <w:t>essentially unchanged</w:t>
            </w:r>
          </w:p>
        </w:tc>
      </w:tr>
      <w:tr>
        <w:tc>
          <w:tcPr>
            <w:tcW w:type="dxa" w:w="2304"/>
          </w:tcPr>
          <w:p>
            <w:pPr>
              <w:spacing w:after="20" w:before="20" w:line="254" w:lineRule="auto"/>
              <w:jc w:val="left"/>
            </w:pPr>
            <w:r>
              <w:rPr>
                <w:sz w:val="16"/>
              </w:rPr>
              <w:t>False negatives</w:t>
            </w:r>
          </w:p>
        </w:tc>
        <w:tc>
          <w:tcPr>
            <w:tcW w:type="dxa" w:w="1699"/>
          </w:tcPr>
          <w:p>
            <w:pPr>
              <w:spacing w:after="20" w:before="20" w:line="254" w:lineRule="auto"/>
              <w:jc w:val="center"/>
            </w:pPr>
            <w:r>
              <w:rPr>
                <w:sz w:val="16"/>
              </w:rPr>
              <w:t>21 of 94 (22.3 %)</w:t>
            </w:r>
          </w:p>
        </w:tc>
        <w:tc>
          <w:tcPr>
            <w:tcW w:type="dxa" w:w="1843"/>
          </w:tcPr>
          <w:p>
            <w:pPr>
              <w:spacing w:after="20" w:before="20" w:line="254" w:lineRule="auto"/>
              <w:jc w:val="center"/>
            </w:pPr>
            <w:r>
              <w:rPr>
                <w:b/>
                <w:sz w:val="16"/>
              </w:rPr>
              <w:t>65 of 374 (17.4 %)</w:t>
            </w:r>
          </w:p>
        </w:tc>
        <w:tc>
          <w:tcPr>
            <w:tcW w:type="dxa" w:w="1325"/>
          </w:tcPr>
          <w:p>
            <w:pPr>
              <w:spacing w:after="20" w:before="20" w:line="254" w:lineRule="auto"/>
              <w:jc w:val="center"/>
            </w:pPr>
            <w:r>
              <w:rPr>
                <w:sz w:val="16"/>
              </w:rPr>
              <w:t>−4.9 pp</w:t>
            </w:r>
          </w:p>
        </w:tc>
        <w:tc>
          <w:tcPr>
            <w:tcW w:type="dxa" w:w="2146"/>
          </w:tcPr>
          <w:p>
            <w:pPr>
              <w:spacing w:after="20" w:before="20" w:line="254" w:lineRule="auto"/>
              <w:jc w:val="left"/>
            </w:pPr>
            <w:r>
              <w:rPr>
                <w:sz w:val="16"/>
              </w:rPr>
              <w:t>proportionally fewer misses</w:t>
            </w:r>
          </w:p>
        </w:tc>
      </w:tr>
      <w:tr>
        <w:tc>
          <w:tcPr>
            <w:tcW w:type="dxa" w:w="2304"/>
            <w:shd w:val="clear" w:color="auto" w:fill="F2F5F9"/>
          </w:tcPr>
          <w:p>
            <w:pPr>
              <w:spacing w:after="20" w:before="20" w:line="254" w:lineRule="auto"/>
              <w:jc w:val="left"/>
            </w:pPr>
            <w:r>
              <w:rPr>
                <w:sz w:val="16"/>
              </w:rPr>
              <w:t>95 % CI half-width (ROC-AUC)</w:t>
            </w:r>
          </w:p>
        </w:tc>
        <w:tc>
          <w:tcPr>
            <w:tcW w:type="dxa" w:w="1699"/>
            <w:shd w:val="clear" w:color="auto" w:fill="F2F5F9"/>
          </w:tcPr>
          <w:p>
            <w:pPr>
              <w:spacing w:after="20" w:before="20" w:line="254" w:lineRule="auto"/>
              <w:jc w:val="center"/>
            </w:pPr>
            <w:r>
              <w:rPr>
                <w:sz w:val="16"/>
              </w:rPr>
              <w:t>±0.053</w:t>
            </w:r>
          </w:p>
        </w:tc>
        <w:tc>
          <w:tcPr>
            <w:tcW w:type="dxa" w:w="1843"/>
            <w:shd w:val="clear" w:color="auto" w:fill="F2F5F9"/>
          </w:tcPr>
          <w:p>
            <w:pPr>
              <w:spacing w:after="20" w:before="20" w:line="254" w:lineRule="auto"/>
              <w:jc w:val="center"/>
            </w:pPr>
            <w:r>
              <w:rPr>
                <w:b/>
                <w:sz w:val="16"/>
              </w:rPr>
              <w:t>±0.026</w:t>
            </w:r>
          </w:p>
        </w:tc>
        <w:tc>
          <w:tcPr>
            <w:tcW w:type="dxa" w:w="1325"/>
            <w:shd w:val="clear" w:color="auto" w:fill="F2F5F9"/>
          </w:tcPr>
          <w:p>
            <w:pPr>
              <w:spacing w:after="20" w:before="20" w:line="254" w:lineRule="auto"/>
              <w:jc w:val="center"/>
            </w:pPr>
            <w:r>
              <w:rPr>
                <w:sz w:val="16"/>
              </w:rPr>
              <w:t>halved</w:t>
            </w:r>
          </w:p>
        </w:tc>
        <w:tc>
          <w:tcPr>
            <w:tcW w:type="dxa" w:w="2146"/>
            <w:shd w:val="clear" w:color="auto" w:fill="F2F5F9"/>
          </w:tcPr>
          <w:p>
            <w:pPr>
              <w:spacing w:after="20" w:before="20" w:line="254" w:lineRule="auto"/>
              <w:jc w:val="center"/>
            </w:pPr>
            <w:r>
              <w:rPr>
                <w:sz w:val="16"/>
              </w:rPr>
              <w:t>defect 1</w:t>
            </w:r>
          </w:p>
        </w:tc>
      </w:tr>
    </w:tbl>
    <w:p>
      <w:pPr>
        <w:spacing w:before="60" w:after="200"/>
        <w:jc w:val="center"/>
      </w:pPr>
      <w:r>
        <w:rPr>
          <w:i/>
          <w:color w:val="555F6B"/>
          <w:sz w:val="17"/>
        </w:rPr>
        <w:t>Table 47: Selected-model performance as delivered and after both remediation rounds.</w:t>
      </w:r>
    </w:p>
    <w:p>
      <w:pPr>
        <w:keepNext/>
        <w:spacing w:before="240" w:after="80"/>
      </w:pPr>
      <w:r>
        <w:rPr>
          <w:b/>
          <w:color w:val="1B355E"/>
          <w:sz w:val="25"/>
        </w:rPr>
        <w:t>21.2  Structural changes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340"/>
        <w:gridCol w:w="3024"/>
        <w:gridCol w:w="2951"/>
      </w:tblGrid>
      <w:tr>
        <w:tc>
          <w:tcPr>
            <w:tcW w:type="dxa" w:w="3341"/>
            <w:shd w:val="clear" w:color="auto" w:fill="1B355E"/>
          </w:tcPr>
          <w:p>
            <w:pPr>
              <w:spacing w:after="20" w:before="20"/>
              <w:jc w:val="center"/>
            </w:pPr>
            <w:r>
              <w:rPr>
                <w:b/>
                <w:color w:val="FFFFFF"/>
                <w:sz w:val="16"/>
              </w:rPr>
              <w:t>Property</w:t>
            </w:r>
          </w:p>
        </w:tc>
        <w:tc>
          <w:tcPr>
            <w:tcW w:type="dxa" w:w="3024"/>
            <w:shd w:val="clear" w:color="auto" w:fill="1B355E"/>
          </w:tcPr>
          <w:p>
            <w:pPr>
              <w:spacing w:after="20" w:before="20"/>
              <w:jc w:val="center"/>
            </w:pPr>
            <w:r>
              <w:rPr>
                <w:b/>
                <w:color w:val="FFFFFF"/>
                <w:sz w:val="16"/>
              </w:rPr>
              <w:t>Delivered</w:t>
            </w:r>
          </w:p>
        </w:tc>
        <w:tc>
          <w:tcPr>
            <w:tcW w:type="dxa" w:w="2952"/>
            <w:shd w:val="clear" w:color="auto" w:fill="1B355E"/>
          </w:tcPr>
          <w:p>
            <w:pPr>
              <w:spacing w:after="20" w:before="20"/>
              <w:jc w:val="center"/>
            </w:pPr>
            <w:r>
              <w:rPr>
                <w:b/>
                <w:color w:val="FFFFFF"/>
                <w:sz w:val="16"/>
              </w:rPr>
              <w:t>Final</w:t>
            </w:r>
          </w:p>
        </w:tc>
      </w:tr>
      <w:tr>
        <w:tc>
          <w:tcPr>
            <w:tcW w:type="dxa" w:w="3341"/>
          </w:tcPr>
          <w:p>
            <w:pPr>
              <w:spacing w:after="20" w:before="20" w:line="254" w:lineRule="auto"/>
              <w:jc w:val="left"/>
            </w:pPr>
            <w:r>
              <w:rPr>
                <w:sz w:val="16"/>
              </w:rPr>
              <w:t>Model matrix columns</w:t>
            </w:r>
          </w:p>
        </w:tc>
        <w:tc>
          <w:tcPr>
            <w:tcW w:type="dxa" w:w="3024"/>
          </w:tcPr>
          <w:p>
            <w:pPr>
              <w:spacing w:after="20" w:before="20" w:line="254" w:lineRule="auto"/>
              <w:jc w:val="center"/>
            </w:pPr>
            <w:r>
              <w:rPr>
                <w:sz w:val="16"/>
              </w:rPr>
              <w:t>21</w:t>
            </w:r>
          </w:p>
        </w:tc>
        <w:tc>
          <w:tcPr>
            <w:tcW w:type="dxa" w:w="2952"/>
          </w:tcPr>
          <w:p>
            <w:pPr>
              <w:spacing w:after="20" w:before="20" w:line="254" w:lineRule="auto"/>
              <w:jc w:val="center"/>
            </w:pPr>
            <w:r>
              <w:rPr>
                <w:b/>
                <w:sz w:val="16"/>
              </w:rPr>
              <w:t>26</w:t>
            </w:r>
          </w:p>
        </w:tc>
      </w:tr>
      <w:tr>
        <w:tc>
          <w:tcPr>
            <w:tcW w:type="dxa" w:w="3341"/>
            <w:shd w:val="clear" w:color="auto" w:fill="F2F5F9"/>
          </w:tcPr>
          <w:p>
            <w:pPr>
              <w:spacing w:after="20" w:before="20" w:line="254" w:lineRule="auto"/>
              <w:jc w:val="left"/>
            </w:pPr>
            <w:r>
              <w:rPr>
                <w:sz w:val="16"/>
              </w:rPr>
              <w:t>Segmented dataset columns</w:t>
            </w:r>
          </w:p>
        </w:tc>
        <w:tc>
          <w:tcPr>
            <w:tcW w:type="dxa" w:w="3024"/>
            <w:shd w:val="clear" w:color="auto" w:fill="F2F5F9"/>
          </w:tcPr>
          <w:p>
            <w:pPr>
              <w:spacing w:after="20" w:before="20" w:line="254" w:lineRule="auto"/>
              <w:jc w:val="center"/>
            </w:pPr>
            <w:r>
              <w:rPr>
                <w:sz w:val="16"/>
              </w:rPr>
              <w:t>25</w:t>
            </w:r>
          </w:p>
        </w:tc>
        <w:tc>
          <w:tcPr>
            <w:tcW w:type="dxa" w:w="2952"/>
            <w:shd w:val="clear" w:color="auto" w:fill="F2F5F9"/>
          </w:tcPr>
          <w:p>
            <w:pPr>
              <w:spacing w:after="20" w:before="20" w:line="254" w:lineRule="auto"/>
              <w:jc w:val="center"/>
            </w:pPr>
            <w:r>
              <w:rPr>
                <w:b/>
                <w:sz w:val="16"/>
              </w:rPr>
              <w:t>31</w:t>
            </w:r>
          </w:p>
        </w:tc>
      </w:tr>
      <w:tr>
        <w:tc>
          <w:tcPr>
            <w:tcW w:type="dxa" w:w="3341"/>
          </w:tcPr>
          <w:p>
            <w:pPr>
              <w:spacing w:after="20" w:before="20" w:line="254" w:lineRule="auto"/>
              <w:jc w:val="left"/>
            </w:pPr>
            <w:r>
              <w:rPr>
                <w:sz w:val="16"/>
              </w:rPr>
              <w:t>Engineered features in the pipeline</w:t>
            </w:r>
          </w:p>
        </w:tc>
        <w:tc>
          <w:tcPr>
            <w:tcW w:type="dxa" w:w="3024"/>
          </w:tcPr>
          <w:p>
            <w:pPr>
              <w:spacing w:after="20" w:before="20" w:line="254" w:lineRule="auto"/>
              <w:jc w:val="center"/>
            </w:pPr>
            <w:r>
              <w:rPr>
                <w:sz w:val="16"/>
              </w:rPr>
              <w:t>1 of 7</w:t>
            </w:r>
          </w:p>
        </w:tc>
        <w:tc>
          <w:tcPr>
            <w:tcW w:type="dxa" w:w="2952"/>
          </w:tcPr>
          <w:p>
            <w:pPr>
              <w:spacing w:after="20" w:before="20" w:line="254" w:lineRule="auto"/>
              <w:jc w:val="left"/>
            </w:pPr>
            <w:r>
              <w:rPr>
                <w:b/>
                <w:sz w:val="16"/>
              </w:rPr>
              <w:t>6 of 7</w:t>
            </w:r>
            <w:r>
              <w:rPr>
                <w:sz w:val="16"/>
              </w:rPr>
              <w:t xml:space="preserve"> (duplicate flag excluded)</w:t>
            </w:r>
          </w:p>
        </w:tc>
      </w:tr>
      <w:tr>
        <w:tc>
          <w:tcPr>
            <w:tcW w:type="dxa" w:w="3341"/>
            <w:shd w:val="clear" w:color="auto" w:fill="F2F5F9"/>
          </w:tcPr>
          <w:p>
            <w:pPr>
              <w:spacing w:after="20" w:before="20" w:line="254" w:lineRule="auto"/>
              <w:jc w:val="left"/>
            </w:pPr>
            <w:r>
              <w:rPr>
                <w:sz w:val="16"/>
              </w:rPr>
              <w:t>Leaked target information in the matrix</w:t>
            </w:r>
          </w:p>
        </w:tc>
        <w:tc>
          <w:tcPr>
            <w:tcW w:type="dxa" w:w="3024"/>
            <w:shd w:val="clear" w:color="auto" w:fill="F2F5F9"/>
          </w:tcPr>
          <w:p>
            <w:pPr>
              <w:spacing w:after="20" w:before="20" w:line="254" w:lineRule="auto"/>
              <w:jc w:val="center"/>
            </w:pPr>
            <w:r>
              <w:rPr>
                <w:b/>
                <w:sz w:val="16"/>
              </w:rPr>
              <w:t>Yes</w:t>
            </w:r>
            <w:r>
              <w:rPr>
                <w:sz w:val="16"/>
              </w:rPr>
              <w:t xml:space="preserve"> (</w:t>
            </w:r>
            <w:r>
              <w:rPr>
                <w:rFonts w:ascii="Consolas" w:hAnsi="Consolas" w:eastAsia="Consolas"/>
                <w:color w:val="8A2C1F"/>
                <w:sz w:val="15"/>
              </w:rPr>
              <w:t>CustomerSegment</w:t>
            </w:r>
            <w:r>
              <w:rPr>
                <w:sz w:val="16"/>
              </w:rPr>
              <w:t>)</w:t>
            </w:r>
          </w:p>
        </w:tc>
        <w:tc>
          <w:tcPr>
            <w:tcW w:type="dxa" w:w="2952"/>
            <w:shd w:val="clear" w:color="auto" w:fill="F2F5F9"/>
          </w:tcPr>
          <w:p>
            <w:pPr>
              <w:spacing w:after="20" w:before="20" w:line="254" w:lineRule="auto"/>
              <w:jc w:val="center"/>
            </w:pPr>
            <w:r>
              <w:rPr>
                <w:b/>
                <w:sz w:val="16"/>
              </w:rPr>
              <w:t>No</w:t>
            </w:r>
          </w:p>
        </w:tc>
      </w:tr>
      <w:tr>
        <w:tc>
          <w:tcPr>
            <w:tcW w:type="dxa" w:w="3341"/>
          </w:tcPr>
          <w:p>
            <w:pPr>
              <w:spacing w:after="20" w:before="20" w:line="254" w:lineRule="auto"/>
              <w:jc w:val="left"/>
            </w:pPr>
            <w:r>
              <w:rPr>
                <w:sz w:val="16"/>
              </w:rPr>
              <w:t>Identical duplicate columns in the matrix</w:t>
            </w:r>
          </w:p>
        </w:tc>
        <w:tc>
          <w:tcPr>
            <w:tcW w:type="dxa" w:w="3024"/>
          </w:tcPr>
          <w:p>
            <w:pPr>
              <w:spacing w:after="20" w:before="20" w:line="254" w:lineRule="auto"/>
              <w:jc w:val="center"/>
            </w:pPr>
            <w:r>
              <w:rPr>
                <w:sz w:val="16"/>
              </w:rPr>
              <w:t>—</w:t>
            </w:r>
          </w:p>
        </w:tc>
        <w:tc>
          <w:tcPr>
            <w:tcW w:type="dxa" w:w="2952"/>
          </w:tcPr>
          <w:p>
            <w:pPr>
              <w:spacing w:after="20" w:before="20" w:line="254" w:lineRule="auto"/>
              <w:jc w:val="center"/>
            </w:pPr>
            <w:r>
              <w:rPr>
                <w:b/>
                <w:sz w:val="16"/>
              </w:rPr>
              <w:t>None</w:t>
            </w:r>
            <w:r>
              <w:rPr>
                <w:sz w:val="16"/>
              </w:rPr>
              <w:t xml:space="preserve"> (</w:t>
            </w:r>
            <w:r>
              <w:rPr>
                <w:rFonts w:ascii="Consolas" w:hAnsi="Consolas" w:eastAsia="Consolas"/>
                <w:color w:val="8A2C1F"/>
                <w:sz w:val="15"/>
              </w:rPr>
              <w:t>ContractRiskFlag</w:t>
            </w:r>
            <w:r>
              <w:rPr>
                <w:sz w:val="16"/>
              </w:rPr>
              <w:t xml:space="preserve"> removed)</w:t>
            </w:r>
          </w:p>
        </w:tc>
      </w:tr>
      <w:tr>
        <w:tc>
          <w:tcPr>
            <w:tcW w:type="dxa" w:w="3341"/>
            <w:shd w:val="clear" w:color="auto" w:fill="F2F5F9"/>
          </w:tcPr>
          <w:p>
            <w:pPr>
              <w:spacing w:after="20" w:before="20" w:line="254" w:lineRule="auto"/>
              <w:jc w:val="left"/>
            </w:pPr>
            <w:r>
              <w:rPr>
                <w:sz w:val="16"/>
              </w:rPr>
              <w:t>Segment names derived from</w:t>
            </w:r>
          </w:p>
        </w:tc>
        <w:tc>
          <w:tcPr>
            <w:tcW w:type="dxa" w:w="3024"/>
            <w:shd w:val="clear" w:color="auto" w:fill="F2F5F9"/>
          </w:tcPr>
          <w:p>
            <w:pPr>
              <w:spacing w:after="20" w:before="20" w:line="254" w:lineRule="auto"/>
              <w:jc w:val="center"/>
            </w:pPr>
            <w:r>
              <w:rPr>
                <w:sz w:val="16"/>
              </w:rPr>
              <w:t>observed churn rate</w:t>
            </w:r>
          </w:p>
        </w:tc>
        <w:tc>
          <w:tcPr>
            <w:tcW w:type="dxa" w:w="2952"/>
            <w:shd w:val="clear" w:color="auto" w:fill="F2F5F9"/>
          </w:tcPr>
          <w:p>
            <w:pPr>
              <w:spacing w:after="20" w:before="20" w:line="254" w:lineRule="auto"/>
              <w:jc w:val="center"/>
            </w:pPr>
            <w:r>
              <w:rPr>
                <w:b/>
                <w:sz w:val="16"/>
              </w:rPr>
              <w:t>centroid geometry</w:t>
            </w:r>
          </w:p>
        </w:tc>
      </w:tr>
      <w:tr>
        <w:tc>
          <w:tcPr>
            <w:tcW w:type="dxa" w:w="3341"/>
          </w:tcPr>
          <w:p>
            <w:pPr>
              <w:spacing w:after="20" w:before="20" w:line="254" w:lineRule="auto"/>
              <w:jc w:val="left"/>
            </w:pPr>
            <w:r>
              <w:rPr>
                <w:sz w:val="16"/>
              </w:rPr>
              <w:t>Duplicate segment names</w:t>
            </w:r>
          </w:p>
        </w:tc>
        <w:tc>
          <w:tcPr>
            <w:tcW w:type="dxa" w:w="3024"/>
          </w:tcPr>
          <w:p>
            <w:pPr>
              <w:spacing w:after="20" w:before="20" w:line="254" w:lineRule="auto"/>
              <w:jc w:val="center"/>
            </w:pPr>
            <w:r>
              <w:rPr>
                <w:b/>
                <w:sz w:val="16"/>
              </w:rPr>
              <w:t>Yes</w:t>
            </w:r>
            <w:r>
              <w:rPr>
                <w:sz w:val="16"/>
              </w:rPr>
              <w:t xml:space="preserve"> ("New &amp; Fragile 2")</w:t>
            </w:r>
          </w:p>
        </w:tc>
        <w:tc>
          <w:tcPr>
            <w:tcW w:type="dxa" w:w="2952"/>
          </w:tcPr>
          <w:p>
            <w:pPr>
              <w:spacing w:after="20" w:before="20" w:line="254" w:lineRule="auto"/>
              <w:jc w:val="center"/>
            </w:pPr>
            <w:r>
              <w:rPr>
                <w:b/>
                <w:sz w:val="16"/>
              </w:rPr>
              <w:t>No</w:t>
            </w:r>
          </w:p>
        </w:tc>
      </w:tr>
      <w:tr>
        <w:tc>
          <w:tcPr>
            <w:tcW w:type="dxa" w:w="3341"/>
            <w:shd w:val="clear" w:color="auto" w:fill="F2F5F9"/>
          </w:tcPr>
          <w:p>
            <w:pPr>
              <w:spacing w:after="20" w:before="20" w:line="254" w:lineRule="auto"/>
              <w:jc w:val="left"/>
            </w:pPr>
            <w:r>
              <w:rPr>
                <w:sz w:val="16"/>
              </w:rPr>
              <w:t>Phase 6 vs phase 7 SVM accuracy</w:t>
            </w:r>
          </w:p>
        </w:tc>
        <w:tc>
          <w:tcPr>
            <w:tcW w:type="dxa" w:w="3024"/>
            <w:shd w:val="clear" w:color="auto" w:fill="F2F5F9"/>
          </w:tcPr>
          <w:p>
            <w:pPr>
              <w:spacing w:after="20" w:before="20" w:line="254" w:lineRule="auto"/>
              <w:jc w:val="center"/>
            </w:pPr>
            <w:r>
              <w:rPr>
                <w:sz w:val="16"/>
              </w:rPr>
              <w:t>0.7601 vs 0.7835</w:t>
            </w:r>
          </w:p>
        </w:tc>
        <w:tc>
          <w:tcPr>
            <w:tcW w:type="dxa" w:w="2952"/>
            <w:shd w:val="clear" w:color="auto" w:fill="F2F5F9"/>
          </w:tcPr>
          <w:p>
            <w:pPr>
              <w:spacing w:after="20" w:before="20" w:line="254" w:lineRule="auto"/>
              <w:jc w:val="center"/>
            </w:pPr>
            <w:r>
              <w:rPr>
                <w:b/>
                <w:sz w:val="16"/>
              </w:rPr>
              <w:t>0.7850 vs 0.7850</w:t>
            </w:r>
          </w:p>
        </w:tc>
      </w:tr>
      <w:tr>
        <w:tc>
          <w:tcPr>
            <w:tcW w:type="dxa" w:w="3341"/>
          </w:tcPr>
          <w:p>
            <w:pPr>
              <w:spacing w:after="20" w:before="20" w:line="254" w:lineRule="auto"/>
              <w:jc w:val="left"/>
            </w:pPr>
            <w:r>
              <w:rPr>
                <w:sz w:val="16"/>
              </w:rPr>
              <w:t>Distinct phase 9 driver categories</w:t>
            </w:r>
          </w:p>
        </w:tc>
        <w:tc>
          <w:tcPr>
            <w:tcW w:type="dxa" w:w="3024"/>
          </w:tcPr>
          <w:p>
            <w:pPr>
              <w:spacing w:after="20" w:before="20" w:line="254" w:lineRule="auto"/>
              <w:jc w:val="center"/>
            </w:pPr>
            <w:r>
              <w:rPr>
                <w:sz w:val="16"/>
              </w:rPr>
              <w:t>1</w:t>
            </w:r>
          </w:p>
        </w:tc>
        <w:tc>
          <w:tcPr>
            <w:tcW w:type="dxa" w:w="2952"/>
          </w:tcPr>
          <w:p>
            <w:pPr>
              <w:spacing w:after="20" w:before="20" w:line="254" w:lineRule="auto"/>
              <w:jc w:val="center"/>
            </w:pPr>
            <w:r>
              <w:rPr>
                <w:b/>
                <w:sz w:val="16"/>
              </w:rPr>
              <w:t>5</w:t>
            </w:r>
          </w:p>
        </w:tc>
      </w:tr>
      <w:tr>
        <w:tc>
          <w:tcPr>
            <w:tcW w:type="dxa" w:w="3341"/>
            <w:shd w:val="clear" w:color="auto" w:fill="F2F5F9"/>
          </w:tcPr>
          <w:p>
            <w:pPr>
              <w:spacing w:after="20" w:before="20" w:line="254" w:lineRule="auto"/>
              <w:jc w:val="left"/>
            </w:pPr>
            <w:r>
              <w:rPr>
                <w:sz w:val="16"/>
              </w:rPr>
              <w:t>Serving-time segment assignment</w:t>
            </w:r>
          </w:p>
        </w:tc>
        <w:tc>
          <w:tcPr>
            <w:tcW w:type="dxa" w:w="3024"/>
            <w:shd w:val="clear" w:color="auto" w:fill="F2F5F9"/>
          </w:tcPr>
          <w:p>
            <w:pPr>
              <w:spacing w:after="20" w:before="20" w:line="254" w:lineRule="auto"/>
              <w:jc w:val="left"/>
            </w:pPr>
            <w:r>
              <w:rPr>
                <w:sz w:val="16"/>
              </w:rPr>
              <w:t>hand-written threshold rule</w:t>
            </w:r>
          </w:p>
        </w:tc>
        <w:tc>
          <w:tcPr>
            <w:tcW w:type="dxa" w:w="2952"/>
            <w:shd w:val="clear" w:color="auto" w:fill="F2F5F9"/>
          </w:tcPr>
          <w:p>
            <w:pPr>
              <w:spacing w:after="20" w:before="20" w:line="254" w:lineRule="auto"/>
              <w:jc w:val="center"/>
            </w:pPr>
            <w:r>
              <w:rPr>
                <w:b/>
                <w:sz w:val="16"/>
              </w:rPr>
              <w:t>trained K-Means centroids</w:t>
            </w:r>
          </w:p>
        </w:tc>
      </w:tr>
      <w:tr>
        <w:tc>
          <w:tcPr>
            <w:tcW w:type="dxa" w:w="3341"/>
          </w:tcPr>
          <w:p>
            <w:pPr>
              <w:spacing w:after="20" w:before="20" w:line="254" w:lineRule="auto"/>
              <w:jc w:val="left"/>
            </w:pPr>
            <w:r>
              <w:rPr>
                <w:sz w:val="16"/>
              </w:rPr>
              <w:t>Phase 9 recall constant</w:t>
            </w:r>
          </w:p>
        </w:tc>
        <w:tc>
          <w:tcPr>
            <w:tcW w:type="dxa" w:w="3024"/>
          </w:tcPr>
          <w:p>
            <w:pPr>
              <w:spacing w:after="20" w:before="20" w:line="254" w:lineRule="auto"/>
              <w:jc w:val="center"/>
            </w:pPr>
            <w:r>
              <w:rPr>
                <w:sz w:val="16"/>
              </w:rPr>
              <w:t xml:space="preserve">hard-coded </w:t>
            </w:r>
            <w:r>
              <w:rPr>
                <w:rFonts w:ascii="Consolas" w:hAnsi="Consolas" w:eastAsia="Consolas"/>
                <w:color w:val="8A2C1F"/>
                <w:sz w:val="15"/>
              </w:rPr>
              <w:t>0.7766</w:t>
            </w:r>
          </w:p>
        </w:tc>
        <w:tc>
          <w:tcPr>
            <w:tcW w:type="dxa" w:w="2952"/>
          </w:tcPr>
          <w:p>
            <w:pPr>
              <w:spacing w:after="20" w:before="20" w:line="254" w:lineRule="auto"/>
              <w:jc w:val="center"/>
            </w:pPr>
            <w:r>
              <w:rPr>
                <w:b/>
                <w:sz w:val="16"/>
              </w:rPr>
              <w:t>read from phase 7</w:t>
            </w:r>
          </w:p>
        </w:tc>
      </w:tr>
      <w:tr>
        <w:tc>
          <w:tcPr>
            <w:tcW w:type="dxa" w:w="3341"/>
            <w:shd w:val="clear" w:color="auto" w:fill="F2F5F9"/>
          </w:tcPr>
          <w:p>
            <w:pPr>
              <w:spacing w:after="20" w:before="20" w:line="254" w:lineRule="auto"/>
              <w:jc w:val="left"/>
            </w:pPr>
            <w:r>
              <w:rPr>
                <w:sz w:val="16"/>
              </w:rPr>
              <w:t>Persisted artefacts</w:t>
            </w:r>
          </w:p>
        </w:tc>
        <w:tc>
          <w:tcPr>
            <w:tcW w:type="dxa" w:w="3024"/>
            <w:shd w:val="clear" w:color="auto" w:fill="F2F5F9"/>
          </w:tcPr>
          <w:p>
            <w:pPr>
              <w:spacing w:after="20" w:before="20" w:line="254" w:lineRule="auto"/>
              <w:jc w:val="center"/>
            </w:pPr>
            <w:r>
              <w:rPr>
                <w:sz w:val="16"/>
              </w:rPr>
              <w:t>3</w:t>
            </w:r>
          </w:p>
        </w:tc>
        <w:tc>
          <w:tcPr>
            <w:tcW w:type="dxa" w:w="2952"/>
            <w:shd w:val="clear" w:color="auto" w:fill="F2F5F9"/>
          </w:tcPr>
          <w:p>
            <w:pPr>
              <w:spacing w:after="20" w:before="20" w:line="254" w:lineRule="auto"/>
              <w:jc w:val="center"/>
            </w:pPr>
            <w:r>
              <w:rPr>
                <w:b/>
                <w:sz w:val="16"/>
              </w:rPr>
              <w:t>5</w:t>
            </w:r>
          </w:p>
        </w:tc>
      </w:tr>
      <w:tr>
        <w:tc>
          <w:tcPr>
            <w:tcW w:type="dxa" w:w="3341"/>
          </w:tcPr>
          <w:p>
            <w:pPr>
              <w:spacing w:after="20" w:before="20" w:line="254" w:lineRule="auto"/>
              <w:jc w:val="left"/>
            </w:pPr>
            <w:r>
              <w:rPr>
                <w:sz w:val="16"/>
              </w:rPr>
              <w:t>Environment</w:t>
            </w:r>
          </w:p>
        </w:tc>
        <w:tc>
          <w:tcPr>
            <w:tcW w:type="dxa" w:w="3024"/>
          </w:tcPr>
          <w:p>
            <w:pPr>
              <w:spacing w:after="20" w:before="20" w:line="254" w:lineRule="auto"/>
              <w:jc w:val="center"/>
            </w:pPr>
            <w:r>
              <w:rPr>
                <w:sz w:val="16"/>
              </w:rPr>
              <w:t>none; xgboost missing</w:t>
            </w:r>
          </w:p>
        </w:tc>
        <w:tc>
          <w:tcPr>
            <w:tcW w:type="dxa" w:w="2952"/>
          </w:tcPr>
          <w:p>
            <w:pPr>
              <w:spacing w:after="20" w:before="20" w:line="254" w:lineRule="auto"/>
              <w:jc w:val="center"/>
            </w:pPr>
            <w:r>
              <w:rPr>
                <w:b/>
                <w:sz w:val="16"/>
              </w:rPr>
              <w:t xml:space="preserve">dedicated </w:t>
            </w:r>
            <w:r>
              <w:rPr>
                <w:rFonts w:ascii="Consolas" w:hAnsi="Consolas" w:eastAsia="Consolas"/>
                <w:b/>
                <w:color w:val="8A2C1F"/>
                <w:sz w:val="15"/>
              </w:rPr>
              <w:t>.venv</w:t>
            </w:r>
          </w:p>
        </w:tc>
      </w:tr>
    </w:tbl>
    <w:p>
      <w:pPr>
        <w:spacing w:before="60" w:after="200"/>
        <w:jc w:val="center"/>
      </w:pPr>
      <w:r>
        <w:rPr>
          <w:i/>
          <w:color w:val="555F6B"/>
          <w:sz w:val="17"/>
        </w:rPr>
        <w:t>Table 48: Structural differences between the delivered and the final codebase.</w:t>
      </w:r>
    </w:p>
    <w:p>
      <w:pPr>
        <w:keepNext/>
        <w:spacing w:before="240" w:after="80"/>
      </w:pPr>
      <w:r>
        <w:rPr>
          <w:b/>
          <w:color w:val="1B355E"/>
          <w:sz w:val="25"/>
        </w:rPr>
        <w:t>21.3  Effect on the business layer</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476"/>
        <w:gridCol w:w="1900"/>
        <w:gridCol w:w="2044"/>
        <w:gridCol w:w="2894"/>
      </w:tblGrid>
      <w:tr>
        <w:tc>
          <w:tcPr>
            <w:tcW w:type="dxa" w:w="2477"/>
            <w:shd w:val="clear" w:color="auto" w:fill="1B355E"/>
          </w:tcPr>
          <w:p>
            <w:pPr>
              <w:spacing w:after="20" w:before="20"/>
              <w:jc w:val="center"/>
            </w:pPr>
            <w:r>
              <w:rPr>
                <w:b/>
                <w:color w:val="FFFFFF"/>
                <w:sz w:val="16"/>
              </w:rPr>
              <w:t>Quantity</w:t>
            </w:r>
          </w:p>
        </w:tc>
        <w:tc>
          <w:tcPr>
            <w:tcW w:type="dxa" w:w="1901"/>
            <w:shd w:val="clear" w:color="auto" w:fill="1B355E"/>
          </w:tcPr>
          <w:p>
            <w:pPr>
              <w:spacing w:after="20" w:before="20"/>
              <w:jc w:val="center"/>
            </w:pPr>
            <w:r>
              <w:rPr>
                <w:b/>
                <w:color w:val="FFFFFF"/>
                <w:sz w:val="16"/>
              </w:rPr>
              <w:t>Delivered</w:t>
            </w:r>
          </w:p>
        </w:tc>
        <w:tc>
          <w:tcPr>
            <w:tcW w:type="dxa" w:w="2045"/>
            <w:shd w:val="clear" w:color="auto" w:fill="1B355E"/>
          </w:tcPr>
          <w:p>
            <w:pPr>
              <w:spacing w:after="20" w:before="20"/>
              <w:jc w:val="center"/>
            </w:pPr>
            <w:r>
              <w:rPr>
                <w:b/>
                <w:color w:val="FFFFFF"/>
                <w:sz w:val="16"/>
              </w:rPr>
              <w:t>Final</w:t>
            </w:r>
          </w:p>
        </w:tc>
        <w:tc>
          <w:tcPr>
            <w:tcW w:type="dxa" w:w="2894"/>
            <w:shd w:val="clear" w:color="auto" w:fill="1B355E"/>
          </w:tcPr>
          <w:p>
            <w:pPr>
              <w:spacing w:after="20" w:before="20"/>
              <w:jc w:val="center"/>
            </w:pPr>
            <w:r>
              <w:rPr>
                <w:b/>
                <w:color w:val="FFFFFF"/>
                <w:sz w:val="16"/>
              </w:rPr>
              <w:t>Why it changed</w:t>
            </w:r>
          </w:p>
        </w:tc>
      </w:tr>
      <w:tr>
        <w:tc>
          <w:tcPr>
            <w:tcW w:type="dxa" w:w="2477"/>
          </w:tcPr>
          <w:p>
            <w:pPr>
              <w:spacing w:after="20" w:before="20" w:line="254" w:lineRule="auto"/>
              <w:jc w:val="left"/>
            </w:pPr>
            <w:r>
              <w:rPr>
                <w:sz w:val="16"/>
              </w:rPr>
              <w:t>Model recall used</w:t>
            </w:r>
          </w:p>
        </w:tc>
        <w:tc>
          <w:tcPr>
            <w:tcW w:type="dxa" w:w="1901"/>
          </w:tcPr>
          <w:p>
            <w:pPr>
              <w:spacing w:after="20" w:before="20" w:line="254" w:lineRule="auto"/>
              <w:jc w:val="center"/>
            </w:pPr>
            <w:r>
              <w:rPr>
                <w:sz w:val="16"/>
              </w:rPr>
              <w:t>0.7766 (hard-coded)</w:t>
            </w:r>
          </w:p>
        </w:tc>
        <w:tc>
          <w:tcPr>
            <w:tcW w:type="dxa" w:w="2045"/>
          </w:tcPr>
          <w:p>
            <w:pPr>
              <w:spacing w:after="20" w:before="20" w:line="254" w:lineRule="auto"/>
              <w:jc w:val="center"/>
            </w:pPr>
            <w:r>
              <w:rPr>
                <w:b/>
                <w:sz w:val="16"/>
              </w:rPr>
              <w:t>0.8262 (read)</w:t>
            </w:r>
          </w:p>
        </w:tc>
        <w:tc>
          <w:tcPr>
            <w:tcW w:type="dxa" w:w="2894"/>
          </w:tcPr>
          <w:p>
            <w:pPr>
              <w:spacing w:after="20" w:before="20" w:line="254" w:lineRule="auto"/>
              <w:jc w:val="left"/>
            </w:pPr>
            <w:r>
              <w:rPr>
                <w:sz w:val="16"/>
              </w:rPr>
              <w:t>larger hold-out and a better model</w:t>
            </w:r>
          </w:p>
        </w:tc>
      </w:tr>
      <w:tr>
        <w:tc>
          <w:tcPr>
            <w:tcW w:type="dxa" w:w="2477"/>
            <w:shd w:val="clear" w:color="auto" w:fill="F2F5F9"/>
          </w:tcPr>
          <w:p>
            <w:pPr>
              <w:spacing w:after="20" w:before="20" w:line="254" w:lineRule="auto"/>
              <w:jc w:val="left"/>
            </w:pPr>
            <w:r>
              <w:rPr>
                <w:sz w:val="16"/>
              </w:rPr>
              <w:t>High-risk customers targeted</w:t>
            </w:r>
          </w:p>
        </w:tc>
        <w:tc>
          <w:tcPr>
            <w:tcW w:type="dxa" w:w="1901"/>
            <w:shd w:val="clear" w:color="auto" w:fill="F2F5F9"/>
          </w:tcPr>
          <w:p>
            <w:pPr>
              <w:spacing w:after="20" w:before="20" w:line="254" w:lineRule="auto"/>
              <w:jc w:val="center"/>
            </w:pPr>
            <w:r>
              <w:rPr>
                <w:sz w:val="16"/>
              </w:rPr>
              <w:t>723</w:t>
            </w:r>
          </w:p>
        </w:tc>
        <w:tc>
          <w:tcPr>
            <w:tcW w:type="dxa" w:w="2045"/>
            <w:shd w:val="clear" w:color="auto" w:fill="F2F5F9"/>
          </w:tcPr>
          <w:p>
            <w:pPr>
              <w:spacing w:after="20" w:before="20" w:line="254" w:lineRule="auto"/>
              <w:jc w:val="center"/>
            </w:pPr>
            <w:r>
              <w:rPr>
                <w:sz w:val="16"/>
              </w:rPr>
              <w:t>724</w:t>
            </w:r>
          </w:p>
        </w:tc>
        <w:tc>
          <w:tcPr>
            <w:tcW w:type="dxa" w:w="2894"/>
            <w:shd w:val="clear" w:color="auto" w:fill="F2F5F9"/>
          </w:tcPr>
          <w:p>
            <w:pPr>
              <w:spacing w:after="20" w:before="20" w:line="254" w:lineRule="auto"/>
              <w:jc w:val="center"/>
            </w:pPr>
            <w:r>
              <w:rPr>
                <w:sz w:val="16"/>
              </w:rPr>
              <w:t>recalibrated model</w:t>
            </w:r>
          </w:p>
        </w:tc>
      </w:tr>
      <w:tr>
        <w:tc>
          <w:tcPr>
            <w:tcW w:type="dxa" w:w="2477"/>
          </w:tcPr>
          <w:p>
            <w:pPr>
              <w:spacing w:after="20" w:before="20" w:line="254" w:lineRule="auto"/>
              <w:jc w:val="left"/>
            </w:pPr>
            <w:r>
              <w:rPr>
                <w:sz w:val="16"/>
              </w:rPr>
              <w:t>Total revenue at risk</w:t>
            </w:r>
          </w:p>
        </w:tc>
        <w:tc>
          <w:tcPr>
            <w:tcW w:type="dxa" w:w="1901"/>
          </w:tcPr>
          <w:p>
            <w:pPr>
              <w:spacing w:after="20" w:before="20" w:line="254" w:lineRule="auto"/>
              <w:jc w:val="center"/>
            </w:pPr>
            <w:r>
              <w:rPr>
                <w:sz w:val="16"/>
              </w:rPr>
              <w:t>$490 176.80</w:t>
            </w:r>
          </w:p>
        </w:tc>
        <w:tc>
          <w:tcPr>
            <w:tcW w:type="dxa" w:w="2045"/>
          </w:tcPr>
          <w:p>
            <w:pPr>
              <w:spacing w:after="20" w:before="20" w:line="254" w:lineRule="auto"/>
              <w:jc w:val="center"/>
            </w:pPr>
            <w:r>
              <w:rPr>
                <w:sz w:val="16"/>
              </w:rPr>
              <w:t>$491 820.10</w:t>
            </w:r>
          </w:p>
        </w:tc>
        <w:tc>
          <w:tcPr>
            <w:tcW w:type="dxa" w:w="2894"/>
          </w:tcPr>
          <w:p>
            <w:pPr>
              <w:spacing w:after="20" w:before="20" w:line="254" w:lineRule="auto"/>
              <w:jc w:val="center"/>
            </w:pPr>
            <w:r>
              <w:rPr>
                <w:sz w:val="16"/>
              </w:rPr>
              <w:t>one more customer</w:t>
            </w:r>
          </w:p>
        </w:tc>
      </w:tr>
      <w:tr>
        <w:tc>
          <w:tcPr>
            <w:tcW w:type="dxa" w:w="2477"/>
            <w:shd w:val="clear" w:color="auto" w:fill="F2F5F9"/>
          </w:tcPr>
          <w:p>
            <w:pPr>
              <w:spacing w:after="20" w:before="20" w:line="254" w:lineRule="auto"/>
              <w:jc w:val="left"/>
            </w:pPr>
            <w:r>
              <w:rPr>
                <w:sz w:val="16"/>
              </w:rPr>
              <w:t>Expected saved revenue</w:t>
            </w:r>
          </w:p>
        </w:tc>
        <w:tc>
          <w:tcPr>
            <w:tcW w:type="dxa" w:w="1901"/>
            <w:shd w:val="clear" w:color="auto" w:fill="F2F5F9"/>
          </w:tcPr>
          <w:p>
            <w:pPr>
              <w:spacing w:after="20" w:before="20" w:line="254" w:lineRule="auto"/>
              <w:jc w:val="center"/>
            </w:pPr>
            <w:r>
              <w:rPr>
                <w:sz w:val="16"/>
              </w:rPr>
              <w:t>$147 053.04</w:t>
            </w:r>
          </w:p>
        </w:tc>
        <w:tc>
          <w:tcPr>
            <w:tcW w:type="dxa" w:w="2045"/>
            <w:shd w:val="clear" w:color="auto" w:fill="F2F5F9"/>
          </w:tcPr>
          <w:p>
            <w:pPr>
              <w:spacing w:after="20" w:before="20" w:line="254" w:lineRule="auto"/>
              <w:jc w:val="center"/>
            </w:pPr>
            <w:r>
              <w:rPr>
                <w:sz w:val="16"/>
              </w:rPr>
              <w:t>$147 546.03</w:t>
            </w:r>
          </w:p>
        </w:tc>
        <w:tc>
          <w:tcPr>
            <w:tcW w:type="dxa" w:w="2894"/>
            <w:shd w:val="clear" w:color="auto" w:fill="F2F5F9"/>
          </w:tcPr>
          <w:p>
            <w:pPr>
              <w:spacing w:after="20" w:before="20" w:line="254" w:lineRule="auto"/>
              <w:jc w:val="center"/>
            </w:pPr>
            <w:r>
              <w:rPr>
                <w:sz w:val="16"/>
              </w:rPr>
              <w:t>proportional</w:t>
            </w:r>
          </w:p>
        </w:tc>
      </w:tr>
      <w:tr>
        <w:tc>
          <w:tcPr>
            <w:tcW w:type="dxa" w:w="2477"/>
          </w:tcPr>
          <w:p>
            <w:pPr>
              <w:spacing w:after="20" w:before="20" w:line="254" w:lineRule="auto"/>
              <w:jc w:val="left"/>
            </w:pPr>
            <w:r>
              <w:rPr>
                <w:sz w:val="16"/>
              </w:rPr>
              <w:t>Campaign cost</w:t>
            </w:r>
          </w:p>
        </w:tc>
        <w:tc>
          <w:tcPr>
            <w:tcW w:type="dxa" w:w="1901"/>
          </w:tcPr>
          <w:p>
            <w:pPr>
              <w:spacing w:after="20" w:before="20" w:line="254" w:lineRule="auto"/>
              <w:jc w:val="center"/>
            </w:pPr>
            <w:r>
              <w:rPr>
                <w:sz w:val="16"/>
              </w:rPr>
              <w:t>$10 845.00</w:t>
            </w:r>
          </w:p>
        </w:tc>
        <w:tc>
          <w:tcPr>
            <w:tcW w:type="dxa" w:w="2045"/>
          </w:tcPr>
          <w:p>
            <w:pPr>
              <w:spacing w:after="20" w:before="20" w:line="254" w:lineRule="auto"/>
              <w:jc w:val="center"/>
            </w:pPr>
            <w:r>
              <w:rPr>
                <w:sz w:val="16"/>
              </w:rPr>
              <w:t>$10 860.00</w:t>
            </w:r>
          </w:p>
        </w:tc>
        <w:tc>
          <w:tcPr>
            <w:tcW w:type="dxa" w:w="2894"/>
          </w:tcPr>
          <w:p>
            <w:pPr>
              <w:spacing w:after="20" w:before="20" w:line="254" w:lineRule="auto"/>
              <w:jc w:val="center"/>
            </w:pPr>
            <w:r>
              <w:rPr>
                <w:sz w:val="16"/>
              </w:rPr>
              <w:t>1 more offer</w:t>
            </w:r>
          </w:p>
        </w:tc>
      </w:tr>
      <w:tr>
        <w:tc>
          <w:tcPr>
            <w:tcW w:type="dxa" w:w="2477"/>
            <w:shd w:val="clear" w:color="auto" w:fill="F2F5F9"/>
          </w:tcPr>
          <w:p>
            <w:pPr>
              <w:spacing w:after="20" w:before="20" w:line="254" w:lineRule="auto"/>
              <w:jc w:val="left"/>
            </w:pPr>
            <w:r>
              <w:rPr>
                <w:sz w:val="16"/>
              </w:rPr>
              <w:t>Net benefit</w:t>
            </w:r>
          </w:p>
        </w:tc>
        <w:tc>
          <w:tcPr>
            <w:tcW w:type="dxa" w:w="1901"/>
            <w:shd w:val="clear" w:color="auto" w:fill="F2F5F9"/>
          </w:tcPr>
          <w:p>
            <w:pPr>
              <w:spacing w:after="20" w:before="20" w:line="254" w:lineRule="auto"/>
              <w:jc w:val="center"/>
            </w:pPr>
            <w:r>
              <w:rPr>
                <w:sz w:val="16"/>
              </w:rPr>
              <w:t>$136 208.04</w:t>
            </w:r>
          </w:p>
        </w:tc>
        <w:tc>
          <w:tcPr>
            <w:tcW w:type="dxa" w:w="2045"/>
            <w:shd w:val="clear" w:color="auto" w:fill="F2F5F9"/>
          </w:tcPr>
          <w:p>
            <w:pPr>
              <w:spacing w:after="20" w:before="20" w:line="254" w:lineRule="auto"/>
              <w:jc w:val="center"/>
            </w:pPr>
            <w:r>
              <w:rPr>
                <w:b/>
                <w:sz w:val="16"/>
              </w:rPr>
              <w:t>$136 686.03</w:t>
            </w:r>
          </w:p>
        </w:tc>
        <w:tc>
          <w:tcPr>
            <w:tcW w:type="dxa" w:w="2894"/>
            <w:shd w:val="clear" w:color="auto" w:fill="F2F5F9"/>
          </w:tcPr>
          <w:p>
            <w:pPr>
              <w:spacing w:after="20" w:before="20" w:line="254" w:lineRule="auto"/>
              <w:jc w:val="center"/>
            </w:pPr>
            <w:r>
              <w:rPr>
                <w:sz w:val="16"/>
              </w:rPr>
              <w:t>+$477.99</w:t>
            </w:r>
          </w:p>
        </w:tc>
      </w:tr>
      <w:tr>
        <w:tc>
          <w:tcPr>
            <w:tcW w:type="dxa" w:w="2477"/>
          </w:tcPr>
          <w:p>
            <w:pPr>
              <w:spacing w:after="20" w:before="20" w:line="254" w:lineRule="auto"/>
              <w:jc w:val="left"/>
            </w:pPr>
            <w:r>
              <w:rPr>
                <w:sz w:val="16"/>
              </w:rPr>
              <w:t>Retention ROI</w:t>
            </w:r>
          </w:p>
        </w:tc>
        <w:tc>
          <w:tcPr>
            <w:tcW w:type="dxa" w:w="1901"/>
          </w:tcPr>
          <w:p>
            <w:pPr>
              <w:spacing w:after="20" w:before="20" w:line="254" w:lineRule="auto"/>
              <w:jc w:val="center"/>
            </w:pPr>
            <w:r>
              <w:rPr>
                <w:sz w:val="16"/>
              </w:rPr>
              <w:t>1 255.95 %</w:t>
            </w:r>
          </w:p>
        </w:tc>
        <w:tc>
          <w:tcPr>
            <w:tcW w:type="dxa" w:w="2045"/>
          </w:tcPr>
          <w:p>
            <w:pPr>
              <w:spacing w:after="20" w:before="20" w:line="254" w:lineRule="auto"/>
              <w:jc w:val="center"/>
            </w:pPr>
            <w:r>
              <w:rPr>
                <w:sz w:val="16"/>
              </w:rPr>
              <w:t>1 258.62 %</w:t>
            </w:r>
          </w:p>
        </w:tc>
        <w:tc>
          <w:tcPr>
            <w:tcW w:type="dxa" w:w="2894"/>
          </w:tcPr>
          <w:p>
            <w:pPr>
              <w:spacing w:after="20" w:before="20" w:line="254" w:lineRule="auto"/>
              <w:jc w:val="center"/>
            </w:pPr>
            <w:r>
              <w:rPr>
                <w:sz w:val="16"/>
              </w:rPr>
              <w:t>materially unchanged</w:t>
            </w:r>
          </w:p>
        </w:tc>
      </w:tr>
      <w:tr>
        <w:tc>
          <w:tcPr>
            <w:tcW w:type="dxa" w:w="2477"/>
            <w:shd w:val="clear" w:color="auto" w:fill="F2F5F9"/>
          </w:tcPr>
          <w:p>
            <w:pPr>
              <w:spacing w:after="20" w:before="20" w:line="254" w:lineRule="auto"/>
              <w:jc w:val="left"/>
            </w:pPr>
            <w:r>
              <w:rPr>
                <w:sz w:val="16"/>
              </w:rPr>
              <w:t>Projected churn rate</w:t>
            </w:r>
          </w:p>
        </w:tc>
        <w:tc>
          <w:tcPr>
            <w:tcW w:type="dxa" w:w="1901"/>
            <w:shd w:val="clear" w:color="auto" w:fill="F2F5F9"/>
          </w:tcPr>
          <w:p>
            <w:pPr>
              <w:spacing w:after="20" w:before="20" w:line="254" w:lineRule="auto"/>
              <w:jc w:val="center"/>
            </w:pPr>
            <w:r>
              <w:rPr>
                <w:sz w:val="16"/>
              </w:rPr>
              <w:t>20.36 %</w:t>
            </w:r>
          </w:p>
        </w:tc>
        <w:tc>
          <w:tcPr>
            <w:tcW w:type="dxa" w:w="2045"/>
            <w:shd w:val="clear" w:color="auto" w:fill="F2F5F9"/>
          </w:tcPr>
          <w:p>
            <w:pPr>
              <w:spacing w:after="20" w:before="20" w:line="254" w:lineRule="auto"/>
              <w:jc w:val="center"/>
            </w:pPr>
            <w:r>
              <w:rPr>
                <w:b/>
                <w:sz w:val="16"/>
              </w:rPr>
              <w:t>19.96 %</w:t>
            </w:r>
          </w:p>
        </w:tc>
        <w:tc>
          <w:tcPr>
            <w:tcW w:type="dxa" w:w="2894"/>
            <w:shd w:val="clear" w:color="auto" w:fill="F2F5F9"/>
          </w:tcPr>
          <w:p>
            <w:pPr>
              <w:spacing w:after="20" w:before="20" w:line="254" w:lineRule="auto"/>
              <w:jc w:val="left"/>
            </w:pPr>
            <w:r>
              <w:rPr>
                <w:sz w:val="16"/>
              </w:rPr>
              <w:t>higher recall retains more customers</w:t>
            </w:r>
          </w:p>
        </w:tc>
      </w:tr>
      <w:tr>
        <w:tc>
          <w:tcPr>
            <w:tcW w:type="dxa" w:w="2477"/>
          </w:tcPr>
          <w:p>
            <w:pPr>
              <w:spacing w:after="20" w:before="20" w:line="254" w:lineRule="auto"/>
              <w:jc w:val="left"/>
            </w:pPr>
            <w:r>
              <w:rPr>
                <w:sz w:val="16"/>
              </w:rPr>
              <w:t>Driver / action categories</w:t>
            </w:r>
          </w:p>
        </w:tc>
        <w:tc>
          <w:tcPr>
            <w:tcW w:type="dxa" w:w="1901"/>
          </w:tcPr>
          <w:p>
            <w:pPr>
              <w:spacing w:after="20" w:before="20" w:line="254" w:lineRule="auto"/>
              <w:jc w:val="center"/>
            </w:pPr>
            <w:r>
              <w:rPr>
                <w:sz w:val="16"/>
              </w:rPr>
              <w:t>1</w:t>
            </w:r>
          </w:p>
        </w:tc>
        <w:tc>
          <w:tcPr>
            <w:tcW w:type="dxa" w:w="2045"/>
          </w:tcPr>
          <w:p>
            <w:pPr>
              <w:spacing w:after="20" w:before="20" w:line="254" w:lineRule="auto"/>
              <w:jc w:val="center"/>
            </w:pPr>
            <w:r>
              <w:rPr>
                <w:b/>
                <w:sz w:val="16"/>
              </w:rPr>
              <w:t>5</w:t>
            </w:r>
          </w:p>
        </w:tc>
        <w:tc>
          <w:tcPr>
            <w:tcW w:type="dxa" w:w="2894"/>
          </w:tcPr>
          <w:p>
            <w:pPr>
              <w:spacing w:after="20" w:before="20" w:line="254" w:lineRule="auto"/>
              <w:jc w:val="center"/>
            </w:pPr>
            <w:r>
              <w:rPr>
                <w:sz w:val="16"/>
              </w:rPr>
              <w:t>issue 6</w:t>
            </w:r>
          </w:p>
        </w:tc>
      </w:tr>
    </w:tbl>
    <w:p>
      <w:pPr>
        <w:spacing w:before="60" w:after="200"/>
        <w:jc w:val="center"/>
      </w:pPr>
      <w:r>
        <w:rPr>
          <w:i/>
          <w:color w:val="555F6B"/>
          <w:sz w:val="17"/>
        </w:rPr>
        <w:t>Table 49: Business-layer outputs as delivered and after both remediation rounds.</w:t>
      </w:r>
    </w:p>
    <w:p>
      <w:pPr>
        <w:spacing w:after="120" w:before="0"/>
        <w:jc w:val="both"/>
      </w:pPr>
      <w:r>
        <w:rPr>
          <w:b w:val="0"/>
          <w:i w:val="0"/>
          <w:sz w:val="21"/>
        </w:rPr>
        <w:t>The headline business numbers moved only slightly, which is the expected result and worth stating plainly. The targeting threshold and the campaign assumptions did not change, so the population selected is nearly the same. What did change is the standing of the figures: recall is now read from a measurement on a 1 409-record hold-out rather than hard-coded from a 353-record one, so the same conclusion now rests on four times the evidence and cannot silently go stale.</w:t>
      </w:r>
    </w:p>
    <w:p>
      <w:pPr>
        <w:keepNext/>
        <w:spacing w:before="240" w:after="80"/>
      </w:pPr>
      <w:r>
        <w:rPr>
          <w:b/>
          <w:color w:val="1B355E"/>
          <w:sz w:val="25"/>
        </w:rPr>
        <w:t>21.4  What the results support</w:t>
      </w:r>
    </w:p>
    <w:p>
      <w:pPr>
        <w:spacing w:after="120" w:before="0"/>
        <w:jc w:val="both"/>
      </w:pPr>
      <w:r>
        <w:rPr>
          <w:b w:val="0"/>
          <w:i w:val="0"/>
          <w:sz w:val="21"/>
        </w:rPr>
        <w:t>The strongest claim the evidence supports is not the headline ROC-AUC. It is that three methodologically independent analyses agree about what drives churn in this base: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44"/>
        <w:gridCol w:w="2332"/>
        <w:gridCol w:w="2520"/>
        <w:gridCol w:w="2419"/>
      </w:tblGrid>
      <w:tr>
        <w:tc>
          <w:tcPr>
            <w:tcW w:type="dxa" w:w="2045"/>
            <w:shd w:val="clear" w:color="auto" w:fill="1B355E"/>
          </w:tcPr>
          <w:p>
            <w:pPr>
              <w:spacing w:after="20" w:before="20"/>
              <w:jc w:val="center"/>
            </w:pPr>
            <w:r>
              <w:rPr>
                <w:b/>
                <w:color w:val="FFFFFF"/>
                <w:sz w:val="16"/>
              </w:rPr>
              <w:t>Finding</w:t>
            </w:r>
          </w:p>
        </w:tc>
        <w:tc>
          <w:tcPr>
            <w:tcW w:type="dxa" w:w="2333"/>
            <w:shd w:val="clear" w:color="auto" w:fill="1B355E"/>
          </w:tcPr>
          <w:p>
            <w:pPr>
              <w:spacing w:after="20" w:before="20"/>
              <w:jc w:val="center"/>
            </w:pPr>
            <w:r>
              <w:rPr>
                <w:b/>
                <w:color w:val="FFFFFF"/>
                <w:sz w:val="16"/>
              </w:rPr>
              <w:t>Exploratory analysis</w:t>
            </w:r>
          </w:p>
        </w:tc>
        <w:tc>
          <w:tcPr>
            <w:tcW w:type="dxa" w:w="2520"/>
            <w:shd w:val="clear" w:color="auto" w:fill="1B355E"/>
          </w:tcPr>
          <w:p>
            <w:pPr>
              <w:spacing w:after="20" w:before="20"/>
              <w:jc w:val="center"/>
            </w:pPr>
            <w:r>
              <w:rPr>
                <w:b/>
                <w:color w:val="FFFFFF"/>
                <w:sz w:val="16"/>
              </w:rPr>
              <w:t>Segmentation</w:t>
            </w:r>
          </w:p>
        </w:tc>
        <w:tc>
          <w:tcPr>
            <w:tcW w:type="dxa" w:w="2419"/>
            <w:shd w:val="clear" w:color="auto" w:fill="1B355E"/>
          </w:tcPr>
          <w:p>
            <w:pPr>
              <w:spacing w:after="20" w:before="20"/>
              <w:jc w:val="center"/>
            </w:pPr>
            <w:r>
              <w:rPr>
                <w:b/>
                <w:color w:val="FFFFFF"/>
                <w:sz w:val="16"/>
              </w:rPr>
              <w:t>Model importance</w:t>
            </w:r>
          </w:p>
        </w:tc>
      </w:tr>
      <w:tr>
        <w:tc>
          <w:tcPr>
            <w:tcW w:type="dxa" w:w="2045"/>
          </w:tcPr>
          <w:p>
            <w:pPr>
              <w:spacing w:after="20" w:before="20" w:line="254" w:lineRule="auto"/>
              <w:jc w:val="left"/>
            </w:pPr>
            <w:r>
              <w:rPr>
                <w:sz w:val="16"/>
              </w:rPr>
              <w:t>Contract type dominates</w:t>
            </w:r>
          </w:p>
        </w:tc>
        <w:tc>
          <w:tcPr>
            <w:tcW w:type="dxa" w:w="2333"/>
          </w:tcPr>
          <w:p>
            <w:pPr>
              <w:spacing w:after="20" w:before="20" w:line="254" w:lineRule="auto"/>
              <w:jc w:val="left"/>
            </w:pPr>
            <w:r>
              <w:rPr>
                <w:sz w:val="16"/>
              </w:rPr>
              <w:t>42.71 % against 2.83 % across contract levels</w:t>
            </w:r>
          </w:p>
        </w:tc>
        <w:tc>
          <w:tcPr>
            <w:tcW w:type="dxa" w:w="2520"/>
          </w:tcPr>
          <w:p>
            <w:pPr>
              <w:spacing w:after="20" w:before="20" w:line="254" w:lineRule="auto"/>
              <w:jc w:val="left"/>
            </w:pPr>
            <w:r>
              <w:rPr>
                <w:sz w:val="16"/>
              </w:rPr>
              <w:t>implicit in segment separation</w:t>
            </w:r>
          </w:p>
        </w:tc>
        <w:tc>
          <w:tcPr>
            <w:tcW w:type="dxa" w:w="2419"/>
          </w:tcPr>
          <w:p>
            <w:pPr>
              <w:spacing w:after="20" w:before="20" w:line="254" w:lineRule="auto"/>
              <w:jc w:val="center"/>
            </w:pPr>
            <w:r>
              <w:rPr>
                <w:rFonts w:ascii="Consolas" w:hAnsi="Consolas" w:eastAsia="Consolas"/>
                <w:color w:val="8A2C1F"/>
                <w:sz w:val="15"/>
              </w:rPr>
              <w:t>Contract_Month-to-month</w:t>
            </w:r>
            <w:r>
              <w:rPr>
                <w:sz w:val="16"/>
              </w:rPr>
              <w:t xml:space="preserve"> ranks 1st (0.2465)</w:t>
            </w:r>
          </w:p>
        </w:tc>
      </w:tr>
      <w:tr>
        <w:tc>
          <w:tcPr>
            <w:tcW w:type="dxa" w:w="2045"/>
            <w:shd w:val="clear" w:color="auto" w:fill="F2F5F9"/>
          </w:tcPr>
          <w:p>
            <w:pPr>
              <w:spacing w:after="20" w:before="20" w:line="254" w:lineRule="auto"/>
              <w:jc w:val="left"/>
            </w:pPr>
            <w:r>
              <w:rPr>
                <w:sz w:val="16"/>
              </w:rPr>
              <w:t>Early tenure carries the highest risk</w:t>
            </w:r>
          </w:p>
        </w:tc>
        <w:tc>
          <w:tcPr>
            <w:tcW w:type="dxa" w:w="2333"/>
            <w:shd w:val="clear" w:color="auto" w:fill="F2F5F9"/>
          </w:tcPr>
          <w:p>
            <w:pPr>
              <w:spacing w:after="20" w:before="20" w:line="254" w:lineRule="auto"/>
              <w:jc w:val="center"/>
            </w:pPr>
            <w:r>
              <w:rPr>
                <w:sz w:val="16"/>
              </w:rPr>
              <w:t>52.94 % in months 0-6</w:t>
            </w:r>
          </w:p>
        </w:tc>
        <w:tc>
          <w:tcPr>
            <w:tcW w:type="dxa" w:w="2520"/>
            <w:shd w:val="clear" w:color="auto" w:fill="F2F5F9"/>
          </w:tcPr>
          <w:p>
            <w:pPr>
              <w:spacing w:after="20" w:before="20" w:line="254" w:lineRule="auto"/>
              <w:jc w:val="left"/>
            </w:pPr>
            <w:r>
              <w:rPr>
                <w:sz w:val="16"/>
              </w:rPr>
              <w:t>both new segments average under 16 months</w:t>
            </w:r>
          </w:p>
        </w:tc>
        <w:tc>
          <w:tcPr>
            <w:tcW w:type="dxa" w:w="2419"/>
            <w:shd w:val="clear" w:color="auto" w:fill="F2F5F9"/>
          </w:tcPr>
          <w:p>
            <w:pPr>
              <w:spacing w:after="20" w:before="20" w:line="254" w:lineRule="auto"/>
              <w:jc w:val="center"/>
            </w:pPr>
            <w:r>
              <w:rPr>
                <w:rFonts w:ascii="Consolas" w:hAnsi="Consolas" w:eastAsia="Consolas"/>
                <w:color w:val="8A2C1F"/>
                <w:sz w:val="15"/>
              </w:rPr>
              <w:t>TenureBand_0-6</w:t>
            </w:r>
            <w:r>
              <w:rPr>
                <w:sz w:val="16"/>
              </w:rPr>
              <w:t xml:space="preserve"> ranks 5th</w:t>
            </w:r>
          </w:p>
        </w:tc>
      </w:tr>
      <w:tr>
        <w:tc>
          <w:tcPr>
            <w:tcW w:type="dxa" w:w="2045"/>
          </w:tcPr>
          <w:p>
            <w:pPr>
              <w:spacing w:after="20" w:before="20" w:line="254" w:lineRule="auto"/>
              <w:jc w:val="left"/>
            </w:pPr>
            <w:r>
              <w:rPr>
                <w:sz w:val="16"/>
              </w:rPr>
              <w:t>Product bundling protects</w:t>
            </w:r>
          </w:p>
        </w:tc>
        <w:tc>
          <w:tcPr>
            <w:tcW w:type="dxa" w:w="2333"/>
          </w:tcPr>
          <w:p>
            <w:pPr>
              <w:spacing w:after="20" w:before="20" w:line="254" w:lineRule="auto"/>
              <w:jc w:val="left"/>
            </w:pPr>
            <w:r>
              <w:rPr>
                <w:sz w:val="16"/>
              </w:rPr>
              <w:t>5.28 % churn at six add-ons</w:t>
            </w:r>
          </w:p>
        </w:tc>
        <w:tc>
          <w:tcPr>
            <w:tcW w:type="dxa" w:w="2520"/>
          </w:tcPr>
          <w:p>
            <w:pPr>
              <w:spacing w:after="20" w:before="20" w:line="254" w:lineRule="auto"/>
              <w:jc w:val="left"/>
            </w:pPr>
            <w:r>
              <w:rPr>
                <w:sz w:val="16"/>
              </w:rPr>
              <w:t>loyal segment averages 4.16 services</w:t>
            </w:r>
          </w:p>
        </w:tc>
        <w:tc>
          <w:tcPr>
            <w:tcW w:type="dxa" w:w="2419"/>
          </w:tcPr>
          <w:p>
            <w:pPr>
              <w:spacing w:after="20" w:before="20" w:line="254" w:lineRule="auto"/>
              <w:jc w:val="left"/>
            </w:pPr>
            <w:r>
              <w:rPr>
                <w:sz w:val="16"/>
              </w:rPr>
              <w:t>streaming and support features throughout the top 20</w:t>
            </w:r>
          </w:p>
        </w:tc>
      </w:tr>
      <w:tr>
        <w:tc>
          <w:tcPr>
            <w:tcW w:type="dxa" w:w="2045"/>
            <w:shd w:val="clear" w:color="auto" w:fill="F2F5F9"/>
          </w:tcPr>
          <w:p>
            <w:pPr>
              <w:spacing w:after="20" w:before="20" w:line="254" w:lineRule="auto"/>
              <w:jc w:val="left"/>
            </w:pPr>
            <w:r>
              <w:rPr>
                <w:sz w:val="16"/>
              </w:rPr>
              <w:t>Manual payment raises risk</w:t>
            </w:r>
          </w:p>
        </w:tc>
        <w:tc>
          <w:tcPr>
            <w:tcW w:type="dxa" w:w="2333"/>
            <w:shd w:val="clear" w:color="auto" w:fill="F2F5F9"/>
          </w:tcPr>
          <w:p>
            <w:pPr>
              <w:spacing w:after="20" w:before="20" w:line="254" w:lineRule="auto"/>
              <w:jc w:val="left"/>
            </w:pPr>
            <w:r>
              <w:rPr>
                <w:sz w:val="16"/>
              </w:rPr>
              <w:t>45.29 % on electronic check</w:t>
            </w:r>
          </w:p>
        </w:tc>
        <w:tc>
          <w:tcPr>
            <w:tcW w:type="dxa" w:w="2520"/>
            <w:shd w:val="clear" w:color="auto" w:fill="F2F5F9"/>
          </w:tcPr>
          <w:p>
            <w:pPr>
              <w:spacing w:after="20" w:before="20" w:line="254" w:lineRule="auto"/>
              <w:jc w:val="left"/>
            </w:pPr>
            <w:r>
              <w:rPr>
                <w:sz w:val="16"/>
              </w:rPr>
              <w:t>not a clustering dimension</w:t>
            </w:r>
          </w:p>
        </w:tc>
        <w:tc>
          <w:tcPr>
            <w:tcW w:type="dxa" w:w="2419"/>
            <w:shd w:val="clear" w:color="auto" w:fill="F2F5F9"/>
          </w:tcPr>
          <w:p>
            <w:pPr>
              <w:spacing w:after="20" w:before="20" w:line="254" w:lineRule="auto"/>
              <w:jc w:val="left"/>
            </w:pPr>
            <w:r>
              <w:rPr>
                <w:sz w:val="16"/>
              </w:rPr>
              <w:t>ranks 7th; top lever for 333 targets</w:t>
            </w:r>
          </w:p>
        </w:tc>
      </w:tr>
      <w:tr>
        <w:tc>
          <w:tcPr>
            <w:tcW w:type="dxa" w:w="2045"/>
          </w:tcPr>
          <w:p>
            <w:pPr>
              <w:spacing w:after="20" w:before="20" w:line="254" w:lineRule="auto"/>
              <w:jc w:val="left"/>
            </w:pPr>
            <w:r>
              <w:rPr>
                <w:sz w:val="16"/>
              </w:rPr>
              <w:t>Demographics do not matter</w:t>
            </w:r>
          </w:p>
        </w:tc>
        <w:tc>
          <w:tcPr>
            <w:tcW w:type="dxa" w:w="2333"/>
          </w:tcPr>
          <w:p>
            <w:pPr>
              <w:spacing w:after="20" w:before="20" w:line="254" w:lineRule="auto"/>
              <w:jc w:val="center"/>
            </w:pPr>
            <w:r>
              <w:rPr>
                <w:sz w:val="16"/>
              </w:rPr>
              <w:t>0.76 pp gender gap</w:t>
            </w:r>
          </w:p>
        </w:tc>
        <w:tc>
          <w:tcPr>
            <w:tcW w:type="dxa" w:w="2520"/>
          </w:tcPr>
          <w:p>
            <w:pPr>
              <w:spacing w:after="20" w:before="20" w:line="254" w:lineRule="auto"/>
              <w:jc w:val="left"/>
            </w:pPr>
            <w:r>
              <w:rPr>
                <w:sz w:val="16"/>
              </w:rPr>
              <w:t>not a clustering dimension</w:t>
            </w:r>
          </w:p>
        </w:tc>
        <w:tc>
          <w:tcPr>
            <w:tcW w:type="dxa" w:w="2419"/>
          </w:tcPr>
          <w:p>
            <w:pPr>
              <w:spacing w:after="20" w:before="20" w:line="254" w:lineRule="auto"/>
              <w:jc w:val="left"/>
            </w:pPr>
            <w:r>
              <w:rPr>
                <w:sz w:val="16"/>
              </w:rPr>
              <w:t>gender absent from the top 20</w:t>
            </w:r>
          </w:p>
        </w:tc>
      </w:tr>
    </w:tbl>
    <w:p>
      <w:pPr>
        <w:spacing w:before="60" w:after="200"/>
        <w:jc w:val="center"/>
      </w:pPr>
      <w:r>
        <w:rPr>
          <w:i/>
          <w:color w:val="555F6B"/>
          <w:sz w:val="17"/>
        </w:rPr>
        <w:t>Table 50: Convergence of three independent methods on the same five findings.</w:t>
      </w:r>
    </w:p>
    <w:p>
      <w:pPr>
        <w:spacing w:after="120" w:before="0"/>
        <w:jc w:val="both"/>
      </w:pPr>
      <w:r>
        <w:rPr>
          <w:b w:val="0"/>
          <w:i w:val="0"/>
          <w:sz w:val="21"/>
        </w:rPr>
        <w:t>This convergence is what allows the retention strategy to be trusted. Any one method could be misled by an artefact of its own assumptions; three methods with different assumptions reaching the same conclusions is a far stronger position. It is also a conclusion that could not be drawn confidently before remediation, because the model's second-ranked feature was a label derived from the outcome.</w:t>
      </w:r>
    </w:p>
    <w:p>
      <w:pPr>
        <w:keepNext/>
        <w:spacing w:before="240" w:after="80"/>
      </w:pPr>
      <w:r>
        <w:rPr>
          <w:b/>
          <w:color w:val="1B355E"/>
          <w:sz w:val="25"/>
        </w:rPr>
        <w:t>21.5  Performance in context</w:t>
      </w:r>
    </w:p>
    <w:p>
      <w:pPr>
        <w:spacing w:after="120" w:before="0"/>
        <w:jc w:val="both"/>
      </w:pPr>
      <w:r>
        <w:rPr>
          <w:b w:val="0"/>
          <w:i w:val="0"/>
          <w:sz w:val="21"/>
        </w:rPr>
        <w:t>A test ROC-AUC of 0.8472 sits at the upper end of the 0.83 to 0.86 band that published studies report on this dataset. The ceiling is a property of the data rather than the algorithm: the Telco dataset contains no behavioural telemetry — no support-ticket history, no network-quality measurements, no usage trend, no competitor pricing. It describes what a customer buys, not how they experience the service. That the leading models all converge just below 0.85 suggests the feature set, not the modelling, is the binding constraint.</w:t>
      </w:r>
    </w:p>
    <w:p>
      <w:r>
        <w:br w:type="page"/>
      </w:r>
    </w:p>
    <w:p>
      <w:pPr>
        <w:spacing w:after="0"/>
      </w:pPr>
    </w:p>
    <w:p>
      <w:pPr>
        <w:keepNext/>
        <w:spacing w:before="80" w:after="40"/>
        <w:pBdr>
          <w:bottom w:val="single" w:sz="10" w:space="3" w:color="1B355E"/>
        </w:pBdr>
      </w:pPr>
      <w:r>
        <w:rPr>
          <w:b/>
          <w:color w:val="1B355E"/>
          <w:sz w:val="30"/>
        </w:rPr>
        <w:t>22.  Second-Round Corrections</w:t>
      </w:r>
    </w:p>
    <w:p>
      <w:pPr>
        <w:spacing w:after="40"/>
      </w:pPr>
    </w:p>
    <w:p>
      <w:pPr>
        <w:spacing w:after="120" w:before="0"/>
        <w:jc w:val="both"/>
      </w:pPr>
      <w:r>
        <w:rPr>
          <w:b w:val="0"/>
          <w:i w:val="0"/>
          <w:sz w:val="21"/>
        </w:rPr>
        <w:t>The first revision of this report documented three issues outside the original remediation scope. All three have now been corrected. The affected phases (6, 7, 8 and 9) were re-executed in the virtual environment, and every result elsewhere in this report reflects the corrected code.</w:t>
      </w:r>
    </w:p>
    <w:p>
      <w:pPr>
        <w:keepNext/>
        <w:spacing w:before="120" w:after="60"/>
        <w:jc w:val="center"/>
      </w:pPr>
      <w:r>
        <w:drawing>
          <wp:inline xmlns:a="http://schemas.openxmlformats.org/drawingml/2006/main" xmlns:pic="http://schemas.openxmlformats.org/drawingml/2006/picture">
            <wp:extent cx="5870448" cy="3608785"/>
            <wp:docPr id="32" name="Picture 32"/>
            <wp:cNvGraphicFramePr>
              <a:graphicFrameLocks noChangeAspect="1"/>
            </wp:cNvGraphicFramePr>
            <a:graphic>
              <a:graphicData uri="http://schemas.openxmlformats.org/drawingml/2006/picture">
                <pic:pic>
                  <pic:nvPicPr>
                    <pic:cNvPr id="0" name="v2_fig4_round2.png"/>
                    <pic:cNvPicPr/>
                  </pic:nvPicPr>
                  <pic:blipFill>
                    <a:blip r:embed="rId40"/>
                    <a:stretch>
                      <a:fillRect/>
                    </a:stretch>
                  </pic:blipFill>
                  <pic:spPr>
                    <a:xfrm>
                      <a:off x="0" y="0"/>
                      <a:ext cx="5870448" cy="3608785"/>
                    </a:xfrm>
                    <a:prstGeom prst="rect"/>
                  </pic:spPr>
                </pic:pic>
              </a:graphicData>
            </a:graphic>
          </wp:inline>
        </w:drawing>
      </w:r>
    </w:p>
    <w:p>
      <w:pPr>
        <w:spacing w:before="60" w:after="220"/>
        <w:jc w:val="center"/>
      </w:pPr>
      <w:r>
        <w:rPr>
          <w:i/>
          <w:color w:val="555F6B"/>
          <w:sz w:val="17"/>
        </w:rPr>
        <w:t>Figure 32: The three second-round issues and their corrections, side by side.</w:t>
      </w:r>
    </w:p>
    <w:p>
      <w:pPr>
        <w:keepNext/>
        <w:spacing w:before="240" w:after="80"/>
      </w:pPr>
      <w:r>
        <w:rPr>
          <w:b/>
          <w:color w:val="1B355E"/>
          <w:sz w:val="25"/>
        </w:rPr>
        <w:t>22.1  SVM metric discrepancy between phases 6 and 7</w:t>
      </w:r>
    </w:p>
    <w:p>
      <w:pPr>
        <w:spacing w:after="120" w:before="0"/>
        <w:jc w:val="both"/>
      </w:pPr>
      <w:r>
        <w:rPr>
          <w:b/>
          <w:i w:val="0"/>
          <w:sz w:val="21"/>
        </w:rPr>
        <w:t>The issue.</w:t>
      </w:r>
      <w:r>
        <w:rPr>
          <w:b w:val="0"/>
          <w:i w:val="0"/>
          <w:sz w:val="21"/>
        </w:rPr>
        <w:t xml:space="preserve"> The two phases published different numbers for the same model on the same split: phase 6 reported the SVM at 0.7601 accuracy and 0.7834 recall, phase 7 at 0.7835 and 0.6150. Phase 6 labelled with </w:t>
      </w:r>
      <w:r>
        <w:rPr>
          <w:rFonts w:ascii="Consolas" w:hAnsi="Consolas" w:eastAsia="Consolas"/>
          <w:b w:val="0"/>
          <w:i w:val="0"/>
          <w:color w:val="8A2C1F"/>
          <w:sz w:val="19"/>
        </w:rPr>
        <w:t>pipeline.predict()</w:t>
      </w:r>
      <w:r>
        <w:rPr>
          <w:b w:val="0"/>
          <w:i w:val="0"/>
          <w:sz w:val="21"/>
        </w:rPr>
        <w:t xml:space="preserve">; phase 7 thresholded </w:t>
      </w:r>
      <w:r>
        <w:rPr>
          <w:rFonts w:ascii="Consolas" w:hAnsi="Consolas" w:eastAsia="Consolas"/>
          <w:b w:val="0"/>
          <w:i w:val="0"/>
          <w:color w:val="8A2C1F"/>
          <w:sz w:val="19"/>
        </w:rPr>
        <w:t>predict_proba</w:t>
      </w:r>
      <w:r>
        <w:rPr>
          <w:b w:val="0"/>
          <w:i w:val="0"/>
          <w:sz w:val="21"/>
        </w:rPr>
        <w:t xml:space="preserve"> at 0.50. For </w:t>
      </w:r>
      <w:r>
        <w:rPr>
          <w:rFonts w:ascii="Consolas" w:hAnsi="Consolas" w:eastAsia="Consolas"/>
          <w:b w:val="0"/>
          <w:i w:val="0"/>
          <w:color w:val="8A2C1F"/>
          <w:sz w:val="19"/>
        </w:rPr>
        <w:t>SVC</w:t>
      </w:r>
      <w:r>
        <w:rPr>
          <w:b w:val="0"/>
          <w:i w:val="0"/>
          <w:sz w:val="21"/>
        </w:rPr>
        <w:t xml:space="preserve">, </w:t>
      </w:r>
      <w:r>
        <w:rPr>
          <w:rFonts w:ascii="Consolas" w:hAnsi="Consolas" w:eastAsia="Consolas"/>
          <w:b w:val="0"/>
          <w:i w:val="0"/>
          <w:color w:val="8A2C1F"/>
          <w:sz w:val="19"/>
        </w:rPr>
        <w:t>predict()</w:t>
      </w:r>
      <w:r>
        <w:rPr>
          <w:b w:val="0"/>
          <w:i w:val="0"/>
          <w:sz w:val="21"/>
        </w:rPr>
        <w:t xml:space="preserve"> uses the sign of the decision function while </w:t>
      </w:r>
      <w:r>
        <w:rPr>
          <w:rFonts w:ascii="Consolas" w:hAnsi="Consolas" w:eastAsia="Consolas"/>
          <w:b w:val="0"/>
          <w:i w:val="0"/>
          <w:color w:val="8A2C1F"/>
          <w:sz w:val="19"/>
        </w:rPr>
        <w:t>predict_proba</w:t>
      </w:r>
      <w:r>
        <w:rPr>
          <w:b w:val="0"/>
          <w:i w:val="0"/>
          <w:sz w:val="21"/>
        </w:rPr>
        <w:t xml:space="preserve"> uses Platt scaling fitted by internal cross-validation, and scikit-learn documents that the two can disagree. Running both routes on one fitted SVM gave confusion matrices [778, 257, 81, 293] and [874, 161, 144, 230].</w:t>
      </w:r>
    </w:p>
    <w:p>
      <w:pPr>
        <w:spacing w:after="120" w:before="0"/>
        <w:jc w:val="both"/>
      </w:pPr>
      <w:r>
        <w:rPr>
          <w:b/>
          <w:i w:val="0"/>
          <w:sz w:val="21"/>
        </w:rPr>
        <w:t>The correction.</w:t>
      </w:r>
      <w:r>
        <w:rPr>
          <w:b w:val="0"/>
          <w:i w:val="0"/>
          <w:sz w:val="21"/>
        </w:rPr>
        <w:t xml:space="preserve"> Phase 6 now labels predictions the same way phase 7 does, from an explicit constant: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DECISION_THRESHOLD = 0.50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predicted_probabilities = pipeline.predict_proba(X_test)[:, 1]</w:t>
            </w:r>
          </w:p>
          <w:p>
            <w:pPr>
              <w:spacing w:after="0" w:before="0" w:line="240" w:lineRule="auto"/>
            </w:pPr>
            <w:r>
              <w:rPr>
                <w:rFonts w:ascii="Consolas" w:hAnsi="Consolas" w:eastAsia="Consolas"/>
                <w:color w:val="1A232E"/>
                <w:sz w:val="16"/>
              </w:rPr>
              <w:t>predicted_labels = (predicted_probabilities &gt;= DECISION_THRESHOLD).astype(int)</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t>best_predictions = (best_probabilities &gt;= DECISION_THRESHOLD).astype(int)</w:t>
            </w:r>
          </w:p>
        </w:tc>
      </w:tr>
    </w:tbl>
    <w:p>
      <w:pPr>
        <w:spacing w:before="60" w:after="180"/>
        <w:jc w:val="center"/>
      </w:pPr>
      <w:r>
        <w:rPr>
          <w:i/>
          <w:color w:val="555F6B"/>
          <w:sz w:val="17"/>
        </w:rPr>
        <w:t>Listing 27: Both label assignments in phase 6 now use the explicit threshold.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664"/>
        <w:gridCol w:w="1655"/>
        <w:gridCol w:w="1655"/>
        <w:gridCol w:w="1655"/>
        <w:gridCol w:w="1684"/>
      </w:tblGrid>
      <w:tr>
        <w:tc>
          <w:tcPr>
            <w:tcW w:type="dxa" w:w="2664"/>
            <w:shd w:val="clear" w:color="auto" w:fill="1B355E"/>
          </w:tcPr>
          <w:p>
            <w:pPr>
              <w:spacing w:after="20" w:before="20"/>
              <w:jc w:val="center"/>
            </w:pPr>
            <w:r>
              <w:rPr>
                <w:b/>
                <w:color w:val="FFFFFF"/>
                <w:sz w:val="16"/>
              </w:rPr>
              <w:t>Model</w:t>
            </w:r>
          </w:p>
        </w:tc>
        <w:tc>
          <w:tcPr>
            <w:tcW w:type="dxa" w:w="1656"/>
            <w:shd w:val="clear" w:color="auto" w:fill="1B355E"/>
          </w:tcPr>
          <w:p>
            <w:pPr>
              <w:spacing w:after="20" w:before="20"/>
              <w:jc w:val="center"/>
            </w:pPr>
            <w:r>
              <w:rPr>
                <w:b/>
                <w:color w:val="FFFFFF"/>
                <w:sz w:val="16"/>
              </w:rPr>
              <w:t>Phase 6 accuracy</w:t>
            </w:r>
          </w:p>
        </w:tc>
        <w:tc>
          <w:tcPr>
            <w:tcW w:type="dxa" w:w="1656"/>
            <w:shd w:val="clear" w:color="auto" w:fill="1B355E"/>
          </w:tcPr>
          <w:p>
            <w:pPr>
              <w:spacing w:after="20" w:before="20"/>
              <w:jc w:val="center"/>
            </w:pPr>
            <w:r>
              <w:rPr>
                <w:b/>
                <w:color w:val="FFFFFF"/>
                <w:sz w:val="16"/>
              </w:rPr>
              <w:t>Phase 7 accuracy</w:t>
            </w:r>
          </w:p>
        </w:tc>
        <w:tc>
          <w:tcPr>
            <w:tcW w:type="dxa" w:w="1656"/>
            <w:shd w:val="clear" w:color="auto" w:fill="1B355E"/>
          </w:tcPr>
          <w:p>
            <w:pPr>
              <w:spacing w:after="20" w:before="20"/>
              <w:jc w:val="center"/>
            </w:pPr>
            <w:r>
              <w:rPr>
                <w:b/>
                <w:color w:val="FFFFFF"/>
                <w:sz w:val="16"/>
              </w:rPr>
              <w:t>Phase 6 recall</w:t>
            </w:r>
          </w:p>
        </w:tc>
        <w:tc>
          <w:tcPr>
            <w:tcW w:type="dxa" w:w="1685"/>
            <w:shd w:val="clear" w:color="auto" w:fill="1B355E"/>
          </w:tcPr>
          <w:p>
            <w:pPr>
              <w:spacing w:after="20" w:before="20"/>
              <w:jc w:val="center"/>
            </w:pPr>
            <w:r>
              <w:rPr>
                <w:b/>
                <w:color w:val="FFFFFF"/>
                <w:sz w:val="16"/>
              </w:rPr>
              <w:t>Phase 7 recall</w:t>
            </w:r>
          </w:p>
        </w:tc>
      </w:tr>
      <w:tr>
        <w:tc>
          <w:tcPr>
            <w:tcW w:type="dxa" w:w="2664"/>
          </w:tcPr>
          <w:p>
            <w:pPr>
              <w:spacing w:after="20" w:before="20" w:line="254" w:lineRule="auto"/>
              <w:jc w:val="left"/>
            </w:pPr>
            <w:r>
              <w:rPr>
                <w:sz w:val="16"/>
              </w:rPr>
              <w:t>Tuned XGBoost</w:t>
            </w:r>
          </w:p>
        </w:tc>
        <w:tc>
          <w:tcPr>
            <w:tcW w:type="dxa" w:w="1656"/>
          </w:tcPr>
          <w:p>
            <w:pPr>
              <w:spacing w:after="20" w:before="20" w:line="254" w:lineRule="auto"/>
              <w:jc w:val="center"/>
            </w:pPr>
            <w:r>
              <w:rPr>
                <w:sz w:val="16"/>
              </w:rPr>
              <w:t>0.7339</w:t>
            </w:r>
          </w:p>
        </w:tc>
        <w:tc>
          <w:tcPr>
            <w:tcW w:type="dxa" w:w="1656"/>
          </w:tcPr>
          <w:p>
            <w:pPr>
              <w:spacing w:after="20" w:before="20" w:line="254" w:lineRule="auto"/>
              <w:jc w:val="center"/>
            </w:pPr>
            <w:r>
              <w:rPr>
                <w:sz w:val="16"/>
              </w:rPr>
              <w:t>0.7339</w:t>
            </w:r>
          </w:p>
        </w:tc>
        <w:tc>
          <w:tcPr>
            <w:tcW w:type="dxa" w:w="1656"/>
          </w:tcPr>
          <w:p>
            <w:pPr>
              <w:spacing w:after="20" w:before="20" w:line="254" w:lineRule="auto"/>
              <w:jc w:val="center"/>
            </w:pPr>
            <w:r>
              <w:rPr>
                <w:sz w:val="16"/>
              </w:rPr>
              <w:t>0.8262</w:t>
            </w:r>
          </w:p>
        </w:tc>
        <w:tc>
          <w:tcPr>
            <w:tcW w:type="dxa" w:w="1685"/>
          </w:tcPr>
          <w:p>
            <w:pPr>
              <w:spacing w:after="20" w:before="20" w:line="254" w:lineRule="auto"/>
              <w:jc w:val="center"/>
            </w:pPr>
            <w:r>
              <w:rPr>
                <w:sz w:val="16"/>
              </w:rPr>
              <w:t>0.8262</w:t>
            </w:r>
          </w:p>
        </w:tc>
      </w:tr>
      <w:tr>
        <w:tc>
          <w:tcPr>
            <w:tcW w:type="dxa" w:w="2664"/>
            <w:shd w:val="clear" w:color="auto" w:fill="F2F5F9"/>
          </w:tcPr>
          <w:p>
            <w:pPr>
              <w:spacing w:after="20" w:before="20" w:line="254" w:lineRule="auto"/>
              <w:jc w:val="left"/>
            </w:pPr>
            <w:r>
              <w:rPr>
                <w:sz w:val="16"/>
              </w:rPr>
              <w:t>Logistic Regression</w:t>
            </w:r>
          </w:p>
        </w:tc>
        <w:tc>
          <w:tcPr>
            <w:tcW w:type="dxa" w:w="1656"/>
            <w:shd w:val="clear" w:color="auto" w:fill="F2F5F9"/>
          </w:tcPr>
          <w:p>
            <w:pPr>
              <w:spacing w:after="20" w:before="20" w:line="254" w:lineRule="auto"/>
              <w:jc w:val="center"/>
            </w:pPr>
            <w:r>
              <w:rPr>
                <w:sz w:val="16"/>
              </w:rPr>
              <w:t>0.7459</w:t>
            </w:r>
          </w:p>
        </w:tc>
        <w:tc>
          <w:tcPr>
            <w:tcW w:type="dxa" w:w="1656"/>
            <w:shd w:val="clear" w:color="auto" w:fill="F2F5F9"/>
          </w:tcPr>
          <w:p>
            <w:pPr>
              <w:spacing w:after="20" w:before="20" w:line="254" w:lineRule="auto"/>
              <w:jc w:val="center"/>
            </w:pPr>
            <w:r>
              <w:rPr>
                <w:sz w:val="16"/>
              </w:rPr>
              <w:t>0.7459</w:t>
            </w:r>
          </w:p>
        </w:tc>
        <w:tc>
          <w:tcPr>
            <w:tcW w:type="dxa" w:w="1656"/>
            <w:shd w:val="clear" w:color="auto" w:fill="F2F5F9"/>
          </w:tcPr>
          <w:p>
            <w:pPr>
              <w:spacing w:after="20" w:before="20" w:line="254" w:lineRule="auto"/>
              <w:jc w:val="center"/>
            </w:pPr>
            <w:r>
              <w:rPr>
                <w:sz w:val="16"/>
              </w:rPr>
              <w:t>0.7914</w:t>
            </w:r>
          </w:p>
        </w:tc>
        <w:tc>
          <w:tcPr>
            <w:tcW w:type="dxa" w:w="1685"/>
            <w:shd w:val="clear" w:color="auto" w:fill="F2F5F9"/>
          </w:tcPr>
          <w:p>
            <w:pPr>
              <w:spacing w:after="20" w:before="20" w:line="254" w:lineRule="auto"/>
              <w:jc w:val="center"/>
            </w:pPr>
            <w:r>
              <w:rPr>
                <w:sz w:val="16"/>
              </w:rPr>
              <w:t>0.7914</w:t>
            </w:r>
          </w:p>
        </w:tc>
      </w:tr>
      <w:tr>
        <w:tc>
          <w:tcPr>
            <w:tcW w:type="dxa" w:w="2664"/>
          </w:tcPr>
          <w:p>
            <w:pPr>
              <w:spacing w:after="20" w:before="20" w:line="254" w:lineRule="auto"/>
              <w:jc w:val="left"/>
            </w:pPr>
            <w:r>
              <w:rPr>
                <w:sz w:val="16"/>
              </w:rPr>
              <w:t>Random Forest</w:t>
            </w:r>
          </w:p>
        </w:tc>
        <w:tc>
          <w:tcPr>
            <w:tcW w:type="dxa" w:w="1656"/>
          </w:tcPr>
          <w:p>
            <w:pPr>
              <w:spacing w:after="20" w:before="20" w:line="254" w:lineRule="auto"/>
              <w:jc w:val="center"/>
            </w:pPr>
            <w:r>
              <w:rPr>
                <w:sz w:val="16"/>
              </w:rPr>
              <w:t>0.7587</w:t>
            </w:r>
          </w:p>
        </w:tc>
        <w:tc>
          <w:tcPr>
            <w:tcW w:type="dxa" w:w="1656"/>
          </w:tcPr>
          <w:p>
            <w:pPr>
              <w:spacing w:after="20" w:before="20" w:line="254" w:lineRule="auto"/>
              <w:jc w:val="center"/>
            </w:pPr>
            <w:r>
              <w:rPr>
                <w:sz w:val="16"/>
              </w:rPr>
              <w:t>0.7587</w:t>
            </w:r>
          </w:p>
        </w:tc>
        <w:tc>
          <w:tcPr>
            <w:tcW w:type="dxa" w:w="1656"/>
          </w:tcPr>
          <w:p>
            <w:pPr>
              <w:spacing w:after="20" w:before="20" w:line="254" w:lineRule="auto"/>
              <w:jc w:val="center"/>
            </w:pPr>
            <w:r>
              <w:rPr>
                <w:sz w:val="16"/>
              </w:rPr>
              <w:t>0.7807</w:t>
            </w:r>
          </w:p>
        </w:tc>
        <w:tc>
          <w:tcPr>
            <w:tcW w:type="dxa" w:w="1685"/>
          </w:tcPr>
          <w:p>
            <w:pPr>
              <w:spacing w:after="20" w:before="20" w:line="254" w:lineRule="auto"/>
              <w:jc w:val="center"/>
            </w:pPr>
            <w:r>
              <w:rPr>
                <w:sz w:val="16"/>
              </w:rPr>
              <w:t>0.7807</w:t>
            </w:r>
          </w:p>
        </w:tc>
      </w:tr>
      <w:tr>
        <w:tc>
          <w:tcPr>
            <w:tcW w:type="dxa" w:w="2664"/>
            <w:shd w:val="clear" w:color="auto" w:fill="F2F5F9"/>
          </w:tcPr>
          <w:p>
            <w:pPr>
              <w:spacing w:after="20" w:before="20" w:line="254" w:lineRule="auto"/>
              <w:jc w:val="left"/>
            </w:pPr>
            <w:r>
              <w:rPr>
                <w:b/>
                <w:sz w:val="16"/>
              </w:rPr>
              <w:t>Support Vector Machine</w:t>
            </w:r>
          </w:p>
        </w:tc>
        <w:tc>
          <w:tcPr>
            <w:tcW w:type="dxa" w:w="1656"/>
            <w:shd w:val="clear" w:color="auto" w:fill="F2F5F9"/>
          </w:tcPr>
          <w:p>
            <w:pPr>
              <w:spacing w:after="20" w:before="20" w:line="254" w:lineRule="auto"/>
              <w:jc w:val="center"/>
            </w:pPr>
            <w:r>
              <w:rPr>
                <w:b/>
                <w:sz w:val="16"/>
              </w:rPr>
              <w:t>0.7850</w:t>
            </w:r>
          </w:p>
        </w:tc>
        <w:tc>
          <w:tcPr>
            <w:tcW w:type="dxa" w:w="1656"/>
            <w:shd w:val="clear" w:color="auto" w:fill="F2F5F9"/>
          </w:tcPr>
          <w:p>
            <w:pPr>
              <w:spacing w:after="20" w:before="20" w:line="254" w:lineRule="auto"/>
              <w:jc w:val="center"/>
            </w:pPr>
            <w:r>
              <w:rPr>
                <w:b/>
                <w:sz w:val="16"/>
              </w:rPr>
              <w:t>0.7850</w:t>
            </w:r>
          </w:p>
        </w:tc>
        <w:tc>
          <w:tcPr>
            <w:tcW w:type="dxa" w:w="1656"/>
            <w:shd w:val="clear" w:color="auto" w:fill="F2F5F9"/>
          </w:tcPr>
          <w:p>
            <w:pPr>
              <w:spacing w:after="20" w:before="20" w:line="254" w:lineRule="auto"/>
              <w:jc w:val="center"/>
            </w:pPr>
            <w:r>
              <w:rPr>
                <w:b/>
                <w:sz w:val="16"/>
              </w:rPr>
              <w:t>0.6070</w:t>
            </w:r>
          </w:p>
        </w:tc>
        <w:tc>
          <w:tcPr>
            <w:tcW w:type="dxa" w:w="1685"/>
            <w:shd w:val="clear" w:color="auto" w:fill="F2F5F9"/>
          </w:tcPr>
          <w:p>
            <w:pPr>
              <w:spacing w:after="20" w:before="20" w:line="254" w:lineRule="auto"/>
              <w:jc w:val="center"/>
            </w:pPr>
            <w:r>
              <w:rPr>
                <w:b/>
                <w:sz w:val="16"/>
              </w:rPr>
              <w:t>0.6070</w:t>
            </w:r>
          </w:p>
        </w:tc>
      </w:tr>
    </w:tbl>
    <w:p>
      <w:pPr>
        <w:spacing w:before="60" w:after="200"/>
        <w:jc w:val="center"/>
      </w:pPr>
      <w:r>
        <w:rPr>
          <w:i/>
          <w:color w:val="555F6B"/>
          <w:sz w:val="17"/>
        </w:rPr>
        <w:t>Table 51: After the correction the two phases agree exactly for every shared model.</w:t>
      </w:r>
    </w:p>
    <w:p>
      <w:pPr>
        <w:spacing w:after="120" w:before="0"/>
        <w:jc w:val="both"/>
      </w:pPr>
      <w:r>
        <w:rPr>
          <w:b/>
          <w:i w:val="0"/>
          <w:sz w:val="21"/>
        </w:rPr>
        <w:t>Verification.</w:t>
      </w:r>
      <w:r>
        <w:rPr>
          <w:b w:val="0"/>
          <w:i w:val="0"/>
          <w:sz w:val="21"/>
        </w:rPr>
        <w:t xml:space="preserve"> No bare </w:t>
      </w:r>
      <w:r>
        <w:rPr>
          <w:rFonts w:ascii="Consolas" w:hAnsi="Consolas" w:eastAsia="Consolas"/>
          <w:b w:val="0"/>
          <w:i w:val="0"/>
          <w:color w:val="8A2C1F"/>
          <w:sz w:val="19"/>
        </w:rPr>
        <w:t>.predict()</w:t>
      </w:r>
      <w:r>
        <w:rPr>
          <w:b w:val="0"/>
          <w:i w:val="0"/>
          <w:sz w:val="21"/>
        </w:rPr>
        <w:t xml:space="preserve"> call remains in phases 6, 7 or 8. The selected model is unaffected: it is XGBoost, for which the two labelling routes were already equivalent.</w:t>
      </w:r>
    </w:p>
    <w:p>
      <w:pPr>
        <w:keepNext/>
        <w:spacing w:before="240" w:after="80"/>
      </w:pPr>
      <w:r>
        <w:rPr>
          <w:b/>
          <w:color w:val="1B355E"/>
          <w:sz w:val="25"/>
        </w:rPr>
        <w:t>22.2  Redundant ContractRiskFlag</w:t>
      </w:r>
    </w:p>
    <w:p>
      <w:pPr>
        <w:spacing w:after="120" w:before="0"/>
        <w:jc w:val="both"/>
      </w:pPr>
      <w:r>
        <w:rPr>
          <w:b/>
          <w:i w:val="0"/>
          <w:sz w:val="21"/>
        </w:rPr>
        <w:t>The issue.</w:t>
      </w:r>
      <w:r>
        <w:rPr>
          <w:b w:val="0"/>
          <w:i w:val="0"/>
          <w:sz w:val="21"/>
        </w:rPr>
        <w:t xml:space="preserve"> </w:t>
      </w:r>
      <w:r>
        <w:rPr>
          <w:rFonts w:ascii="Consolas" w:hAnsi="Consolas" w:eastAsia="Consolas"/>
          <w:b w:val="0"/>
          <w:i w:val="0"/>
          <w:color w:val="8A2C1F"/>
          <w:sz w:val="19"/>
        </w:rPr>
        <w:t>ContractRiskFlag</w:t>
      </w:r>
      <w:r>
        <w:rPr>
          <w:b w:val="0"/>
          <w:i w:val="0"/>
          <w:sz w:val="21"/>
        </w:rPr>
        <w:t xml:space="preserve"> equals Contract == "Month-to-month" for 100 % of rows, and the one-hot encoding of </w:t>
      </w:r>
      <w:r>
        <w:rPr>
          <w:rFonts w:ascii="Consolas" w:hAnsi="Consolas" w:eastAsia="Consolas"/>
          <w:b w:val="0"/>
          <w:i w:val="0"/>
          <w:color w:val="8A2C1F"/>
          <w:sz w:val="19"/>
        </w:rPr>
        <w:t>Contract</w:t>
      </w:r>
      <w:r>
        <w:rPr>
          <w:b w:val="0"/>
          <w:i w:val="0"/>
          <w:sz w:val="21"/>
        </w:rPr>
        <w:t xml:space="preserve"> already produces that indicator. The model therefore received the same column twice. The two copies ranked first and second by gain (0.2462 and 0.2421). The model gained no information from the second copy, and a tree ensemble divides importance between identical columns arbitrarily, so both importance numbers were misleading.</w:t>
      </w:r>
    </w:p>
    <w:p>
      <w:pPr>
        <w:spacing w:after="120" w:before="0"/>
        <w:jc w:val="both"/>
      </w:pPr>
      <w:r>
        <w:rPr>
          <w:b/>
          <w:i w:val="0"/>
          <w:sz w:val="21"/>
        </w:rPr>
        <w:t>The correction.</w:t>
      </w:r>
      <w:r>
        <w:rPr>
          <w:b w:val="0"/>
          <w:i w:val="0"/>
          <w:sz w:val="21"/>
        </w:rPr>
        <w:t xml:space="preserve"> The flag is excluded from the model matrix through the shared exclusion list. It is still computed in phase 4 and kept in the datasets, because as a readable yes/no attribute it is useful in reports and to the business.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MODEL_EXCLUDED_COLUMNS = [</w:t>
            </w:r>
          </w:p>
          <w:p>
            <w:pPr>
              <w:spacing w:after="0" w:before="0" w:line="240" w:lineRule="auto"/>
            </w:pPr>
            <w:r>
              <w:rPr>
                <w:rFonts w:ascii="Consolas" w:hAnsi="Consolas" w:eastAsia="Consolas"/>
                <w:color w:val="1A232E"/>
                <w:sz w:val="16"/>
              </w:rPr>
              <w:t xml:space="preserve">    "customerID", "Churn", "ChurnFlag",</w:t>
            </w:r>
          </w:p>
          <w:p>
            <w:pPr>
              <w:spacing w:after="0" w:before="0" w:line="240" w:lineRule="auto"/>
            </w:pPr>
            <w:r>
              <w:rPr>
                <w:rFonts w:ascii="Consolas" w:hAnsi="Consolas" w:eastAsia="Consolas"/>
                <w:color w:val="1A232E"/>
                <w:sz w:val="16"/>
              </w:rPr>
              <w:t xml:space="preserve">    "CustomerSegment",     # round 1: leaked label</w:t>
            </w:r>
          </w:p>
          <w:p>
            <w:pPr>
              <w:spacing w:after="0" w:before="0" w:line="240" w:lineRule="auto"/>
            </w:pPr>
            <w:r>
              <w:rPr>
                <w:rFonts w:ascii="Consolas" w:hAnsi="Consolas" w:eastAsia="Consolas"/>
                <w:color w:val="1A232E"/>
                <w:sz w:val="16"/>
              </w:rPr>
              <w:t xml:space="preserve">    "ContractRiskFlag",    # round 2: duplicate of Contract</w:t>
            </w:r>
          </w:p>
          <w:p>
            <w:pPr>
              <w:spacing w:after="0" w:before="0" w:line="240" w:lineRule="auto"/>
            </w:pPr>
            <w:r>
              <w:rPr>
                <w:rFonts w:ascii="Consolas" w:hAnsi="Consolas" w:eastAsia="Consolas"/>
                <w:color w:val="1A232E"/>
                <w:sz w:val="16"/>
              </w:rPr>
              <w:t>]</w:t>
            </w:r>
          </w:p>
        </w:tc>
      </w:tr>
    </w:tbl>
    <w:p>
      <w:pPr>
        <w:spacing w:before="60" w:after="180"/>
        <w:jc w:val="center"/>
      </w:pPr>
      <w:r>
        <w:rPr>
          <w:i/>
          <w:color w:val="555F6B"/>
          <w:sz w:val="17"/>
        </w:rPr>
        <w:t>Listing 28: The exclusion list in churn_features.py. Every phase and the dashboard build their matrix through it.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528"/>
        <w:gridCol w:w="2808"/>
        <w:gridCol w:w="2980"/>
      </w:tblGrid>
      <w:tr>
        <w:tc>
          <w:tcPr>
            <w:tcW w:type="dxa" w:w="3528"/>
            <w:shd w:val="clear" w:color="auto" w:fill="1B355E"/>
          </w:tcPr>
          <w:p>
            <w:pPr>
              <w:spacing w:after="20" w:before="20"/>
              <w:jc w:val="center"/>
            </w:pPr>
            <w:r>
              <w:rPr>
                <w:b/>
                <w:color w:val="FFFFFF"/>
                <w:sz w:val="16"/>
              </w:rPr>
              <w:t>Check</w:t>
            </w:r>
          </w:p>
        </w:tc>
        <w:tc>
          <w:tcPr>
            <w:tcW w:type="dxa" w:w="2808"/>
            <w:shd w:val="clear" w:color="auto" w:fill="1B355E"/>
          </w:tcPr>
          <w:p>
            <w:pPr>
              <w:spacing w:after="20" w:before="20"/>
              <w:jc w:val="center"/>
            </w:pPr>
            <w:r>
              <w:rPr>
                <w:b/>
                <w:color w:val="FFFFFF"/>
                <w:sz w:val="16"/>
              </w:rPr>
              <w:t>With the flag</w:t>
            </w:r>
          </w:p>
        </w:tc>
        <w:tc>
          <w:tcPr>
            <w:tcW w:type="dxa" w:w="2981"/>
            <w:shd w:val="clear" w:color="auto" w:fill="1B355E"/>
          </w:tcPr>
          <w:p>
            <w:pPr>
              <w:spacing w:after="20" w:before="20"/>
              <w:jc w:val="center"/>
            </w:pPr>
            <w:r>
              <w:rPr>
                <w:b/>
                <w:color w:val="FFFFFF"/>
                <w:sz w:val="16"/>
              </w:rPr>
              <w:t>Without the flag</w:t>
            </w:r>
          </w:p>
        </w:tc>
      </w:tr>
      <w:tr>
        <w:tc>
          <w:tcPr>
            <w:tcW w:type="dxa" w:w="3528"/>
          </w:tcPr>
          <w:p>
            <w:pPr>
              <w:spacing w:after="20" w:before="20" w:line="254" w:lineRule="auto"/>
              <w:jc w:val="left"/>
            </w:pPr>
            <w:r>
              <w:rPr>
                <w:sz w:val="16"/>
              </w:rPr>
              <w:t>Model matrix columns</w:t>
            </w:r>
          </w:p>
        </w:tc>
        <w:tc>
          <w:tcPr>
            <w:tcW w:type="dxa" w:w="2808"/>
          </w:tcPr>
          <w:p>
            <w:pPr>
              <w:spacing w:after="20" w:before="20" w:line="254" w:lineRule="auto"/>
              <w:jc w:val="center"/>
            </w:pPr>
            <w:r>
              <w:rPr>
                <w:sz w:val="16"/>
              </w:rPr>
              <w:t>27</w:t>
            </w:r>
          </w:p>
        </w:tc>
        <w:tc>
          <w:tcPr>
            <w:tcW w:type="dxa" w:w="2981"/>
          </w:tcPr>
          <w:p>
            <w:pPr>
              <w:spacing w:after="20" w:before="20" w:line="254" w:lineRule="auto"/>
              <w:jc w:val="center"/>
            </w:pPr>
            <w:r>
              <w:rPr>
                <w:b/>
                <w:sz w:val="16"/>
              </w:rPr>
              <w:t>26</w:t>
            </w:r>
          </w:p>
        </w:tc>
      </w:tr>
      <w:tr>
        <w:tc>
          <w:tcPr>
            <w:tcW w:type="dxa" w:w="3528"/>
            <w:shd w:val="clear" w:color="auto" w:fill="F2F5F9"/>
          </w:tcPr>
          <w:p>
            <w:pPr>
              <w:spacing w:after="20" w:before="20" w:line="254" w:lineRule="auto"/>
              <w:jc w:val="left"/>
            </w:pPr>
            <w:r>
              <w:rPr>
                <w:sz w:val="16"/>
              </w:rPr>
              <w:t>Tuned XGBoost hold-out ROC-AUC</w:t>
            </w:r>
          </w:p>
        </w:tc>
        <w:tc>
          <w:tcPr>
            <w:tcW w:type="dxa" w:w="2808"/>
            <w:shd w:val="clear" w:color="auto" w:fill="F2F5F9"/>
          </w:tcPr>
          <w:p>
            <w:pPr>
              <w:spacing w:after="20" w:before="20" w:line="254" w:lineRule="auto"/>
              <w:jc w:val="center"/>
            </w:pPr>
            <w:r>
              <w:rPr>
                <w:sz w:val="16"/>
              </w:rPr>
              <w:t>0.8470</w:t>
            </w:r>
          </w:p>
        </w:tc>
        <w:tc>
          <w:tcPr>
            <w:tcW w:type="dxa" w:w="2981"/>
            <w:shd w:val="clear" w:color="auto" w:fill="F2F5F9"/>
          </w:tcPr>
          <w:p>
            <w:pPr>
              <w:spacing w:after="20" w:before="20" w:line="254" w:lineRule="auto"/>
              <w:jc w:val="center"/>
            </w:pPr>
            <w:r>
              <w:rPr>
                <w:b/>
                <w:sz w:val="16"/>
              </w:rPr>
              <w:t>0.8472</w:t>
            </w:r>
          </w:p>
        </w:tc>
      </w:tr>
      <w:tr>
        <w:tc>
          <w:tcPr>
            <w:tcW w:type="dxa" w:w="3528"/>
          </w:tcPr>
          <w:p>
            <w:pPr>
              <w:spacing w:after="20" w:before="20" w:line="254" w:lineRule="auto"/>
              <w:jc w:val="left"/>
            </w:pPr>
            <w:r>
              <w:rPr>
                <w:sz w:val="16"/>
              </w:rPr>
              <w:t>Gain of the contract signal</w:t>
            </w:r>
          </w:p>
        </w:tc>
        <w:tc>
          <w:tcPr>
            <w:tcW w:type="dxa" w:w="2808"/>
          </w:tcPr>
          <w:p>
            <w:pPr>
              <w:spacing w:after="20" w:before="20" w:line="254" w:lineRule="auto"/>
              <w:jc w:val="center"/>
            </w:pPr>
            <w:r>
              <w:rPr>
                <w:sz w:val="16"/>
              </w:rPr>
              <w:t>split 0.2462 / 0.2421</w:t>
            </w:r>
          </w:p>
        </w:tc>
        <w:tc>
          <w:tcPr>
            <w:tcW w:type="dxa" w:w="2981"/>
          </w:tcPr>
          <w:p>
            <w:pPr>
              <w:spacing w:after="20" w:before="20" w:line="254" w:lineRule="auto"/>
              <w:jc w:val="center"/>
            </w:pPr>
            <w:r>
              <w:rPr>
                <w:b/>
                <w:sz w:val="16"/>
              </w:rPr>
              <w:t>0.2465, one column</w:t>
            </w:r>
          </w:p>
        </w:tc>
      </w:tr>
      <w:tr>
        <w:tc>
          <w:tcPr>
            <w:tcW w:type="dxa" w:w="3528"/>
            <w:shd w:val="clear" w:color="auto" w:fill="F2F5F9"/>
          </w:tcPr>
          <w:p>
            <w:pPr>
              <w:spacing w:after="20" w:before="20" w:line="254" w:lineRule="auto"/>
              <w:jc w:val="left"/>
            </w:pPr>
            <w:r>
              <w:rPr>
                <w:sz w:val="16"/>
              </w:rPr>
              <w:t>Dashboard inputs reconstructed</w:t>
            </w:r>
          </w:p>
        </w:tc>
        <w:tc>
          <w:tcPr>
            <w:tcW w:type="dxa" w:w="2808"/>
            <w:shd w:val="clear" w:color="auto" w:fill="F2F5F9"/>
          </w:tcPr>
          <w:p>
            <w:pPr>
              <w:spacing w:after="20" w:before="20" w:line="254" w:lineRule="auto"/>
              <w:jc w:val="center"/>
            </w:pPr>
            <w:r>
              <w:rPr>
                <w:sz w:val="16"/>
              </w:rPr>
              <w:t>27 of 27</w:t>
            </w:r>
          </w:p>
        </w:tc>
        <w:tc>
          <w:tcPr>
            <w:tcW w:type="dxa" w:w="2981"/>
            <w:shd w:val="clear" w:color="auto" w:fill="F2F5F9"/>
          </w:tcPr>
          <w:p>
            <w:pPr>
              <w:spacing w:after="20" w:before="20" w:line="254" w:lineRule="auto"/>
              <w:jc w:val="center"/>
            </w:pPr>
            <w:r>
              <w:rPr>
                <w:b/>
                <w:sz w:val="16"/>
              </w:rPr>
              <w:t>26 of 26</w:t>
            </w:r>
          </w:p>
        </w:tc>
      </w:tr>
    </w:tbl>
    <w:p>
      <w:pPr>
        <w:spacing w:before="60" w:after="200"/>
        <w:jc w:val="center"/>
      </w:pPr>
      <w:r>
        <w:rPr>
          <w:i/>
          <w:color w:val="555F6B"/>
          <w:sz w:val="17"/>
        </w:rPr>
        <w:t>Table 52: Effect of removing the duplicate flag.</w:t>
      </w:r>
    </w:p>
    <w:p>
      <w:pPr>
        <w:keepNext/>
        <w:spacing w:before="240" w:after="80"/>
      </w:pPr>
      <w:r>
        <w:rPr>
          <w:b/>
          <w:color w:val="1B355E"/>
          <w:sz w:val="25"/>
        </w:rPr>
        <w:t>22.3  Driver cascade collapse in phase 9</w:t>
      </w:r>
    </w:p>
    <w:p>
      <w:pPr>
        <w:spacing w:after="120" w:before="0"/>
        <w:jc w:val="both"/>
      </w:pPr>
      <w:r>
        <w:rPr>
          <w:b/>
          <w:i w:val="0"/>
          <w:sz w:val="21"/>
        </w:rPr>
        <w:t>The issue.</w:t>
      </w:r>
      <w:r>
        <w:rPr>
          <w:b w:val="0"/>
          <w:i w:val="0"/>
          <w:sz w:val="21"/>
        </w:rPr>
        <w:t xml:space="preserve"> Phase 9 picked a driver for each targeted customer with a rule cascade that tested contract type first. All 732 high-risk customers were on month-to-month contracts, so every one of them got the same driver and the same action. The recommendation mapping had one row and the driver chart had one bar, which left nothing to segment an outreach campaign by.</w:t>
      </w:r>
    </w:p>
    <w:p>
      <w:pPr>
        <w:spacing w:after="120" w:before="0"/>
        <w:jc w:val="both"/>
      </w:pPr>
      <w:r>
        <w:rPr>
          <w:b/>
          <w:i w:val="0"/>
          <w:sz w:val="21"/>
        </w:rPr>
        <w:t>Why a simple SHAP swap would not have fixed it.</w:t>
      </w:r>
      <w:r>
        <w:rPr>
          <w:b w:val="0"/>
          <w:i w:val="0"/>
          <w:sz w:val="21"/>
        </w:rPr>
        <w:t xml:space="preserve"> The obvious fix is to use each customer's top SHAP feature, so that was tested first. Among the high-risk customers it produced only two categories (Contract 463, tenure 269). Excluding Contract still gave only two (tenure 503, InternetService 229). Tenure dominates because high-risk customers are new customers, and an offer cannot change how long someone has been a customer.</w:t>
      </w:r>
    </w:p>
    <w:p>
      <w:pPr>
        <w:spacing w:after="120" w:before="0"/>
        <w:jc w:val="both"/>
      </w:pPr>
      <w:r>
        <w:rPr>
          <w:b/>
          <w:i w:val="0"/>
          <w:sz w:val="21"/>
        </w:rPr>
        <w:t>The correction.</w:t>
      </w:r>
      <w:r>
        <w:rPr>
          <w:b w:val="0"/>
          <w:i w:val="0"/>
          <w:sz w:val="21"/>
        </w:rPr>
        <w:t xml:space="preserve"> The fix separates what the whole cohort shares from what differs between customers:</w:t>
      </w:r>
    </w:p>
    <w:p>
      <w:pPr>
        <w:spacing w:after="80" w:line="264" w:lineRule="auto"/>
        <w:ind w:left="806" w:hanging="490"/>
        <w:jc w:val="both"/>
        <w:tabs>
          <w:tab w:val="left" w:pos="806"/>
        </w:tabs>
      </w:pPr>
      <w:r>
        <w:rPr>
          <w:b/>
          <w:color w:val="0B5C7A"/>
          <w:sz w:val="21"/>
        </w:rPr>
        <w:t>1.</w:t>
      </w:r>
      <w:r>
        <w:rPr>
          <w:sz w:val="21"/>
        </w:rPr>
        <w:tab/>
      </w:r>
      <w:r>
        <w:rPr>
          <w:b/>
          <w:sz w:val="21"/>
        </w:rPr>
        <w:t xml:space="preserve">Contract is the shared base driver. </w:t>
      </w:r>
      <w:r>
        <w:rPr>
          <w:b w:val="0"/>
          <w:sz w:val="21"/>
        </w:rPr>
        <w:t>Every month-to-month customer receives the contract-migration offer.</w:t>
      </w:r>
    </w:p>
    <w:p>
      <w:pPr>
        <w:spacing w:after="80" w:line="264" w:lineRule="auto"/>
        <w:ind w:left="806" w:hanging="490"/>
        <w:jc w:val="both"/>
        <w:tabs>
          <w:tab w:val="left" w:pos="806"/>
        </w:tabs>
      </w:pPr>
      <w:r>
        <w:rPr>
          <w:b/>
          <w:color w:val="0B5C7A"/>
          <w:sz w:val="21"/>
        </w:rPr>
        <w:t>2.</w:t>
      </w:r>
      <w:r>
        <w:rPr>
          <w:sz w:val="21"/>
        </w:rPr>
        <w:tab/>
      </w:r>
      <w:r>
        <w:rPr>
          <w:b/>
          <w:sz w:val="21"/>
        </w:rPr>
        <w:t xml:space="preserve">Each customer gets a personal lever. </w:t>
      </w:r>
      <w:r>
        <w:rPr>
          <w:b w:val="0"/>
          <w:sz w:val="21"/>
        </w:rPr>
        <w:t>Phase 8 computes SHAP for all customers, sums the one-hot columns back to their source feature and groups them into five actionable levers (Section 18.6). The lever with the largest contribution becomes that customer's driver and adds a lever-specific action.</w:t>
      </w:r>
    </w:p>
    <w:p>
      <w:pPr>
        <w:spacing w:after="80" w:line="264" w:lineRule="auto"/>
        <w:ind w:left="806" w:hanging="490"/>
        <w:jc w:val="both"/>
        <w:tabs>
          <w:tab w:val="left" w:pos="806"/>
        </w:tabs>
      </w:pPr>
      <w:r>
        <w:rPr>
          <w:b/>
          <w:color w:val="0B5C7A"/>
          <w:sz w:val="21"/>
        </w:rPr>
        <w:t>3.</w:t>
      </w:r>
      <w:r>
        <w:rPr>
          <w:sz w:val="21"/>
        </w:rPr>
        <w:tab/>
      </w:r>
      <w:r>
        <w:rPr>
          <w:b/>
          <w:sz w:val="21"/>
        </w:rPr>
        <w:t xml:space="preserve">Lifecycle stage is reported separately. </w:t>
      </w:r>
      <w:r>
        <w:rPr>
          <w:b w:val="0"/>
          <w:sz w:val="21"/>
        </w:rPr>
        <w:t>Tenure decides when to reach out (onboarding window or established), not what to offer.</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240"/>
        <w:gridCol w:w="2736"/>
        <w:gridCol w:w="3340"/>
      </w:tblGrid>
      <w:tr>
        <w:tc>
          <w:tcPr>
            <w:tcW w:type="dxa" w:w="3240"/>
            <w:shd w:val="clear" w:color="auto" w:fill="1B355E"/>
          </w:tcPr>
          <w:p>
            <w:pPr>
              <w:spacing w:after="20" w:before="20"/>
              <w:jc w:val="center"/>
            </w:pPr>
            <w:r>
              <w:rPr>
                <w:b/>
                <w:color w:val="FFFFFF"/>
                <w:sz w:val="16"/>
              </w:rPr>
              <w:t>Driver category</w:t>
            </w:r>
          </w:p>
        </w:tc>
        <w:tc>
          <w:tcPr>
            <w:tcW w:type="dxa" w:w="2736"/>
            <w:shd w:val="clear" w:color="auto" w:fill="1B355E"/>
          </w:tcPr>
          <w:p>
            <w:pPr>
              <w:spacing w:after="20" w:before="20"/>
              <w:jc w:val="center"/>
            </w:pPr>
            <w:r>
              <w:rPr>
                <w:b/>
                <w:color w:val="FFFFFF"/>
                <w:sz w:val="16"/>
              </w:rPr>
              <w:t>Delivered (cascade)</w:t>
            </w:r>
          </w:p>
        </w:tc>
        <w:tc>
          <w:tcPr>
            <w:tcW w:type="dxa" w:w="3341"/>
            <w:shd w:val="clear" w:color="auto" w:fill="1B355E"/>
          </w:tcPr>
          <w:p>
            <w:pPr>
              <w:spacing w:after="20" w:before="20"/>
              <w:jc w:val="center"/>
            </w:pPr>
            <w:r>
              <w:rPr>
                <w:b/>
                <w:color w:val="FFFFFF"/>
                <w:sz w:val="16"/>
              </w:rPr>
              <w:t>Final (SHAP lever)</w:t>
            </w:r>
          </w:p>
        </w:tc>
      </w:tr>
      <w:tr>
        <w:tc>
          <w:tcPr>
            <w:tcW w:type="dxa" w:w="3240"/>
          </w:tcPr>
          <w:p>
            <w:pPr>
              <w:spacing w:after="20" w:before="20" w:line="254" w:lineRule="auto"/>
              <w:jc w:val="left"/>
            </w:pPr>
            <w:r>
              <w:rPr>
                <w:sz w:val="16"/>
              </w:rPr>
              <w:t>Month-to-month contract</w:t>
            </w:r>
          </w:p>
        </w:tc>
        <w:tc>
          <w:tcPr>
            <w:tcW w:type="dxa" w:w="2736"/>
          </w:tcPr>
          <w:p>
            <w:pPr>
              <w:spacing w:after="20" w:before="20" w:line="254" w:lineRule="auto"/>
              <w:jc w:val="center"/>
            </w:pPr>
            <w:r>
              <w:rPr>
                <w:sz w:val="16"/>
              </w:rPr>
              <w:t>732</w:t>
            </w:r>
          </w:p>
        </w:tc>
        <w:tc>
          <w:tcPr>
            <w:tcW w:type="dxa" w:w="3341"/>
          </w:tcPr>
          <w:p>
            <w:pPr>
              <w:spacing w:after="20" w:before="20" w:line="254" w:lineRule="auto"/>
              <w:jc w:val="left"/>
            </w:pPr>
            <w:r>
              <w:rPr>
                <w:sz w:val="16"/>
              </w:rPr>
              <w:t>— (shared base offer for all 724)</w:t>
            </w:r>
          </w:p>
        </w:tc>
      </w:tr>
      <w:tr>
        <w:tc>
          <w:tcPr>
            <w:tcW w:type="dxa" w:w="3240"/>
            <w:shd w:val="clear" w:color="auto" w:fill="F2F5F9"/>
          </w:tcPr>
          <w:p>
            <w:pPr>
              <w:spacing w:after="20" w:before="20" w:line="254" w:lineRule="auto"/>
              <w:jc w:val="left"/>
            </w:pPr>
            <w:r>
              <w:rPr>
                <w:sz w:val="16"/>
              </w:rPr>
              <w:t>Billing and payment</w:t>
            </w:r>
          </w:p>
        </w:tc>
        <w:tc>
          <w:tcPr>
            <w:tcW w:type="dxa" w:w="2736"/>
            <w:shd w:val="clear" w:color="auto" w:fill="F2F5F9"/>
          </w:tcPr>
          <w:p>
            <w:pPr>
              <w:spacing w:after="20" w:before="20" w:line="254" w:lineRule="auto"/>
              <w:jc w:val="center"/>
            </w:pPr>
            <w:r>
              <w:rPr>
                <w:sz w:val="16"/>
              </w:rPr>
              <w:t>0</w:t>
            </w:r>
          </w:p>
        </w:tc>
        <w:tc>
          <w:tcPr>
            <w:tcW w:type="dxa" w:w="3341"/>
            <w:shd w:val="clear" w:color="auto" w:fill="F2F5F9"/>
          </w:tcPr>
          <w:p>
            <w:pPr>
              <w:spacing w:after="20" w:before="20" w:line="254" w:lineRule="auto"/>
              <w:jc w:val="center"/>
            </w:pPr>
            <w:r>
              <w:rPr>
                <w:b/>
                <w:sz w:val="16"/>
              </w:rPr>
              <w:t>333</w:t>
            </w:r>
          </w:p>
        </w:tc>
      </w:tr>
      <w:tr>
        <w:tc>
          <w:tcPr>
            <w:tcW w:type="dxa" w:w="3240"/>
          </w:tcPr>
          <w:p>
            <w:pPr>
              <w:spacing w:after="20" w:before="20" w:line="254" w:lineRule="auto"/>
              <w:jc w:val="left"/>
            </w:pPr>
            <w:r>
              <w:rPr>
                <w:sz w:val="16"/>
              </w:rPr>
              <w:t>Service quality</w:t>
            </w:r>
          </w:p>
        </w:tc>
        <w:tc>
          <w:tcPr>
            <w:tcW w:type="dxa" w:w="2736"/>
          </w:tcPr>
          <w:p>
            <w:pPr>
              <w:spacing w:after="20" w:before="20" w:line="254" w:lineRule="auto"/>
              <w:jc w:val="center"/>
            </w:pPr>
            <w:r>
              <w:rPr>
                <w:sz w:val="16"/>
              </w:rPr>
              <w:t>0</w:t>
            </w:r>
          </w:p>
        </w:tc>
        <w:tc>
          <w:tcPr>
            <w:tcW w:type="dxa" w:w="3341"/>
          </w:tcPr>
          <w:p>
            <w:pPr>
              <w:spacing w:after="20" w:before="20" w:line="254" w:lineRule="auto"/>
              <w:jc w:val="center"/>
            </w:pPr>
            <w:r>
              <w:rPr>
                <w:b/>
                <w:sz w:val="16"/>
              </w:rPr>
              <w:t>273</w:t>
            </w:r>
          </w:p>
        </w:tc>
      </w:tr>
      <w:tr>
        <w:tc>
          <w:tcPr>
            <w:tcW w:type="dxa" w:w="3240"/>
            <w:shd w:val="clear" w:color="auto" w:fill="F2F5F9"/>
          </w:tcPr>
          <w:p>
            <w:pPr>
              <w:spacing w:after="20" w:before="20" w:line="254" w:lineRule="auto"/>
              <w:jc w:val="left"/>
            </w:pPr>
            <w:r>
              <w:rPr>
                <w:sz w:val="16"/>
              </w:rPr>
              <w:t>Price and plan fit</w:t>
            </w:r>
          </w:p>
        </w:tc>
        <w:tc>
          <w:tcPr>
            <w:tcW w:type="dxa" w:w="2736"/>
            <w:shd w:val="clear" w:color="auto" w:fill="F2F5F9"/>
          </w:tcPr>
          <w:p>
            <w:pPr>
              <w:spacing w:after="20" w:before="20" w:line="254" w:lineRule="auto"/>
              <w:jc w:val="center"/>
            </w:pPr>
            <w:r>
              <w:rPr>
                <w:sz w:val="16"/>
              </w:rPr>
              <w:t>0</w:t>
            </w:r>
          </w:p>
        </w:tc>
        <w:tc>
          <w:tcPr>
            <w:tcW w:type="dxa" w:w="3341"/>
            <w:shd w:val="clear" w:color="auto" w:fill="F2F5F9"/>
          </w:tcPr>
          <w:p>
            <w:pPr>
              <w:spacing w:after="20" w:before="20" w:line="254" w:lineRule="auto"/>
              <w:jc w:val="center"/>
            </w:pPr>
            <w:r>
              <w:rPr>
                <w:b/>
                <w:sz w:val="16"/>
              </w:rPr>
              <w:t>112</w:t>
            </w:r>
          </w:p>
        </w:tc>
      </w:tr>
      <w:tr>
        <w:tc>
          <w:tcPr>
            <w:tcW w:type="dxa" w:w="3240"/>
          </w:tcPr>
          <w:p>
            <w:pPr>
              <w:spacing w:after="20" w:before="20" w:line="254" w:lineRule="auto"/>
              <w:jc w:val="left"/>
            </w:pPr>
            <w:r>
              <w:rPr>
                <w:sz w:val="16"/>
              </w:rPr>
              <w:t>Protection and support</w:t>
            </w:r>
          </w:p>
        </w:tc>
        <w:tc>
          <w:tcPr>
            <w:tcW w:type="dxa" w:w="2736"/>
          </w:tcPr>
          <w:p>
            <w:pPr>
              <w:spacing w:after="20" w:before="20" w:line="254" w:lineRule="auto"/>
              <w:jc w:val="center"/>
            </w:pPr>
            <w:r>
              <w:rPr>
                <w:sz w:val="16"/>
              </w:rPr>
              <w:t>0</w:t>
            </w:r>
          </w:p>
        </w:tc>
        <w:tc>
          <w:tcPr>
            <w:tcW w:type="dxa" w:w="3341"/>
          </w:tcPr>
          <w:p>
            <w:pPr>
              <w:spacing w:after="20" w:before="20" w:line="254" w:lineRule="auto"/>
              <w:jc w:val="center"/>
            </w:pPr>
            <w:r>
              <w:rPr>
                <w:sz w:val="16"/>
              </w:rPr>
              <w:t>4</w:t>
            </w:r>
          </w:p>
        </w:tc>
      </w:tr>
      <w:tr>
        <w:tc>
          <w:tcPr>
            <w:tcW w:type="dxa" w:w="3240"/>
            <w:shd w:val="clear" w:color="auto" w:fill="F2F5F9"/>
          </w:tcPr>
          <w:p>
            <w:pPr>
              <w:spacing w:after="20" w:before="20" w:line="254" w:lineRule="auto"/>
              <w:jc w:val="left"/>
            </w:pPr>
            <w:r>
              <w:rPr>
                <w:sz w:val="16"/>
              </w:rPr>
              <w:t>Engagement and bundling</w:t>
            </w:r>
          </w:p>
        </w:tc>
        <w:tc>
          <w:tcPr>
            <w:tcW w:type="dxa" w:w="2736"/>
            <w:shd w:val="clear" w:color="auto" w:fill="F2F5F9"/>
          </w:tcPr>
          <w:p>
            <w:pPr>
              <w:spacing w:after="20" w:before="20" w:line="254" w:lineRule="auto"/>
              <w:jc w:val="center"/>
            </w:pPr>
            <w:r>
              <w:rPr>
                <w:sz w:val="16"/>
              </w:rPr>
              <w:t>0</w:t>
            </w:r>
          </w:p>
        </w:tc>
        <w:tc>
          <w:tcPr>
            <w:tcW w:type="dxa" w:w="3341"/>
            <w:shd w:val="clear" w:color="auto" w:fill="F2F5F9"/>
          </w:tcPr>
          <w:p>
            <w:pPr>
              <w:spacing w:after="20" w:before="20" w:line="254" w:lineRule="auto"/>
              <w:jc w:val="center"/>
            </w:pPr>
            <w:r>
              <w:rPr>
                <w:sz w:val="16"/>
              </w:rPr>
              <w:t>2</w:t>
            </w:r>
          </w:p>
        </w:tc>
      </w:tr>
      <w:tr>
        <w:tc>
          <w:tcPr>
            <w:tcW w:type="dxa" w:w="3240"/>
          </w:tcPr>
          <w:p>
            <w:pPr>
              <w:spacing w:after="20" w:before="20" w:line="254" w:lineRule="auto"/>
              <w:jc w:val="left"/>
            </w:pPr>
            <w:r>
              <w:rPr>
                <w:b/>
                <w:sz w:val="16"/>
              </w:rPr>
              <w:t>Distinct categories</w:t>
            </w:r>
          </w:p>
        </w:tc>
        <w:tc>
          <w:tcPr>
            <w:tcW w:type="dxa" w:w="2736"/>
          </w:tcPr>
          <w:p>
            <w:pPr>
              <w:spacing w:after="20" w:before="20" w:line="254" w:lineRule="auto"/>
              <w:jc w:val="center"/>
            </w:pPr>
            <w:r>
              <w:rPr>
                <w:b/>
                <w:sz w:val="16"/>
              </w:rPr>
              <w:t>1</w:t>
            </w:r>
          </w:p>
        </w:tc>
        <w:tc>
          <w:tcPr>
            <w:tcW w:type="dxa" w:w="3341"/>
          </w:tcPr>
          <w:p>
            <w:pPr>
              <w:spacing w:after="20" w:before="20" w:line="254" w:lineRule="auto"/>
              <w:jc w:val="center"/>
            </w:pPr>
            <w:r>
              <w:rPr>
                <w:b/>
                <w:sz w:val="16"/>
              </w:rPr>
              <w:t>5</w:t>
            </w:r>
          </w:p>
        </w:tc>
      </w:tr>
    </w:tbl>
    <w:p>
      <w:pPr>
        <w:spacing w:before="60" w:after="200"/>
        <w:jc w:val="center"/>
      </w:pPr>
      <w:r>
        <w:rPr>
          <w:i/>
          <w:color w:val="555F6B"/>
          <w:sz w:val="17"/>
        </w:rPr>
        <w:t>Table 53: Driver distribution among targeted customers before and after the correction.</w:t>
      </w:r>
    </w:p>
    <w:p>
      <w:pPr>
        <w:spacing w:after="120" w:before="0"/>
        <w:jc w:val="both"/>
      </w:pPr>
      <w:r>
        <w:rPr>
          <w:b/>
          <w:i w:val="0"/>
          <w:sz w:val="21"/>
        </w:rPr>
        <w:t>Verification.</w:t>
      </w:r>
      <w:r>
        <w:rPr>
          <w:b w:val="0"/>
          <w:i w:val="0"/>
          <w:sz w:val="21"/>
        </w:rPr>
        <w:t xml:space="preserve"> The recommendation mapping now has five rows and the driver chart five bars (Section 19.5). Every targeted customer has a lever with a positive SHAP contribution, so no customer falls back to a generic action. Phase 9 checks that the driver file exists and covers every customer, and stops with a clear message if either check fails.</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EDF3FA"/>
          </w:tcPr>
          <w:p>
            <w:pPr>
              <w:spacing w:after="40"/>
            </w:pPr>
            <w:r>
              <w:rPr>
                <w:b/>
                <w:color w:val="1B355E"/>
                <w:sz w:val="19"/>
              </w:rPr>
              <w:t>The small categories are left as they are.</w:t>
            </w:r>
          </w:p>
          <w:p>
            <w:pPr>
              <w:spacing w:after="0"/>
              <w:jc w:val="both"/>
            </w:pPr>
            <w:r>
              <w:rPr>
                <w:sz w:val="19"/>
              </w:rPr>
              <w:t>Protection and support (4 customers) and Engagement and bundling (2) are small because, for the highest-risk customers, those features add little to predicted risk. Forcing a more even split would mean overriding what the model attributes, which would make the drivers less honest. The high-risk list also carries each customer's second lever, which a campaign team can use when the top two contributions are close.</w:t>
            </w:r>
          </w:p>
        </w:tc>
      </w:tr>
    </w:tbl>
    <w:p>
      <w:pPr>
        <w:spacing w:after="120"/>
      </w:pPr>
    </w:p>
    <w:p>
      <w:pPr>
        <w:keepNext/>
        <w:spacing w:before="240" w:after="80"/>
      </w:pPr>
      <w:r>
        <w:rPr>
          <w:b/>
          <w:color w:val="1B355E"/>
          <w:sz w:val="25"/>
        </w:rPr>
        <w:t>22.4  Remaining limitations</w:t>
      </w:r>
    </w:p>
    <w:p>
      <w:pPr>
        <w:spacing w:after="120" w:before="0"/>
        <w:jc w:val="both"/>
      </w:pPr>
      <w:r>
        <w:rPr>
          <w:b w:val="0"/>
          <w:i w:val="0"/>
          <w:sz w:val="21"/>
        </w:rPr>
        <w:t>These are properties of the data rather than defects in the code, but they bound what the system can claim.</w:t>
      </w:r>
    </w:p>
    <w:p>
      <w:pPr>
        <w:pStyle w:val="ListBullet"/>
        <w:spacing w:after="60" w:line="264" w:lineRule="auto"/>
        <w:ind w:left="547"/>
        <w:jc w:val="both"/>
      </w:pPr>
      <w:r>
        <w:rPr>
          <w:b/>
          <w:sz w:val="21"/>
        </w:rPr>
        <w:t xml:space="preserve">The single-customer dashboard page still uses a rule cascade. </w:t>
      </w:r>
      <w:r>
        <w:rPr>
          <w:b w:val="0"/>
          <w:sz w:val="21"/>
        </w:rPr>
        <w:t>Batch scoring and phase 9 use the SHAP levers, but the page that scores one hand-entered customer still picks its recommendation by testing contract, tech support and payment method in turn. For one customer this does not collapse anything, but it is inconsistent with phase 9. Loading the SHAP explainer in the dashboard would align it.</w:t>
      </w:r>
    </w:p>
    <w:p>
      <w:pPr>
        <w:pStyle w:val="ListBullet"/>
        <w:spacing w:after="60" w:line="264" w:lineRule="auto"/>
        <w:ind w:left="547"/>
        <w:jc w:val="both"/>
      </w:pPr>
      <w:r>
        <w:rPr>
          <w:b/>
          <w:sz w:val="21"/>
        </w:rPr>
        <w:t xml:space="preserve">No temporal dimension. </w:t>
      </w:r>
      <w:r>
        <w:rPr>
          <w:b w:val="0"/>
          <w:sz w:val="21"/>
        </w:rPr>
        <w:t>The dataset is a single cross-sectional snapshot with no observation window, prediction horizon or event date. The model therefore answers "does this customer resemble one who has left" rather than "will this customer leave in the next ninety days". A production system needs the second question, which requires time-stamped records.</w:t>
      </w:r>
    </w:p>
    <w:p>
      <w:pPr>
        <w:pStyle w:val="ListBullet"/>
        <w:spacing w:after="60" w:line="264" w:lineRule="auto"/>
        <w:ind w:left="547"/>
        <w:jc w:val="both"/>
      </w:pPr>
      <w:r>
        <w:rPr>
          <w:b/>
          <w:sz w:val="21"/>
        </w:rPr>
        <w:t xml:space="preserve">No behavioural telemetry. </w:t>
      </w:r>
      <w:r>
        <w:rPr>
          <w:b w:val="0"/>
          <w:sz w:val="21"/>
        </w:rPr>
        <w:t>Support-ticket volume, network-quality incidents, usage trend and competitor pricing are all absent. These are typically the strongest churn predictors in telecommunications, and their absence is the most credible explanation for the performance ceiling this dataset consistently produces.</w:t>
      </w:r>
    </w:p>
    <w:p>
      <w:pPr>
        <w:pStyle w:val="ListBullet"/>
        <w:spacing w:after="60" w:line="264" w:lineRule="auto"/>
        <w:ind w:left="547"/>
        <w:jc w:val="both"/>
      </w:pPr>
      <w:r>
        <w:rPr>
          <w:b/>
          <w:sz w:val="21"/>
        </w:rPr>
        <w:t xml:space="preserve">ValueTier boundaries are fitted on the full dataset. </w:t>
      </w:r>
      <w:r>
        <w:rPr>
          <w:b w:val="0"/>
          <w:sz w:val="21"/>
        </w:rPr>
        <w:t>Phase 4 computes ARPU quartiles across all 7 043 rows, including those that later become the test set. This is target-independent, so it does not inflate the churn metrics the way defect 2 did, but it is a mild form of information sharing. Fitting the edges on the training partition alone would be stricter.</w:t>
      </w:r>
    </w:p>
    <w:p>
      <w:pPr>
        <w:pStyle w:val="ListBullet"/>
        <w:spacing w:after="60" w:line="264" w:lineRule="auto"/>
        <w:ind w:left="547"/>
        <w:jc w:val="both"/>
      </w:pPr>
      <w:r>
        <w:rPr>
          <w:b/>
          <w:sz w:val="21"/>
        </w:rPr>
        <w:t xml:space="preserve">The threshold remains a convention. </w:t>
      </w:r>
      <w:r>
        <w:rPr>
          <w:b w:val="0"/>
          <w:sz w:val="21"/>
        </w:rPr>
        <w:t>Phase 7 sweeps it and phase 9 targets at 0.65, but neither is derived from the actual cost ratio between a missed churner and a wasted offer, because no campaign-cost data exists to calibrate against.</w:t>
      </w:r>
    </w:p>
    <w:p>
      <w:r>
        <w:br w:type="page"/>
      </w:r>
    </w:p>
    <w:p>
      <w:pPr>
        <w:spacing w:after="0"/>
      </w:pPr>
    </w:p>
    <w:p>
      <w:pPr>
        <w:keepNext/>
        <w:spacing w:before="80" w:after="40"/>
        <w:pBdr>
          <w:bottom w:val="single" w:sz="10" w:space="3" w:color="1B355E"/>
        </w:pBdr>
      </w:pPr>
      <w:r>
        <w:rPr>
          <w:b/>
          <w:color w:val="1B355E"/>
          <w:sz w:val="30"/>
        </w:rPr>
        <w:t>23.  Step-by-Step Execution Guide</w:t>
      </w:r>
    </w:p>
    <w:p>
      <w:pPr>
        <w:spacing w:after="40"/>
      </w:pPr>
    </w:p>
    <w:p>
      <w:pPr>
        <w:keepNext/>
        <w:spacing w:before="240" w:after="80"/>
      </w:pPr>
      <w:r>
        <w:rPr>
          <w:b/>
          <w:color w:val="1B355E"/>
          <w:sz w:val="25"/>
        </w:rPr>
        <w:t>23.1  Prerequisites</w:t>
      </w:r>
    </w:p>
    <w:p>
      <w:pPr>
        <w:spacing w:after="80" w:line="264" w:lineRule="auto"/>
        <w:ind w:left="806" w:hanging="490"/>
        <w:jc w:val="both"/>
        <w:tabs>
          <w:tab w:val="left" w:pos="806"/>
        </w:tabs>
      </w:pPr>
      <w:r>
        <w:rPr>
          <w:b/>
          <w:color w:val="0B5C7A"/>
          <w:sz w:val="21"/>
        </w:rPr>
        <w:t>1.</w:t>
      </w:r>
      <w:r>
        <w:rPr>
          <w:sz w:val="21"/>
        </w:rPr>
        <w:tab/>
      </w:r>
      <w:r>
        <w:rPr>
          <w:b w:val="0"/>
          <w:sz w:val="21"/>
        </w:rPr>
        <w:t>Python 3.10 or later on the system path. The pipeline was verified on 3.13.13.</w:t>
      </w:r>
    </w:p>
    <w:p>
      <w:pPr>
        <w:spacing w:after="80" w:line="264" w:lineRule="auto"/>
        <w:ind w:left="806" w:hanging="490"/>
        <w:jc w:val="both"/>
        <w:tabs>
          <w:tab w:val="left" w:pos="806"/>
        </w:tabs>
      </w:pPr>
      <w:r>
        <w:rPr>
          <w:b/>
          <w:color w:val="0B5C7A"/>
          <w:sz w:val="21"/>
        </w:rPr>
        <w:t>2.</w:t>
      </w:r>
      <w:r>
        <w:rPr>
          <w:sz w:val="21"/>
        </w:rPr>
        <w:tab/>
      </w:r>
      <w:r>
        <w:rPr>
          <w:b w:val="0"/>
          <w:sz w:val="21"/>
        </w:rPr>
        <w:t>Approximately 1.5 GB of free disk space for the virtual environment, which includes XGBoost, SHAP and Streamlit.</w:t>
      </w:r>
    </w:p>
    <w:p>
      <w:pPr>
        <w:spacing w:after="80" w:line="264" w:lineRule="auto"/>
        <w:ind w:left="806" w:hanging="490"/>
        <w:jc w:val="both"/>
        <w:tabs>
          <w:tab w:val="left" w:pos="806"/>
        </w:tabs>
      </w:pPr>
      <w:r>
        <w:rPr>
          <w:b/>
          <w:color w:val="0B5C7A"/>
          <w:sz w:val="21"/>
        </w:rPr>
        <w:t>3.</w:t>
      </w:r>
      <w:r>
        <w:rPr>
          <w:sz w:val="21"/>
        </w:rPr>
        <w:tab/>
      </w:r>
      <w:r>
        <w:rPr>
          <w:b w:val="0"/>
          <w:sz w:val="21"/>
        </w:rPr>
        <w:t>The raw dataset present at data/Customer-Churn.csv relative to the working directory.</w:t>
      </w:r>
    </w:p>
    <w:p>
      <w:pPr>
        <w:spacing w:after="80" w:line="264" w:lineRule="auto"/>
        <w:ind w:left="806" w:hanging="490"/>
        <w:jc w:val="both"/>
        <w:tabs>
          <w:tab w:val="left" w:pos="806"/>
        </w:tabs>
      </w:pPr>
      <w:r>
        <w:rPr>
          <w:b/>
          <w:color w:val="0B5C7A"/>
          <w:sz w:val="21"/>
        </w:rPr>
        <w:t>4.</w:t>
      </w:r>
      <w:r>
        <w:rPr>
          <w:sz w:val="21"/>
        </w:rPr>
        <w:tab/>
      </w:r>
      <w:r>
        <w:rPr>
          <w:b w:val="0"/>
          <w:sz w:val="21"/>
        </w:rPr>
        <w:t>At least 4 GB of available RAM. Phases 6 and 7 train ensembles with 2 000 estimators and parallelise across all cores.</w:t>
      </w:r>
    </w:p>
    <w:p>
      <w:pPr>
        <w:keepNext/>
        <w:spacing w:before="240" w:after="80"/>
      </w:pPr>
      <w:r>
        <w:rPr>
          <w:b/>
          <w:color w:val="1B355E"/>
          <w:sz w:val="25"/>
        </w:rPr>
        <w:t>23.2  Step 1 — Prepare the environment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Every script uses relative paths, so this must be the working directory.</w:t>
            </w:r>
          </w:p>
          <w:p>
            <w:pPr>
              <w:spacing w:after="0" w:before="0" w:line="240" w:lineRule="auto"/>
            </w:pPr>
            <w:r>
              <w:rPr>
                <w:rFonts w:ascii="Consolas" w:hAnsi="Consolas" w:eastAsia="Consolas"/>
                <w:color w:val="1A232E"/>
                <w:sz w:val="16"/>
              </w:rPr>
              <w:t>cd "C:\Users\user\Desktop\Customer churn prediction\customer_churn_100\customer_churn"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-m venv .venv</w:t>
            </w:r>
          </w:p>
          <w:p>
            <w:pPr>
              <w:spacing w:after="0" w:before="0" w:line="240" w:lineRule="auto"/>
            </w:pPr>
            <w:r>
              <w:rPr>
                <w:rFonts w:ascii="Consolas" w:hAnsi="Consolas" w:eastAsia="Consolas"/>
                <w:color w:val="1A232E"/>
                <w:sz w:val="16"/>
              </w:rPr>
              <w:t>.venv\Scripts\activate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-m pip install --upgrade pip</w:t>
            </w:r>
          </w:p>
          <w:p>
            <w:pPr>
              <w:spacing w:after="0" w:before="0" w:line="240" w:lineRule="auto"/>
            </w:pPr>
            <w:r>
              <w:rPr>
                <w:rFonts w:ascii="Consolas" w:hAnsi="Consolas" w:eastAsia="Consolas"/>
                <w:color w:val="1A232E"/>
                <w:sz w:val="16"/>
              </w:rPr>
              <w:t>python -m pip install -r requirements.txt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Verify every import resolves before running any phase</w:t>
            </w:r>
          </w:p>
          <w:p>
            <w:pPr>
              <w:spacing w:after="0" w:before="0" w:line="240" w:lineRule="auto"/>
            </w:pPr>
            <w:r>
              <w:rPr>
                <w:rFonts w:ascii="Consolas" w:hAnsi="Consolas" w:eastAsia="Consolas"/>
                <w:color w:val="1A232E"/>
                <w:sz w:val="16"/>
              </w:rPr>
              <w:t>python -c "import pandas, numpy, sklearn, matplotlib, seaborn, xgboost, shap, joblib, streamlit; print('environment ok')"</w:t>
            </w:r>
          </w:p>
        </w:tc>
      </w:tr>
    </w:tbl>
    <w:p>
      <w:pPr>
        <w:spacing w:before="60" w:after="180"/>
        <w:jc w:val="center"/>
      </w:pPr>
      <w:r>
        <w:rPr>
          <w:i/>
          <w:color w:val="555F6B"/>
          <w:sz w:val="17"/>
        </w:rPr>
        <w:t>Listing 23: Environment preparation. The final check must print "environment ok" before proceeding.</w:t>
      </w:r>
    </w:p>
    <w:p>
      <w:pPr>
        <w:keepNext/>
        <w:spacing w:before="240" w:after="80"/>
      </w:pPr>
      <w:r>
        <w:rPr>
          <w:b/>
          <w:color w:val="1B355E"/>
          <w:sz w:val="25"/>
        </w:rPr>
        <w:t>23.3  Step 2 — Execute the phases in order</w:t>
      </w:r>
    </w:p>
    <w:p>
      <w:pPr>
        <w:spacing w:after="120" w:before="0"/>
        <w:jc w:val="both"/>
      </w:pPr>
      <w:r>
        <w:rPr>
          <w:b w:val="0"/>
          <w:i w:val="0"/>
          <w:sz w:val="21"/>
        </w:rPr>
        <w:t>The scripts must run in numerical sequence, because each reads a file the previous one wrote. Note that phase 5 now requires phase 4 to have completed, and will exit with an explanatory message if it has not.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python phase1_data_understanding.py          REM ~2 s    console profile only</w:t>
            </w:r>
          </w:p>
          <w:p>
            <w:pPr>
              <w:spacing w:after="0" w:before="0" w:line="240" w:lineRule="auto"/>
            </w:pPr>
            <w:r>
              <w:rPr>
                <w:rFonts w:ascii="Consolas" w:hAnsi="Consolas" w:eastAsia="Consolas"/>
                <w:color w:val="1A232E"/>
                <w:sz w:val="16"/>
              </w:rPr>
              <w:t>python phase2_data_cleaning.py               REM ~3 s    writes Cleaned.csv</w:t>
            </w:r>
          </w:p>
          <w:p>
            <w:pPr>
              <w:spacing w:after="0" w:before="0" w:line="240" w:lineRule="auto"/>
            </w:pPr>
            <w:r>
              <w:rPr>
                <w:rFonts w:ascii="Consolas" w:hAnsi="Consolas" w:eastAsia="Consolas"/>
                <w:color w:val="1A232E"/>
                <w:sz w:val="16"/>
              </w:rPr>
              <w:t>python phase3_eda.py                         REM ~20 s   writes 9 charts</w:t>
            </w:r>
          </w:p>
          <w:p>
            <w:pPr>
              <w:spacing w:after="0" w:before="0" w:line="240" w:lineRule="auto"/>
            </w:pPr>
            <w:r>
              <w:rPr>
                <w:rFonts w:ascii="Consolas" w:hAnsi="Consolas" w:eastAsia="Consolas"/>
                <w:color w:val="1A232E"/>
                <w:sz w:val="16"/>
              </w:rPr>
              <w:t>python phase4_feature_engineering.py         REM ~5 s    writes features + artefacts</w:t>
            </w:r>
          </w:p>
          <w:p>
            <w:pPr>
              <w:spacing w:after="0" w:before="0" w:line="240" w:lineRule="auto"/>
            </w:pPr>
            <w:r>
              <w:rPr>
                <w:rFonts w:ascii="Consolas" w:hAnsi="Consolas" w:eastAsia="Consolas"/>
                <w:color w:val="1A232E"/>
                <w:sz w:val="16"/>
              </w:rPr>
              <w:t>python phase5_customer_segmentation.py       REM ~30 s   writes Segmented.csv + model</w:t>
            </w:r>
          </w:p>
          <w:p>
            <w:pPr>
              <w:spacing w:after="0" w:before="0" w:line="240" w:lineRule="auto"/>
            </w:pPr>
            <w:r>
              <w:rPr>
                <w:rFonts w:ascii="Consolas" w:hAnsi="Consolas" w:eastAsia="Consolas"/>
                <w:color w:val="1A232E"/>
                <w:sz w:val="16"/>
              </w:rPr>
              <w:t>python phase6_model_development.py           REM ~4 min  trains and tunes 5 models</w:t>
            </w:r>
          </w:p>
          <w:p>
            <w:pPr>
              <w:spacing w:after="0" w:before="0" w:line="240" w:lineRule="auto"/>
            </w:pPr>
            <w:r>
              <w:rPr>
                <w:rFonts w:ascii="Consolas" w:hAnsi="Consolas" w:eastAsia="Consolas"/>
                <w:color w:val="1A232E"/>
                <w:sz w:val="16"/>
              </w:rPr>
              <w:t>python phase7_model_evaluation.py            REM ~3 min  evaluation + thresholds</w:t>
            </w:r>
          </w:p>
          <w:p>
            <w:pPr>
              <w:spacing w:after="0" w:before="0" w:line="240" w:lineRule="auto"/>
            </w:pPr>
            <w:r>
              <w:rPr>
                <w:rFonts w:ascii="Consolas" w:hAnsi="Consolas" w:eastAsia="Consolas"/>
                <w:color w:val="1A232E"/>
                <w:sz w:val="16"/>
              </w:rPr>
              <w:t>python phase8_churn_probability_xai.py       REM ~1 min  calibration + SHAP</w:t>
            </w:r>
          </w:p>
          <w:p>
            <w:pPr>
              <w:spacing w:after="0" w:before="0" w:line="240" w:lineRule="auto"/>
            </w:pPr>
            <w:r>
              <w:rPr>
                <w:rFonts w:ascii="Consolas" w:hAnsi="Consolas" w:eastAsia="Consolas"/>
                <w:color w:val="1A232E"/>
                <w:sz w:val="16"/>
              </w:rPr>
              <w:t>python phase9_business_recommendations.py    REM ~10 s   revenue impact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Then launch the dashboard</w:t>
            </w:r>
          </w:p>
          <w:p>
            <w:pPr>
              <w:spacing w:after="0" w:before="0" w:line="240" w:lineRule="auto"/>
            </w:pPr>
            <w:r>
              <w:rPr>
                <w:rFonts w:ascii="Consolas" w:hAnsi="Consolas" w:eastAsia="Consolas"/>
                <w:color w:val="1A232E"/>
                <w:sz w:val="16"/>
              </w:rPr>
              <w:t>streamlit run app/app.py</w:t>
            </w:r>
          </w:p>
        </w:tc>
      </w:tr>
    </w:tbl>
    <w:p>
      <w:pPr>
        <w:spacing w:before="60" w:after="180"/>
        <w:jc w:val="center"/>
      </w:pPr>
      <w:r>
        <w:rPr>
          <w:i/>
          <w:color w:val="555F6B"/>
          <w:sz w:val="17"/>
        </w:rPr>
        <w:t>Listing 24: The complete execution sequence with measured runtimes.</w:t>
      </w:r>
    </w:p>
    <w:p>
      <w:pPr>
        <w:spacing w:after="120" w:before="0"/>
        <w:jc w:val="both"/>
      </w:pPr>
      <w:r>
        <w:rPr>
          <w:b w:val="0"/>
          <w:i w:val="0"/>
          <w:sz w:val="21"/>
        </w:rPr>
        <w:t>To run the whole pipeline unattended, chain the commands so a failure halts the sequence rather than letting later phases run against stale input: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PowerShell</w:t>
            </w:r>
          </w:p>
          <w:p>
            <w:pPr>
              <w:spacing w:after="0" w:before="0" w:line="240" w:lineRule="auto"/>
            </w:pPr>
            <w:r>
              <w:rPr>
                <w:rFonts w:ascii="Consolas" w:hAnsi="Consolas" w:eastAsia="Consolas"/>
                <w:color w:val="1A232E"/>
                <w:sz w:val="16"/>
              </w:rPr>
              <w:t>foreach ($s in @("phase1_data_understanding", "phase2_data_cleaning",</w:t>
            </w:r>
          </w:p>
          <w:p>
            <w:pPr>
              <w:spacing w:after="0" w:before="0" w:line="240" w:lineRule="auto"/>
            </w:pPr>
            <w:r>
              <w:rPr>
                <w:rFonts w:ascii="Consolas" w:hAnsi="Consolas" w:eastAsia="Consolas"/>
                <w:color w:val="1A232E"/>
                <w:sz w:val="16"/>
              </w:rPr>
              <w:t xml:space="preserve">                 "phase3_eda", "phase4_feature_engineering",</w:t>
            </w:r>
          </w:p>
          <w:p>
            <w:pPr>
              <w:spacing w:after="0" w:before="0" w:line="240" w:lineRule="auto"/>
            </w:pPr>
            <w:r>
              <w:rPr>
                <w:rFonts w:ascii="Consolas" w:hAnsi="Consolas" w:eastAsia="Consolas"/>
                <w:color w:val="1A232E"/>
                <w:sz w:val="16"/>
              </w:rPr>
              <w:t xml:space="preserve">                 "phase5_customer_segmentation", "phase6_model_development",</w:t>
            </w:r>
          </w:p>
          <w:p>
            <w:pPr>
              <w:spacing w:after="0" w:before="0" w:line="240" w:lineRule="auto"/>
            </w:pPr>
            <w:r>
              <w:rPr>
                <w:rFonts w:ascii="Consolas" w:hAnsi="Consolas" w:eastAsia="Consolas"/>
                <w:color w:val="1A232E"/>
                <w:sz w:val="16"/>
              </w:rPr>
              <w:t xml:space="preserve">                 "phase7_model_evaluation", "phase8_churn_probability_xai",</w:t>
            </w:r>
          </w:p>
          <w:p>
            <w:pPr>
              <w:spacing w:after="0" w:before="0" w:line="240" w:lineRule="auto"/>
            </w:pPr>
            <w:r>
              <w:rPr>
                <w:rFonts w:ascii="Consolas" w:hAnsi="Consolas" w:eastAsia="Consolas"/>
                <w:color w:val="1A232E"/>
                <w:sz w:val="16"/>
              </w:rPr>
              <w:t xml:space="preserve">                 "phase9_business_recommendations")) {</w:t>
            </w:r>
          </w:p>
          <w:p>
            <w:pPr>
              <w:spacing w:after="0" w:before="0" w:line="240" w:lineRule="auto"/>
            </w:pPr>
            <w:r>
              <w:rPr>
                <w:rFonts w:ascii="Consolas" w:hAnsi="Consolas" w:eastAsia="Consolas"/>
                <w:color w:val="1A232E"/>
                <w:sz w:val="16"/>
              </w:rPr>
              <w:t xml:space="preserve">    Write-Host "=== $s ==="</w:t>
            </w:r>
          </w:p>
          <w:p>
            <w:pPr>
              <w:spacing w:after="0" w:before="0" w:line="240" w:lineRule="auto"/>
            </w:pPr>
            <w:r>
              <w:rPr>
                <w:rFonts w:ascii="Consolas" w:hAnsi="Consolas" w:eastAsia="Consolas"/>
                <w:color w:val="1A232E"/>
                <w:sz w:val="16"/>
              </w:rPr>
              <w:t xml:space="preserve">    python "$s.py"</w:t>
            </w:r>
          </w:p>
          <w:p>
            <w:pPr>
              <w:spacing w:after="0" w:before="0" w:line="240" w:lineRule="auto"/>
            </w:pPr>
            <w:r>
              <w:rPr>
                <w:rFonts w:ascii="Consolas" w:hAnsi="Consolas" w:eastAsia="Consolas"/>
                <w:color w:val="1A232E"/>
                <w:sz w:val="16"/>
              </w:rPr>
              <w:t xml:space="preserve">    if ($LASTEXITCODE -ne 0) { Write-Host "FAILED: $s"; break }</w:t>
            </w:r>
          </w:p>
          <w:p>
            <w:pPr>
              <w:spacing w:after="0" w:before="0" w:line="240" w:lineRule="auto"/>
            </w:pPr>
            <w:r>
              <w:rPr>
                <w:rFonts w:ascii="Consolas" w:hAnsi="Consolas" w:eastAsia="Consolas"/>
                <w:color w:val="1A232E"/>
                <w:sz w:val="16"/>
              </w:rPr>
              <w:t>}</w:t>
            </w:r>
          </w:p>
        </w:tc>
      </w:tr>
    </w:tbl>
    <w:p>
      <w:pPr>
        <w:spacing w:before="60" w:after="180"/>
        <w:jc w:val="center"/>
      </w:pPr>
      <w:r>
        <w:rPr>
          <w:i/>
          <w:color w:val="555F6B"/>
          <w:sz w:val="17"/>
        </w:rPr>
        <w:t>Listing 25: Unattended execution of the full pipeline.</w:t>
      </w:r>
    </w:p>
    <w:p>
      <w:pPr>
        <w:keepNext/>
        <w:spacing w:before="240" w:after="80"/>
      </w:pPr>
      <w:r>
        <w:rPr>
          <w:b/>
          <w:color w:val="1B355E"/>
          <w:sz w:val="25"/>
        </w:rPr>
        <w:t>23.4  Step 3 — Verify the outputs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180"/>
        <w:gridCol w:w="3960"/>
        <w:gridCol w:w="4176"/>
      </w:tblGrid>
      <w:tr>
        <w:tc>
          <w:tcPr>
            <w:tcW w:type="dxa" w:w="1181"/>
            <w:shd w:val="clear" w:color="auto" w:fill="1B355E"/>
          </w:tcPr>
          <w:p>
            <w:pPr>
              <w:spacing w:after="20" w:before="20"/>
              <w:jc w:val="center"/>
            </w:pPr>
            <w:r>
              <w:rPr>
                <w:b/>
                <w:color w:val="FFFFFF"/>
                <w:sz w:val="16"/>
              </w:rPr>
              <w:t>After phase</w:t>
            </w:r>
          </w:p>
        </w:tc>
        <w:tc>
          <w:tcPr>
            <w:tcW w:type="dxa" w:w="3960"/>
            <w:shd w:val="clear" w:color="auto" w:fill="1B355E"/>
          </w:tcPr>
          <w:p>
            <w:pPr>
              <w:spacing w:after="20" w:before="20"/>
              <w:jc w:val="center"/>
            </w:pPr>
            <w:r>
              <w:rPr>
                <w:b/>
                <w:color w:val="FFFFFF"/>
                <w:sz w:val="16"/>
              </w:rPr>
              <w:t>Expected artefact</w:t>
            </w:r>
          </w:p>
        </w:tc>
        <w:tc>
          <w:tcPr>
            <w:tcW w:type="dxa" w:w="4176"/>
            <w:shd w:val="clear" w:color="auto" w:fill="1B355E"/>
          </w:tcPr>
          <w:p>
            <w:pPr>
              <w:spacing w:after="20" w:before="20"/>
              <w:jc w:val="center"/>
            </w:pPr>
            <w:r>
              <w:rPr>
                <w:b/>
                <w:color w:val="FFFFFF"/>
                <w:sz w:val="16"/>
              </w:rPr>
              <w:t>Verification</w:t>
            </w:r>
          </w:p>
        </w:tc>
      </w:tr>
      <w:tr>
        <w:tc>
          <w:tcPr>
            <w:tcW w:type="dxa" w:w="1181"/>
          </w:tcPr>
          <w:p>
            <w:pPr>
              <w:spacing w:after="20" w:before="20" w:line="254" w:lineRule="auto"/>
              <w:jc w:val="left"/>
            </w:pPr>
            <w:r>
              <w:rPr>
                <w:sz w:val="16"/>
              </w:rPr>
              <w:t>2</w:t>
            </w:r>
          </w:p>
        </w:tc>
        <w:tc>
          <w:tcPr>
            <w:tcW w:type="dxa" w:w="3960"/>
          </w:tcPr>
          <w:p>
            <w:pPr>
              <w:spacing w:after="20" w:before="20" w:line="254" w:lineRule="auto"/>
              <w:jc w:val="center"/>
            </w:pPr>
            <w:r>
              <w:rPr>
                <w:rFonts w:ascii="Consolas" w:hAnsi="Consolas" w:eastAsia="Consolas"/>
                <w:color w:val="8A2C1F"/>
                <w:sz w:val="15"/>
              </w:rPr>
              <w:t>data/Customer-Churn-Cleaned.csv</w:t>
            </w:r>
          </w:p>
        </w:tc>
        <w:tc>
          <w:tcPr>
            <w:tcW w:type="dxa" w:w="4176"/>
          </w:tcPr>
          <w:p>
            <w:pPr>
              <w:spacing w:after="20" w:before="20" w:line="254" w:lineRule="auto"/>
              <w:jc w:val="left"/>
            </w:pPr>
            <w:r>
              <w:rPr>
                <w:sz w:val="16"/>
              </w:rPr>
              <w:t>7 044 lines including header</w:t>
            </w:r>
          </w:p>
        </w:tc>
      </w:tr>
      <w:tr>
        <w:tc>
          <w:tcPr>
            <w:tcW w:type="dxa" w:w="1181"/>
            <w:shd w:val="clear" w:color="auto" w:fill="F2F5F9"/>
          </w:tcPr>
          <w:p>
            <w:pPr>
              <w:spacing w:after="20" w:before="20" w:line="254" w:lineRule="auto"/>
              <w:jc w:val="left"/>
            </w:pPr>
            <w:r>
              <w:rPr>
                <w:sz w:val="16"/>
              </w:rPr>
              <w:t>3</w:t>
            </w:r>
          </w:p>
        </w:tc>
        <w:tc>
          <w:tcPr>
            <w:tcW w:type="dxa" w:w="3960"/>
            <w:shd w:val="clear" w:color="auto" w:fill="F2F5F9"/>
          </w:tcPr>
          <w:p>
            <w:pPr>
              <w:spacing w:after="20" w:before="20" w:line="254" w:lineRule="auto"/>
              <w:jc w:val="center"/>
            </w:pPr>
            <w:r>
              <w:rPr>
                <w:sz w:val="16"/>
              </w:rPr>
              <w:t xml:space="preserve">9 files </w:t>
            </w:r>
            <w:r>
              <w:rPr>
                <w:rFonts w:ascii="Consolas" w:hAnsi="Consolas" w:eastAsia="Consolas"/>
                <w:color w:val="8A2C1F"/>
                <w:sz w:val="15"/>
              </w:rPr>
              <w:t>charts/phase3_*.png</w:t>
            </w:r>
          </w:p>
        </w:tc>
        <w:tc>
          <w:tcPr>
            <w:tcW w:type="dxa" w:w="4176"/>
            <w:shd w:val="clear" w:color="auto" w:fill="F2F5F9"/>
          </w:tcPr>
          <w:p>
            <w:pPr>
              <w:spacing w:after="20" w:before="20" w:line="254" w:lineRule="auto"/>
              <w:jc w:val="left"/>
            </w:pPr>
            <w:r>
              <w:rPr>
                <w:sz w:val="16"/>
              </w:rPr>
              <w:t>all present and non-empty</w:t>
            </w:r>
          </w:p>
        </w:tc>
      </w:tr>
      <w:tr>
        <w:tc>
          <w:tcPr>
            <w:tcW w:type="dxa" w:w="1181"/>
          </w:tcPr>
          <w:p>
            <w:pPr>
              <w:spacing w:after="20" w:before="20" w:line="254" w:lineRule="auto"/>
              <w:jc w:val="left"/>
            </w:pPr>
            <w:r>
              <w:rPr>
                <w:sz w:val="16"/>
              </w:rPr>
              <w:t>4</w:t>
            </w:r>
          </w:p>
        </w:tc>
        <w:tc>
          <w:tcPr>
            <w:tcW w:type="dxa" w:w="3960"/>
          </w:tcPr>
          <w:p>
            <w:pPr>
              <w:spacing w:after="20" w:before="20" w:line="254" w:lineRule="auto"/>
              <w:jc w:val="center"/>
            </w:pPr>
            <w:r>
              <w:rPr>
                <w:rFonts w:ascii="Consolas" w:hAnsi="Consolas" w:eastAsia="Consolas"/>
                <w:color w:val="8A2C1F"/>
                <w:sz w:val="15"/>
              </w:rPr>
              <w:t>data/Customer-Churn-Features-Unscaled.csv</w:t>
            </w:r>
          </w:p>
        </w:tc>
        <w:tc>
          <w:tcPr>
            <w:tcW w:type="dxa" w:w="4176"/>
          </w:tcPr>
          <w:p>
            <w:pPr>
              <w:spacing w:after="20" w:before="20" w:line="254" w:lineRule="auto"/>
              <w:jc w:val="center"/>
            </w:pPr>
            <w:r>
              <w:rPr>
                <w:b/>
                <w:sz w:val="16"/>
              </w:rPr>
              <w:t>8 columns, 7 043 rows</w:t>
            </w:r>
          </w:p>
        </w:tc>
      </w:tr>
      <w:tr>
        <w:tc>
          <w:tcPr>
            <w:tcW w:type="dxa" w:w="1181"/>
            <w:shd w:val="clear" w:color="auto" w:fill="F2F5F9"/>
          </w:tcPr>
          <w:p>
            <w:pPr>
              <w:spacing w:after="20" w:before="20" w:line="254" w:lineRule="auto"/>
              <w:jc w:val="left"/>
            </w:pPr>
            <w:r>
              <w:rPr>
                <w:sz w:val="16"/>
              </w:rPr>
              <w:t>4</w:t>
            </w:r>
          </w:p>
        </w:tc>
        <w:tc>
          <w:tcPr>
            <w:tcW w:type="dxa" w:w="3960"/>
            <w:shd w:val="clear" w:color="auto" w:fill="F2F5F9"/>
          </w:tcPr>
          <w:p>
            <w:pPr>
              <w:spacing w:after="20" w:before="20" w:line="254" w:lineRule="auto"/>
              <w:jc w:val="center"/>
            </w:pPr>
            <w:r>
              <w:rPr>
                <w:rFonts w:ascii="Consolas" w:hAnsi="Consolas" w:eastAsia="Consolas"/>
                <w:color w:val="8A2C1F"/>
                <w:sz w:val="15"/>
              </w:rPr>
              <w:t>models/feature_engineering_artifacts.joblib</w:t>
            </w:r>
          </w:p>
        </w:tc>
        <w:tc>
          <w:tcPr>
            <w:tcW w:type="dxa" w:w="4176"/>
            <w:shd w:val="clear" w:color="auto" w:fill="F2F5F9"/>
          </w:tcPr>
          <w:p>
            <w:pPr>
              <w:spacing w:after="20" w:before="20" w:line="254" w:lineRule="auto"/>
              <w:jc w:val="center"/>
            </w:pPr>
            <w:r>
              <w:rPr>
                <w:b/>
                <w:sz w:val="16"/>
              </w:rPr>
              <w:t>present — needed by the dashboard</w:t>
            </w:r>
          </w:p>
        </w:tc>
      </w:tr>
      <w:tr>
        <w:tc>
          <w:tcPr>
            <w:tcW w:type="dxa" w:w="1181"/>
          </w:tcPr>
          <w:p>
            <w:pPr>
              <w:spacing w:after="20" w:before="20" w:line="254" w:lineRule="auto"/>
              <w:jc w:val="left"/>
            </w:pPr>
            <w:r>
              <w:rPr>
                <w:sz w:val="16"/>
              </w:rPr>
              <w:t>5</w:t>
            </w:r>
          </w:p>
        </w:tc>
        <w:tc>
          <w:tcPr>
            <w:tcW w:type="dxa" w:w="3960"/>
          </w:tcPr>
          <w:p>
            <w:pPr>
              <w:spacing w:after="20" w:before="20" w:line="254" w:lineRule="auto"/>
              <w:jc w:val="center"/>
            </w:pPr>
            <w:r>
              <w:rPr>
                <w:rFonts w:ascii="Consolas" w:hAnsi="Consolas" w:eastAsia="Consolas"/>
                <w:color w:val="8A2C1F"/>
                <w:sz w:val="15"/>
              </w:rPr>
              <w:t>data/Customer-Churn-Segmented.csv</w:t>
            </w:r>
          </w:p>
        </w:tc>
        <w:tc>
          <w:tcPr>
            <w:tcW w:type="dxa" w:w="4176"/>
          </w:tcPr>
          <w:p>
            <w:pPr>
              <w:spacing w:after="20" w:before="20" w:line="254" w:lineRule="auto"/>
              <w:jc w:val="left"/>
            </w:pPr>
            <w:r>
              <w:rPr>
                <w:b/>
                <w:sz w:val="16"/>
              </w:rPr>
              <w:t>31 columns</w:t>
            </w:r>
            <w:r>
              <w:rPr>
                <w:sz w:val="16"/>
              </w:rPr>
              <w:t xml:space="preserve"> — confirms the merge succeeded</w:t>
            </w:r>
          </w:p>
        </w:tc>
      </w:tr>
      <w:tr>
        <w:tc>
          <w:tcPr>
            <w:tcW w:type="dxa" w:w="1181"/>
            <w:shd w:val="clear" w:color="auto" w:fill="F2F5F9"/>
          </w:tcPr>
          <w:p>
            <w:pPr>
              <w:spacing w:after="20" w:before="20" w:line="254" w:lineRule="auto"/>
              <w:jc w:val="left"/>
            </w:pPr>
            <w:r>
              <w:rPr>
                <w:sz w:val="16"/>
              </w:rPr>
              <w:t>5</w:t>
            </w:r>
          </w:p>
        </w:tc>
        <w:tc>
          <w:tcPr>
            <w:tcW w:type="dxa" w:w="3960"/>
            <w:shd w:val="clear" w:color="auto" w:fill="F2F5F9"/>
          </w:tcPr>
          <w:p>
            <w:pPr>
              <w:spacing w:after="20" w:before="20" w:line="254" w:lineRule="auto"/>
              <w:jc w:val="center"/>
            </w:pPr>
            <w:r>
              <w:rPr>
                <w:rFonts w:ascii="Consolas" w:hAnsi="Consolas" w:eastAsia="Consolas"/>
                <w:color w:val="8A2C1F"/>
                <w:sz w:val="15"/>
              </w:rPr>
              <w:t>models/customer_segmentation_model.joblib</w:t>
            </w:r>
          </w:p>
        </w:tc>
        <w:tc>
          <w:tcPr>
            <w:tcW w:type="dxa" w:w="4176"/>
            <w:shd w:val="clear" w:color="auto" w:fill="F2F5F9"/>
          </w:tcPr>
          <w:p>
            <w:pPr>
              <w:spacing w:after="20" w:before="20" w:line="254" w:lineRule="auto"/>
              <w:jc w:val="center"/>
            </w:pPr>
            <w:r>
              <w:rPr>
                <w:b/>
                <w:sz w:val="16"/>
              </w:rPr>
              <w:t>present — needed by the dashboard</w:t>
            </w:r>
          </w:p>
        </w:tc>
      </w:tr>
      <w:tr>
        <w:tc>
          <w:tcPr>
            <w:tcW w:type="dxa" w:w="1181"/>
          </w:tcPr>
          <w:p>
            <w:pPr>
              <w:spacing w:after="20" w:before="20" w:line="254" w:lineRule="auto"/>
              <w:jc w:val="left"/>
            </w:pPr>
            <w:r>
              <w:rPr>
                <w:sz w:val="16"/>
              </w:rPr>
              <w:t>6</w:t>
            </w:r>
          </w:p>
        </w:tc>
        <w:tc>
          <w:tcPr>
            <w:tcW w:type="dxa" w:w="3960"/>
          </w:tcPr>
          <w:p>
            <w:pPr>
              <w:spacing w:after="20" w:before="20" w:line="254" w:lineRule="auto"/>
              <w:jc w:val="center"/>
            </w:pPr>
            <w:r>
              <w:rPr>
                <w:rFonts w:ascii="Consolas" w:hAnsi="Consolas" w:eastAsia="Consolas"/>
                <w:color w:val="8A2C1F"/>
                <w:sz w:val="15"/>
              </w:rPr>
              <w:t>data/phase6_model_performance.csv</w:t>
            </w:r>
          </w:p>
        </w:tc>
        <w:tc>
          <w:tcPr>
            <w:tcW w:type="dxa" w:w="4176"/>
          </w:tcPr>
          <w:p>
            <w:pPr>
              <w:spacing w:after="20" w:before="20" w:line="254" w:lineRule="auto"/>
              <w:jc w:val="left"/>
            </w:pPr>
            <w:r>
              <w:rPr>
                <w:sz w:val="16"/>
              </w:rPr>
              <w:t>6 lines: header plus 5 models</w:t>
            </w:r>
          </w:p>
        </w:tc>
      </w:tr>
      <w:tr>
        <w:tc>
          <w:tcPr>
            <w:tcW w:type="dxa" w:w="1181"/>
            <w:shd w:val="clear" w:color="auto" w:fill="F2F5F9"/>
          </w:tcPr>
          <w:p>
            <w:pPr>
              <w:spacing w:after="20" w:before="20" w:line="254" w:lineRule="auto"/>
              <w:jc w:val="left"/>
            </w:pPr>
            <w:r>
              <w:rPr>
                <w:sz w:val="16"/>
              </w:rPr>
              <w:t>7</w:t>
            </w:r>
          </w:p>
        </w:tc>
        <w:tc>
          <w:tcPr>
            <w:tcW w:type="dxa" w:w="3960"/>
            <w:shd w:val="clear" w:color="auto" w:fill="F2F5F9"/>
          </w:tcPr>
          <w:p>
            <w:pPr>
              <w:spacing w:after="20" w:before="20" w:line="254" w:lineRule="auto"/>
              <w:jc w:val="center"/>
            </w:pPr>
            <w:r>
              <w:rPr>
                <w:rFonts w:ascii="Consolas" w:hAnsi="Consolas" w:eastAsia="Consolas"/>
                <w:color w:val="8A2C1F"/>
                <w:sz w:val="15"/>
              </w:rPr>
              <w:t>data/phase7_threshold_analysis.csv</w:t>
            </w:r>
          </w:p>
        </w:tc>
        <w:tc>
          <w:tcPr>
            <w:tcW w:type="dxa" w:w="4176"/>
            <w:shd w:val="clear" w:color="auto" w:fill="F2F5F9"/>
          </w:tcPr>
          <w:p>
            <w:pPr>
              <w:spacing w:after="20" w:before="20" w:line="254" w:lineRule="auto"/>
              <w:jc w:val="left"/>
            </w:pPr>
            <w:r>
              <w:rPr>
                <w:sz w:val="16"/>
              </w:rPr>
              <w:t>18 lines: header plus 17 thresholds</w:t>
            </w:r>
          </w:p>
        </w:tc>
      </w:tr>
      <w:tr>
        <w:tc>
          <w:tcPr>
            <w:tcW w:type="dxa" w:w="1181"/>
          </w:tcPr>
          <w:p>
            <w:pPr>
              <w:spacing w:after="20" w:before="20" w:line="254" w:lineRule="auto"/>
              <w:jc w:val="left"/>
            </w:pPr>
            <w:r>
              <w:rPr>
                <w:sz w:val="16"/>
              </w:rPr>
              <w:t>8</w:t>
            </w:r>
          </w:p>
        </w:tc>
        <w:tc>
          <w:tcPr>
            <w:tcW w:type="dxa" w:w="3960"/>
          </w:tcPr>
          <w:p>
            <w:pPr>
              <w:spacing w:after="20" w:before="20" w:line="254" w:lineRule="auto"/>
              <w:jc w:val="center"/>
            </w:pPr>
            <w:r>
              <w:rPr>
                <w:rFonts w:ascii="Consolas" w:hAnsi="Consolas" w:eastAsia="Consolas"/>
                <w:color w:val="8A2C1F"/>
                <w:sz w:val="15"/>
              </w:rPr>
              <w:t>data/phase8_customer_churn_risk_predictions.csv</w:t>
            </w:r>
          </w:p>
        </w:tc>
        <w:tc>
          <w:tcPr>
            <w:tcW w:type="dxa" w:w="4176"/>
          </w:tcPr>
          <w:p>
            <w:pPr>
              <w:spacing w:after="20" w:before="20" w:line="254" w:lineRule="auto"/>
              <w:jc w:val="center"/>
            </w:pPr>
            <w:r>
              <w:rPr>
                <w:sz w:val="16"/>
              </w:rPr>
              <w:t>7 044 lines</w:t>
            </w:r>
          </w:p>
        </w:tc>
      </w:tr>
      <w:tr>
        <w:tc>
          <w:tcPr>
            <w:tcW w:type="dxa" w:w="1181"/>
            <w:shd w:val="clear" w:color="auto" w:fill="F2F5F9"/>
          </w:tcPr>
          <w:p>
            <w:pPr>
              <w:spacing w:after="20" w:before="20" w:line="254" w:lineRule="auto"/>
              <w:jc w:val="left"/>
            </w:pPr>
            <w:r>
              <w:rPr>
                <w:sz w:val="16"/>
              </w:rPr>
              <w:t>8</w:t>
            </w:r>
          </w:p>
        </w:tc>
        <w:tc>
          <w:tcPr>
            <w:tcW w:type="dxa" w:w="3960"/>
            <w:shd w:val="clear" w:color="auto" w:fill="F2F5F9"/>
          </w:tcPr>
          <w:p>
            <w:pPr>
              <w:spacing w:after="20" w:before="20" w:line="254" w:lineRule="auto"/>
              <w:jc w:val="center"/>
            </w:pPr>
            <w:r>
              <w:rPr>
                <w:rFonts w:ascii="Consolas" w:hAnsi="Consolas" w:eastAsia="Consolas"/>
                <w:b/>
                <w:color w:val="8A2C1F"/>
                <w:sz w:val="15"/>
              </w:rPr>
              <w:t>data/phase8_customer_risk_drivers.csv</w:t>
            </w:r>
          </w:p>
        </w:tc>
        <w:tc>
          <w:tcPr>
            <w:tcW w:type="dxa" w:w="4176"/>
            <w:shd w:val="clear" w:color="auto" w:fill="F2F5F9"/>
          </w:tcPr>
          <w:p>
            <w:pPr>
              <w:spacing w:after="20" w:before="20" w:line="254" w:lineRule="auto"/>
              <w:jc w:val="center"/>
            </w:pPr>
            <w:r>
              <w:rPr>
                <w:b/>
                <w:sz w:val="16"/>
              </w:rPr>
              <w:t>7 044 lines; needed by phase 9</w:t>
            </w:r>
          </w:p>
        </w:tc>
      </w:tr>
      <w:tr>
        <w:tc>
          <w:tcPr>
            <w:tcW w:type="dxa" w:w="1181"/>
          </w:tcPr>
          <w:p>
            <w:pPr>
              <w:spacing w:after="20" w:before="20" w:line="254" w:lineRule="auto"/>
              <w:jc w:val="left"/>
            </w:pPr>
            <w:r>
              <w:rPr>
                <w:sz w:val="16"/>
              </w:rPr>
              <w:t>9</w:t>
            </w:r>
          </w:p>
        </w:tc>
        <w:tc>
          <w:tcPr>
            <w:tcW w:type="dxa" w:w="3960"/>
          </w:tcPr>
          <w:p>
            <w:pPr>
              <w:spacing w:after="20" w:before="20" w:line="254" w:lineRule="auto"/>
              <w:jc w:val="center"/>
            </w:pPr>
            <w:r>
              <w:rPr>
                <w:rFonts w:ascii="Consolas" w:hAnsi="Consolas" w:eastAsia="Consolas"/>
                <w:color w:val="8A2C1F"/>
                <w:sz w:val="15"/>
              </w:rPr>
              <w:t>data/phase9_high_risk_retention_targets.csv</w:t>
            </w:r>
          </w:p>
        </w:tc>
        <w:tc>
          <w:tcPr>
            <w:tcW w:type="dxa" w:w="4176"/>
          </w:tcPr>
          <w:p>
            <w:pPr>
              <w:spacing w:after="20" w:before="20" w:line="254" w:lineRule="auto"/>
              <w:jc w:val="center"/>
            </w:pPr>
            <w:r>
              <w:rPr>
                <w:sz w:val="16"/>
              </w:rPr>
              <w:t>725 lines</w:t>
            </w:r>
          </w:p>
        </w:tc>
      </w:tr>
      <w:tr>
        <w:tc>
          <w:tcPr>
            <w:tcW w:type="dxa" w:w="1181"/>
            <w:shd w:val="clear" w:color="auto" w:fill="F2F5F9"/>
          </w:tcPr>
          <w:p>
            <w:pPr>
              <w:spacing w:after="20" w:before="20" w:line="254" w:lineRule="auto"/>
              <w:jc w:val="left"/>
            </w:pPr>
            <w:r>
              <w:rPr>
                <w:sz w:val="16"/>
              </w:rPr>
              <w:t>9</w:t>
            </w:r>
          </w:p>
        </w:tc>
        <w:tc>
          <w:tcPr>
            <w:tcW w:type="dxa" w:w="3960"/>
            <w:shd w:val="clear" w:color="auto" w:fill="F2F5F9"/>
          </w:tcPr>
          <w:p>
            <w:pPr>
              <w:spacing w:after="20" w:before="20" w:line="254" w:lineRule="auto"/>
              <w:jc w:val="center"/>
            </w:pPr>
            <w:r>
              <w:rPr>
                <w:rFonts w:ascii="Consolas" w:hAnsi="Consolas" w:eastAsia="Consolas"/>
                <w:color w:val="8A2C1F"/>
                <w:sz w:val="15"/>
              </w:rPr>
              <w:t>data/phase9_recommendation_mapping.csv</w:t>
            </w:r>
          </w:p>
        </w:tc>
        <w:tc>
          <w:tcPr>
            <w:tcW w:type="dxa" w:w="4176"/>
            <w:shd w:val="clear" w:color="auto" w:fill="F2F5F9"/>
          </w:tcPr>
          <w:p>
            <w:pPr>
              <w:spacing w:after="20" w:before="20" w:line="254" w:lineRule="auto"/>
              <w:jc w:val="center"/>
            </w:pPr>
            <w:r>
              <w:rPr>
                <w:b/>
                <w:sz w:val="16"/>
              </w:rPr>
              <w:t>6 lines — one per driver category</w:t>
            </w:r>
          </w:p>
        </w:tc>
      </w:tr>
    </w:tbl>
    <w:p>
      <w:pPr>
        <w:spacing w:before="60" w:after="200"/>
        <w:jc w:val="center"/>
      </w:pPr>
      <w:r>
        <w:rPr>
          <w:i/>
          <w:color w:val="555F6B"/>
          <w:sz w:val="17"/>
        </w:rPr>
        <w:t>Table 54: Artefacts to verify after each phase. The phase 4 and 5 rows are the ones that confirm the remediation is in effect.</w:t>
      </w:r>
    </w:p>
    <w:p>
      <w:pPr>
        <w:keepNext/>
        <w:spacing w:before="240" w:after="80"/>
      </w:pPr>
      <w:r>
        <w:rPr>
          <w:b/>
          <w:color w:val="1B355E"/>
          <w:sz w:val="25"/>
        </w:rPr>
        <w:t>23.5  Step 4 — Score new customers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import sys, joblib, pandas as pd</w:t>
            </w:r>
          </w:p>
          <w:p>
            <w:pPr>
              <w:spacing w:after="0" w:before="0" w:line="240" w:lineRule="auto"/>
            </w:pPr>
            <w:r>
              <w:rPr>
                <w:rFonts w:ascii="Consolas" w:hAnsi="Consolas" w:eastAsia="Consolas"/>
                <w:color w:val="1A232E"/>
                <w:sz w:val="16"/>
              </w:rPr>
              <w:t>sys.path.insert(0, ".")</w:t>
            </w:r>
          </w:p>
          <w:p>
            <w:pPr>
              <w:spacing w:after="0" w:before="0" w:line="240" w:lineRule="auto"/>
            </w:pPr>
            <w:r>
              <w:rPr>
                <w:rFonts w:ascii="Consolas" w:hAnsi="Consolas" w:eastAsia="Consolas"/>
                <w:color w:val="1A232E"/>
                <w:sz w:val="16"/>
              </w:rPr>
              <w:t>from churn_features import add_engineered_features, assign_clusters, to_nominal_cluster</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model = joblib.load("models/calibrated_churn_probability_model.joblib")</w:t>
            </w:r>
          </w:p>
          <w:p>
            <w:pPr>
              <w:spacing w:after="0" w:before="0" w:line="240" w:lineRule="auto"/>
            </w:pPr>
            <w:r>
              <w:rPr>
                <w:rFonts w:ascii="Consolas" w:hAnsi="Consolas" w:eastAsia="Consolas"/>
                <w:color w:val="1A232E"/>
                <w:sz w:val="16"/>
              </w:rPr>
              <w:t>feature_artifacts  = joblib.load("models/feature_engineering_artifacts.joblib")</w:t>
            </w:r>
          </w:p>
          <w:p>
            <w:pPr>
              <w:spacing w:after="0" w:before="0" w:line="240" w:lineRule="auto"/>
            </w:pPr>
            <w:r>
              <w:rPr>
                <w:rFonts w:ascii="Consolas" w:hAnsi="Consolas" w:eastAsia="Consolas"/>
                <w:color w:val="1A232E"/>
                <w:sz w:val="16"/>
              </w:rPr>
              <w:t>segmentation_model = joblib.load("models/customer_segmentation_model.joblib")</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new_customers = pd.read_csv("data/new_customers.csv")</w:t>
            </w:r>
          </w:p>
          <w:p>
            <w:pPr>
              <w:spacing w:after="0" w:before="0" w:line="240" w:lineRule="auto"/>
            </w:pPr>
            <w:r>
              <w:rPr>
                <w:rFonts w:ascii="Consolas" w:hAnsi="Consolas" w:eastAsia="Consolas"/>
                <w:color w:val="1A232E"/>
                <w:sz w:val="16"/>
              </w:rPr>
              <w:t>new_customers["TotalCharges"] = pd.to_numeric(</w:t>
            </w:r>
          </w:p>
          <w:p>
            <w:pPr>
              <w:spacing w:after="0" w:before="0" w:line="240" w:lineRule="auto"/>
            </w:pPr>
            <w:r>
              <w:rPr>
                <w:rFonts w:ascii="Consolas" w:hAnsi="Consolas" w:eastAsia="Consolas"/>
                <w:color w:val="1A232E"/>
                <w:sz w:val="16"/>
              </w:rPr>
              <w:t xml:space="preserve">    new_customers["TotalCharges"], errors="coerce").fillna(0.0)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Rebuild every feature exactly as training did</w:t>
            </w:r>
          </w:p>
          <w:p>
            <w:pPr>
              <w:spacing w:after="0" w:before="0" w:line="240" w:lineRule="auto"/>
            </w:pPr>
            <w:r>
              <w:rPr>
                <w:rFonts w:ascii="Consolas" w:hAnsi="Consolas" w:eastAsia="Consolas"/>
                <w:color w:val="1A232E"/>
                <w:sz w:val="16"/>
              </w:rPr>
              <w:t>scored, _ = add_engineered_features(new_customers, artifacts=feature_artifacts)</w:t>
            </w:r>
          </w:p>
          <w:p>
            <w:pPr>
              <w:spacing w:after="0" w:before="0" w:line="240" w:lineRule="auto"/>
            </w:pPr>
            <w:r>
              <w:rPr>
                <w:rFonts w:ascii="Consolas" w:hAnsi="Consolas" w:eastAsia="Consolas"/>
                <w:color w:val="1A232E"/>
                <w:sz w:val="16"/>
              </w:rPr>
              <w:t>scored = to_nominal_cluster(assign_clusters(scored, segmentation_model))</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scored["ChurnProbability"] = model.predict_proba(</w:t>
            </w:r>
          </w:p>
          <w:p>
            <w:pPr>
              <w:spacing w:after="0" w:before="0" w:line="240" w:lineRule="auto"/>
            </w:pPr>
            <w:r>
              <w:rPr>
                <w:rFonts w:ascii="Consolas" w:hAnsi="Consolas" w:eastAsia="Consolas"/>
                <w:color w:val="1A232E"/>
                <w:sz w:val="16"/>
              </w:rPr>
              <w:t xml:space="preserve">    scored[model.feature_names_in_.tolist()])[:, 1]</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Rank by revenue at risk rather than probability alone</w:t>
            </w:r>
          </w:p>
          <w:p>
            <w:pPr>
              <w:spacing w:after="0" w:before="0" w:line="240" w:lineRule="auto"/>
            </w:pPr>
            <w:r>
              <w:rPr>
                <w:rFonts w:ascii="Consolas" w:hAnsi="Consolas" w:eastAsia="Consolas"/>
                <w:color w:val="1A232E"/>
                <w:sz w:val="16"/>
              </w:rPr>
              <w:t>scored["RevenueAtRisk"] = scored["ChurnProbability"] * scored["MonthlyCharges"] * 12</w:t>
            </w:r>
          </w:p>
          <w:p>
            <w:pPr>
              <w:spacing w:after="0" w:before="0" w:line="240" w:lineRule="auto"/>
            </w:pPr>
            <w:r>
              <w:rPr>
                <w:rFonts w:ascii="Consolas" w:hAnsi="Consolas" w:eastAsia="Consolas"/>
                <w:color w:val="1A232E"/>
                <w:sz w:val="16"/>
              </w:rPr>
              <w:t>scored.sort_values("RevenueAtRisk", ascending=False).head(200).to_csv(</w:t>
            </w:r>
          </w:p>
          <w:p>
            <w:pPr>
              <w:spacing w:after="0" w:before="0" w:line="240" w:lineRule="auto"/>
            </w:pPr>
            <w:r>
              <w:rPr>
                <w:rFonts w:ascii="Consolas" w:hAnsi="Consolas" w:eastAsia="Consolas"/>
                <w:color w:val="1A232E"/>
                <w:sz w:val="16"/>
              </w:rPr>
              <w:t xml:space="preserve">    "data/retention_priority_list.csv", index=False)</w:t>
            </w:r>
          </w:p>
        </w:tc>
      </w:tr>
    </w:tbl>
    <w:p>
      <w:pPr>
        <w:spacing w:before="60" w:after="180"/>
        <w:jc w:val="center"/>
      </w:pPr>
      <w:r>
        <w:rPr>
          <w:i/>
          <w:color w:val="555F6B"/>
          <w:sz w:val="17"/>
        </w:rPr>
        <w:t>Listing 26: Scoring new customers outside the dashboard. Passing the artefacts is what keeps the features consistent with training.</w:t>
      </w:r>
    </w:p>
    <w:p>
      <w:pPr>
        <w:keepNext/>
        <w:spacing w:before="240" w:after="80"/>
      </w:pPr>
      <w:r>
        <w:rPr>
          <w:b/>
          <w:color w:val="1B355E"/>
          <w:sz w:val="25"/>
        </w:rPr>
        <w:t>23.6  Troubleshooting</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096"/>
        <w:gridCol w:w="2520"/>
        <w:gridCol w:w="3700"/>
      </w:tblGrid>
      <w:tr>
        <w:tc>
          <w:tcPr>
            <w:tcW w:type="dxa" w:w="3096"/>
            <w:shd w:val="clear" w:color="auto" w:fill="1B355E"/>
          </w:tcPr>
          <w:p>
            <w:pPr>
              <w:spacing w:after="20" w:before="20"/>
              <w:jc w:val="center"/>
            </w:pPr>
            <w:r>
              <w:rPr>
                <w:b/>
                <w:color w:val="FFFFFF"/>
                <w:sz w:val="16"/>
              </w:rPr>
              <w:t>Symptom</w:t>
            </w:r>
          </w:p>
        </w:tc>
        <w:tc>
          <w:tcPr>
            <w:tcW w:type="dxa" w:w="2520"/>
            <w:shd w:val="clear" w:color="auto" w:fill="1B355E"/>
          </w:tcPr>
          <w:p>
            <w:pPr>
              <w:spacing w:after="20" w:before="20"/>
              <w:jc w:val="center"/>
            </w:pPr>
            <w:r>
              <w:rPr>
                <w:b/>
                <w:color w:val="FFFFFF"/>
                <w:sz w:val="16"/>
              </w:rPr>
              <w:t>Cause</w:t>
            </w:r>
          </w:p>
        </w:tc>
        <w:tc>
          <w:tcPr>
            <w:tcW w:type="dxa" w:w="3701"/>
            <w:shd w:val="clear" w:color="auto" w:fill="1B355E"/>
          </w:tcPr>
          <w:p>
            <w:pPr>
              <w:spacing w:after="20" w:before="20"/>
              <w:jc w:val="center"/>
            </w:pPr>
            <w:r>
              <w:rPr>
                <w:b/>
                <w:color w:val="FFFFFF"/>
                <w:sz w:val="16"/>
              </w:rPr>
              <w:t>Resolution</w:t>
            </w:r>
          </w:p>
        </w:tc>
      </w:tr>
      <w:tr>
        <w:tc>
          <w:tcPr>
            <w:tcW w:type="dxa" w:w="3096"/>
          </w:tcPr>
          <w:p>
            <w:pPr>
              <w:spacing w:after="20" w:before="20" w:line="254" w:lineRule="auto"/>
              <w:jc w:val="left"/>
            </w:pPr>
            <w:r>
              <w:rPr>
                <w:rFonts w:ascii="Consolas" w:hAnsi="Consolas" w:eastAsia="Consolas"/>
                <w:color w:val="8A2C1F"/>
                <w:sz w:val="15"/>
              </w:rPr>
              <w:t>ModuleNotFoundError: No module named 'xgboost'</w:t>
            </w:r>
          </w:p>
        </w:tc>
        <w:tc>
          <w:tcPr>
            <w:tcW w:type="dxa" w:w="2520"/>
          </w:tcPr>
          <w:p>
            <w:pPr>
              <w:spacing w:after="20" w:before="20" w:line="254" w:lineRule="auto"/>
              <w:jc w:val="left"/>
            </w:pPr>
            <w:r>
              <w:rPr>
                <w:sz w:val="16"/>
              </w:rPr>
              <w:t>environment not activated</w:t>
            </w:r>
          </w:p>
        </w:tc>
        <w:tc>
          <w:tcPr>
            <w:tcW w:type="dxa" w:w="3701"/>
          </w:tcPr>
          <w:p>
            <w:pPr>
              <w:spacing w:after="20" w:before="20" w:line="254" w:lineRule="auto"/>
              <w:jc w:val="center"/>
            </w:pPr>
            <w:r>
              <w:rPr>
                <w:rFonts w:ascii="Consolas" w:hAnsi="Consolas" w:eastAsia="Consolas"/>
                <w:color w:val="8A2C1F"/>
                <w:sz w:val="15"/>
              </w:rPr>
              <w:t>.venv\Scripts\activate</w:t>
            </w:r>
            <w:r>
              <w:rPr>
                <w:sz w:val="16"/>
              </w:rPr>
              <w:t>, then re-run</w:t>
            </w:r>
          </w:p>
        </w:tc>
      </w:tr>
      <w:tr>
        <w:tc>
          <w:tcPr>
            <w:tcW w:type="dxa" w:w="3096"/>
            <w:shd w:val="clear" w:color="auto" w:fill="F2F5F9"/>
          </w:tcPr>
          <w:p>
            <w:pPr>
              <w:spacing w:after="20" w:before="20" w:line="254" w:lineRule="auto"/>
              <w:jc w:val="left"/>
            </w:pPr>
            <w:r>
              <w:rPr>
                <w:rFonts w:ascii="Consolas" w:hAnsi="Consolas" w:eastAsia="Consolas"/>
                <w:color w:val="8A2C1F"/>
                <w:sz w:val="15"/>
              </w:rPr>
              <w:t>SystemExit: Required input not found: ...Features-Unscaled.csv</w:t>
            </w:r>
          </w:p>
        </w:tc>
        <w:tc>
          <w:tcPr>
            <w:tcW w:type="dxa" w:w="2520"/>
            <w:shd w:val="clear" w:color="auto" w:fill="F2F5F9"/>
          </w:tcPr>
          <w:p>
            <w:pPr>
              <w:spacing w:after="20" w:before="20" w:line="254" w:lineRule="auto"/>
              <w:jc w:val="center"/>
            </w:pPr>
            <w:r>
              <w:rPr>
                <w:b/>
                <w:sz w:val="16"/>
              </w:rPr>
              <w:t>phase 5 run before phase 4</w:t>
            </w:r>
          </w:p>
        </w:tc>
        <w:tc>
          <w:tcPr>
            <w:tcW w:type="dxa" w:w="3701"/>
            <w:shd w:val="clear" w:color="auto" w:fill="F2F5F9"/>
          </w:tcPr>
          <w:p>
            <w:pPr>
              <w:spacing w:after="20" w:before="20" w:line="254" w:lineRule="auto"/>
              <w:jc w:val="left"/>
            </w:pPr>
            <w:r>
              <w:rPr>
                <w:sz w:val="16"/>
              </w:rPr>
              <w:t>run phase 4 first — this guard is part of the defect 3 fix</w:t>
            </w:r>
          </w:p>
        </w:tc>
      </w:tr>
      <w:tr>
        <w:tc>
          <w:tcPr>
            <w:tcW w:type="dxa" w:w="3096"/>
          </w:tcPr>
          <w:p>
            <w:pPr>
              <w:spacing w:after="20" w:before="20" w:line="254" w:lineRule="auto"/>
              <w:jc w:val="left"/>
            </w:pPr>
            <w:r>
              <w:rPr>
                <w:rFonts w:ascii="Consolas" w:hAnsi="Consolas" w:eastAsia="Consolas"/>
                <w:color w:val="8A2C1F"/>
                <w:sz w:val="15"/>
              </w:rPr>
              <w:t>SystemExit: Engineered features are missing for some customers</w:t>
            </w:r>
          </w:p>
        </w:tc>
        <w:tc>
          <w:tcPr>
            <w:tcW w:type="dxa" w:w="2520"/>
          </w:tcPr>
          <w:p>
            <w:pPr>
              <w:spacing w:after="20" w:before="20" w:line="254" w:lineRule="auto"/>
              <w:jc w:val="left"/>
            </w:pPr>
            <w:r>
              <w:rPr>
                <w:sz w:val="16"/>
              </w:rPr>
              <w:t>stale feature file from an earlier dataset</w:t>
            </w:r>
          </w:p>
        </w:tc>
        <w:tc>
          <w:tcPr>
            <w:tcW w:type="dxa" w:w="3701"/>
          </w:tcPr>
          <w:p>
            <w:pPr>
              <w:spacing w:after="20" w:before="20" w:line="254" w:lineRule="auto"/>
              <w:jc w:val="left"/>
            </w:pPr>
            <w:r>
              <w:rPr>
                <w:sz w:val="16"/>
              </w:rPr>
              <w:t>re-run phase 4 to regenerate it</w:t>
            </w:r>
          </w:p>
        </w:tc>
      </w:tr>
      <w:tr>
        <w:tc>
          <w:tcPr>
            <w:tcW w:type="dxa" w:w="3096"/>
            <w:shd w:val="clear" w:color="auto" w:fill="F2F5F9"/>
          </w:tcPr>
          <w:p>
            <w:pPr>
              <w:spacing w:after="20" w:before="20" w:line="254" w:lineRule="auto"/>
              <w:jc w:val="left"/>
            </w:pPr>
            <w:r>
              <w:rPr>
                <w:rFonts w:ascii="Consolas" w:hAnsi="Consolas" w:eastAsia="Consolas"/>
                <w:color w:val="8A2C1F"/>
                <w:sz w:val="15"/>
              </w:rPr>
              <w:t>FileNotFoundError: data/Customer-Churn.csv</w:t>
            </w:r>
          </w:p>
        </w:tc>
        <w:tc>
          <w:tcPr>
            <w:tcW w:type="dxa" w:w="2520"/>
            <w:shd w:val="clear" w:color="auto" w:fill="F2F5F9"/>
          </w:tcPr>
          <w:p>
            <w:pPr>
              <w:spacing w:after="20" w:before="20" w:line="254" w:lineRule="auto"/>
              <w:jc w:val="left"/>
            </w:pPr>
            <w:r>
              <w:rPr>
                <w:sz w:val="16"/>
              </w:rPr>
              <w:t>wrong working directory</w:t>
            </w:r>
          </w:p>
        </w:tc>
        <w:tc>
          <w:tcPr>
            <w:tcW w:type="dxa" w:w="3701"/>
            <w:shd w:val="clear" w:color="auto" w:fill="F2F5F9"/>
          </w:tcPr>
          <w:p>
            <w:pPr>
              <w:spacing w:after="20" w:before="20" w:line="254" w:lineRule="auto"/>
              <w:jc w:val="center"/>
            </w:pPr>
            <w:r>
              <w:rPr>
                <w:rFonts w:ascii="Consolas" w:hAnsi="Consolas" w:eastAsia="Consolas"/>
                <w:color w:val="8A2C1F"/>
                <w:sz w:val="15"/>
              </w:rPr>
              <w:t>cd</w:t>
            </w:r>
            <w:r>
              <w:rPr>
                <w:sz w:val="16"/>
              </w:rPr>
              <w:t xml:space="preserve"> into </w:t>
            </w:r>
            <w:r>
              <w:rPr>
                <w:rFonts w:ascii="Consolas" w:hAnsi="Consolas" w:eastAsia="Consolas"/>
                <w:color w:val="8A2C1F"/>
                <w:sz w:val="15"/>
              </w:rPr>
              <w:t>customer_churn_100/customer_churn</w:t>
            </w:r>
          </w:p>
        </w:tc>
      </w:tr>
      <w:tr>
        <w:tc>
          <w:tcPr>
            <w:tcW w:type="dxa" w:w="3096"/>
          </w:tcPr>
          <w:p>
            <w:pPr>
              <w:spacing w:after="20" w:before="20" w:line="254" w:lineRule="auto"/>
              <w:jc w:val="left"/>
            </w:pPr>
            <w:r>
              <w:rPr>
                <w:sz w:val="16"/>
              </w:rPr>
              <w:t>Dashboard: "Segmentation model not found"</w:t>
            </w:r>
          </w:p>
        </w:tc>
        <w:tc>
          <w:tcPr>
            <w:tcW w:type="dxa" w:w="2520"/>
          </w:tcPr>
          <w:p>
            <w:pPr>
              <w:spacing w:after="20" w:before="20" w:line="254" w:lineRule="auto"/>
              <w:jc w:val="left"/>
            </w:pPr>
            <w:r>
              <w:rPr>
                <w:sz w:val="16"/>
              </w:rPr>
              <w:t>phase 5 has not been run since remediation</w:t>
            </w:r>
          </w:p>
        </w:tc>
        <w:tc>
          <w:tcPr>
            <w:tcW w:type="dxa" w:w="3701"/>
          </w:tcPr>
          <w:p>
            <w:pPr>
              <w:spacing w:after="20" w:before="20" w:line="254" w:lineRule="auto"/>
              <w:jc w:val="left"/>
            </w:pPr>
            <w:r>
              <w:rPr>
                <w:sz w:val="16"/>
              </w:rPr>
              <w:t>run phase 5 to write the segmentation artefact</w:t>
            </w:r>
          </w:p>
        </w:tc>
      </w:tr>
      <w:tr>
        <w:tc>
          <w:tcPr>
            <w:tcW w:type="dxa" w:w="3096"/>
            <w:shd w:val="clear" w:color="auto" w:fill="F2F5F9"/>
          </w:tcPr>
          <w:p>
            <w:pPr>
              <w:spacing w:after="20" w:before="20" w:line="254" w:lineRule="auto"/>
              <w:jc w:val="left"/>
            </w:pPr>
            <w:r>
              <w:rPr>
                <w:rFonts w:ascii="Consolas" w:hAnsi="Consolas" w:eastAsia="Consolas"/>
                <w:color w:val="8A2C1F"/>
                <w:sz w:val="15"/>
              </w:rPr>
              <w:t>ModuleNotFoundError: No module named 'churn_features'</w:t>
            </w:r>
          </w:p>
        </w:tc>
        <w:tc>
          <w:tcPr>
            <w:tcW w:type="dxa" w:w="2520"/>
            <w:shd w:val="clear" w:color="auto" w:fill="F2F5F9"/>
          </w:tcPr>
          <w:p>
            <w:pPr>
              <w:spacing w:after="20" w:before="20" w:line="254" w:lineRule="auto"/>
              <w:jc w:val="left"/>
            </w:pPr>
            <w:r>
              <w:rPr>
                <w:sz w:val="16"/>
              </w:rPr>
              <w:t>script run from outside the working directory</w:t>
            </w:r>
          </w:p>
        </w:tc>
        <w:tc>
          <w:tcPr>
            <w:tcW w:type="dxa" w:w="3701"/>
            <w:shd w:val="clear" w:color="auto" w:fill="F2F5F9"/>
          </w:tcPr>
          <w:p>
            <w:pPr>
              <w:spacing w:after="20" w:before="20" w:line="254" w:lineRule="auto"/>
              <w:jc w:val="left"/>
            </w:pPr>
            <w:r>
              <w:rPr>
                <w:sz w:val="16"/>
              </w:rPr>
              <w:t>all phases must run with the project folder as cwd</w:t>
            </w:r>
          </w:p>
        </w:tc>
      </w:tr>
      <w:tr>
        <w:tc>
          <w:tcPr>
            <w:tcW w:type="dxa" w:w="3096"/>
          </w:tcPr>
          <w:p>
            <w:pPr>
              <w:spacing w:after="20" w:before="20" w:line="254" w:lineRule="auto"/>
              <w:jc w:val="left"/>
            </w:pPr>
            <w:r>
              <w:rPr>
                <w:rFonts w:ascii="Consolas" w:hAnsi="Consolas" w:eastAsia="Consolas"/>
                <w:color w:val="8A2C1F"/>
                <w:sz w:val="15"/>
              </w:rPr>
              <w:t>SystemExit: Required input not found: ...risk_drivers.csv</w:t>
            </w:r>
          </w:p>
        </w:tc>
        <w:tc>
          <w:tcPr>
            <w:tcW w:type="dxa" w:w="2520"/>
          </w:tcPr>
          <w:p>
            <w:pPr>
              <w:spacing w:after="20" w:before="20" w:line="254" w:lineRule="auto"/>
              <w:jc w:val="left"/>
            </w:pPr>
            <w:r>
              <w:rPr>
                <w:sz w:val="16"/>
              </w:rPr>
              <w:t>phase 9 run before phase 8</w:t>
            </w:r>
          </w:p>
        </w:tc>
        <w:tc>
          <w:tcPr>
            <w:tcW w:type="dxa" w:w="3701"/>
          </w:tcPr>
          <w:p>
            <w:pPr>
              <w:spacing w:after="20" w:before="20" w:line="254" w:lineRule="auto"/>
              <w:jc w:val="center"/>
            </w:pPr>
            <w:r>
              <w:rPr>
                <w:sz w:val="16"/>
              </w:rPr>
              <w:t>run phase 8 first</w:t>
            </w:r>
          </w:p>
        </w:tc>
      </w:tr>
      <w:tr>
        <w:tc>
          <w:tcPr>
            <w:tcW w:type="dxa" w:w="3096"/>
            <w:shd w:val="clear" w:color="auto" w:fill="F2F5F9"/>
          </w:tcPr>
          <w:p>
            <w:pPr>
              <w:spacing w:after="20" w:before="20" w:line="254" w:lineRule="auto"/>
              <w:jc w:val="left"/>
            </w:pPr>
            <w:r>
              <w:rPr>
                <w:sz w:val="16"/>
              </w:rPr>
              <w:t>Phase 6 appears to hang</w:t>
            </w:r>
          </w:p>
        </w:tc>
        <w:tc>
          <w:tcPr>
            <w:tcW w:type="dxa" w:w="2520"/>
            <w:shd w:val="clear" w:color="auto" w:fill="F2F5F9"/>
          </w:tcPr>
          <w:p>
            <w:pPr>
              <w:spacing w:after="20" w:before="20" w:line="254" w:lineRule="auto"/>
              <w:jc w:val="left"/>
            </w:pPr>
            <w:r>
              <w:rPr>
                <w:sz w:val="16"/>
              </w:rPr>
              <w:t>150-fit randomized search in progress</w:t>
            </w:r>
          </w:p>
        </w:tc>
        <w:tc>
          <w:tcPr>
            <w:tcW w:type="dxa" w:w="3701"/>
            <w:shd w:val="clear" w:color="auto" w:fill="F2F5F9"/>
          </w:tcPr>
          <w:p>
            <w:pPr>
              <w:spacing w:after="20" w:before="20" w:line="254" w:lineRule="auto"/>
              <w:jc w:val="left"/>
            </w:pPr>
            <w:r>
              <w:rPr>
                <w:sz w:val="16"/>
              </w:rPr>
              <w:t xml:space="preserve">expected; takes about 4 minutes. Reduce </w:t>
            </w:r>
            <w:r>
              <w:rPr>
                <w:rFonts w:ascii="Consolas" w:hAnsi="Consolas" w:eastAsia="Consolas"/>
                <w:color w:val="8A2C1F"/>
                <w:sz w:val="15"/>
              </w:rPr>
              <w:t>n_iter</w:t>
            </w:r>
            <w:r>
              <w:rPr>
                <w:sz w:val="16"/>
              </w:rPr>
              <w:t xml:space="preserve"> to shorten it</w:t>
            </w:r>
          </w:p>
        </w:tc>
      </w:tr>
      <w:tr>
        <w:tc>
          <w:tcPr>
            <w:tcW w:type="dxa" w:w="3096"/>
          </w:tcPr>
          <w:p>
            <w:pPr>
              <w:spacing w:after="20" w:before="20" w:line="254" w:lineRule="auto"/>
              <w:jc w:val="left"/>
            </w:pPr>
            <w:r>
              <w:rPr>
                <w:rFonts w:ascii="Consolas" w:hAnsi="Consolas" w:eastAsia="Consolas"/>
                <w:color w:val="8A2C1F"/>
                <w:sz w:val="15"/>
              </w:rPr>
              <w:t>InconsistentVersionWarning</w:t>
            </w:r>
            <w:r>
              <w:rPr>
                <w:sz w:val="16"/>
              </w:rPr>
              <w:t xml:space="preserve"> on load</w:t>
            </w:r>
          </w:p>
        </w:tc>
        <w:tc>
          <w:tcPr>
            <w:tcW w:type="dxa" w:w="2520"/>
          </w:tcPr>
          <w:p>
            <w:pPr>
              <w:spacing w:after="20" w:before="20" w:line="254" w:lineRule="auto"/>
              <w:jc w:val="left"/>
            </w:pPr>
            <w:r>
              <w:rPr>
                <w:sz w:val="16"/>
              </w:rPr>
              <w:t>models pickled by a different scikit-learn</w:t>
            </w:r>
          </w:p>
        </w:tc>
        <w:tc>
          <w:tcPr>
            <w:tcW w:type="dxa" w:w="3701"/>
          </w:tcPr>
          <w:p>
            <w:pPr>
              <w:spacing w:after="20" w:before="20" w:line="254" w:lineRule="auto"/>
              <w:jc w:val="left"/>
            </w:pPr>
            <w:r>
              <w:rPr>
                <w:sz w:val="16"/>
              </w:rPr>
              <w:t>re-run phases 6 and 8 to regenerate them in this environment</w:t>
            </w:r>
          </w:p>
        </w:tc>
      </w:tr>
    </w:tbl>
    <w:p>
      <w:pPr>
        <w:spacing w:before="60" w:after="200"/>
        <w:jc w:val="center"/>
      </w:pPr>
      <w:r>
        <w:rPr>
          <w:i/>
          <w:color w:val="555F6B"/>
          <w:sz w:val="17"/>
        </w:rPr>
        <w:t>Table 55: Common failure symptoms and their resolutions.</w:t>
      </w:r>
    </w:p>
    <w:p>
      <w:r>
        <w:br w:type="page"/>
      </w:r>
    </w:p>
    <w:p>
      <w:pPr>
        <w:spacing w:after="0"/>
      </w:pPr>
    </w:p>
    <w:p>
      <w:pPr>
        <w:keepNext/>
        <w:spacing w:before="80" w:after="40"/>
        <w:pBdr>
          <w:bottom w:val="single" w:sz="10" w:space="3" w:color="1B355E"/>
        </w:pBdr>
      </w:pPr>
      <w:r>
        <w:rPr>
          <w:b/>
          <w:color w:val="1B355E"/>
          <w:sz w:val="30"/>
        </w:rPr>
        <w:t>24.  Conclusion</w:t>
      </w:r>
    </w:p>
    <w:p>
      <w:pPr>
        <w:spacing w:after="40"/>
      </w:pPr>
    </w:p>
    <w:p>
      <w:pPr>
        <w:spacing w:after="120" w:before="0"/>
        <w:jc w:val="both"/>
      </w:pPr>
      <w:r>
        <w:rPr>
          <w:b w:val="0"/>
          <w:i w:val="0"/>
          <w:sz w:val="21"/>
        </w:rPr>
        <w:t>Six issues have been corrected over two rounds: the three specified defects and the three follow-up issues. Each correction was verified by re-running the pipeline, and the codebase now produces results that can be defended.</w:t>
      </w:r>
    </w:p>
    <w:p>
      <w:pPr>
        <w:keepNext/>
        <w:spacing w:before="240" w:after="80"/>
      </w:pPr>
      <w:r>
        <w:rPr>
          <w:b/>
          <w:color w:val="1B355E"/>
          <w:sz w:val="25"/>
        </w:rPr>
        <w:t>24.1  What was fixed</w:t>
      </w:r>
    </w:p>
    <w:p>
      <w:pPr>
        <w:spacing w:after="80" w:line="264" w:lineRule="auto"/>
        <w:ind w:left="806" w:hanging="490"/>
        <w:jc w:val="both"/>
        <w:tabs>
          <w:tab w:val="left" w:pos="806"/>
        </w:tabs>
      </w:pPr>
      <w:r>
        <w:rPr>
          <w:b/>
          <w:color w:val="0B5C7A"/>
          <w:sz w:val="21"/>
        </w:rPr>
        <w:t>1.</w:t>
      </w:r>
      <w:r>
        <w:rPr>
          <w:sz w:val="21"/>
        </w:rPr>
        <w:tab/>
      </w:r>
      <w:r>
        <w:rPr>
          <w:b/>
          <w:sz w:val="21"/>
        </w:rPr>
        <w:t xml:space="preserve">Hold-out sample size. </w:t>
      </w:r>
      <w:r>
        <w:rPr>
          <w:rFonts w:ascii="Consolas" w:hAnsi="Consolas" w:eastAsia="Consolas"/>
          <w:b w:val="0"/>
          <w:color w:val="8A2C1F"/>
          <w:sz w:val="19"/>
        </w:rPr>
        <w:t>TEST_SIZE</w:t>
      </w:r>
      <w:r>
        <w:rPr>
          <w:b w:val="0"/>
          <w:sz w:val="21"/>
        </w:rPr>
        <w:t xml:space="preserve"> moved from 0.05 to 0.20 in phases 6, 7 and 8, enlarging the test set from 353 records to 1 409 and the churner count from 94 to 374. The 95 % confidence interval on ROC-AUC halved, from ±0.053 to ±0.026. The split ratio is now printed from the constant, so the logs cannot again describe a configuration the code does not have.</w:t>
      </w:r>
    </w:p>
    <w:p>
      <w:pPr>
        <w:spacing w:after="80" w:line="264" w:lineRule="auto"/>
        <w:ind w:left="806" w:hanging="490"/>
        <w:jc w:val="both"/>
        <w:tabs>
          <w:tab w:val="left" w:pos="806"/>
        </w:tabs>
      </w:pPr>
      <w:r>
        <w:rPr>
          <w:b/>
          <w:color w:val="0B5C7A"/>
          <w:sz w:val="21"/>
        </w:rPr>
        <w:t>2.</w:t>
      </w:r>
      <w:r>
        <w:rPr>
          <w:sz w:val="21"/>
        </w:rPr>
        <w:tab/>
      </w:r>
      <w:r>
        <w:rPr>
          <w:b/>
          <w:sz w:val="21"/>
        </w:rPr>
        <w:t xml:space="preserve">Target information leakage. </w:t>
      </w:r>
      <w:r>
        <w:rPr>
          <w:b w:val="0"/>
          <w:sz w:val="21"/>
        </w:rPr>
        <w:t xml:space="preserve">Segment naming now depends only on centroid geometry. The models receive the nominal </w:t>
      </w:r>
      <w:r>
        <w:rPr>
          <w:rFonts w:ascii="Consolas" w:hAnsi="Consolas" w:eastAsia="Consolas"/>
          <w:b w:val="0"/>
          <w:color w:val="8A2C1F"/>
          <w:sz w:val="19"/>
        </w:rPr>
        <w:t>Cluster</w:t>
      </w:r>
      <w:r>
        <w:rPr>
          <w:b w:val="0"/>
          <w:sz w:val="21"/>
        </w:rPr>
        <w:t xml:space="preserve"> code and never the churn-derived label, which is absent from the feature-importance ranking of the retrained model. The duplicate segment names were eliminated as a side effect.</w:t>
      </w:r>
    </w:p>
    <w:p>
      <w:pPr>
        <w:spacing w:after="80" w:line="264" w:lineRule="auto"/>
        <w:ind w:left="806" w:hanging="490"/>
        <w:jc w:val="both"/>
        <w:tabs>
          <w:tab w:val="left" w:pos="806"/>
        </w:tabs>
      </w:pPr>
      <w:r>
        <w:rPr>
          <w:b/>
          <w:color w:val="0B5C7A"/>
          <w:sz w:val="21"/>
        </w:rPr>
        <w:t>3.</w:t>
      </w:r>
      <w:r>
        <w:rPr>
          <w:sz w:val="21"/>
        </w:rPr>
        <w:tab/>
      </w:r>
      <w:r>
        <w:rPr>
          <w:b/>
          <w:sz w:val="21"/>
        </w:rPr>
        <w:t xml:space="preserve">Unused engineered features. </w:t>
      </w:r>
      <w:r>
        <w:rPr>
          <w:b w:val="0"/>
          <w:sz w:val="21"/>
        </w:rPr>
        <w:t xml:space="preserve">Phase 4 exports unscaled features and phase 5 merges them with an integrity check. The engineered features now reach the models, and </w:t>
      </w:r>
      <w:r>
        <w:rPr>
          <w:rFonts w:ascii="Consolas" w:hAnsi="Consolas" w:eastAsia="Consolas"/>
          <w:b w:val="0"/>
          <w:color w:val="8A2C1F"/>
          <w:sz w:val="19"/>
        </w:rPr>
        <w:t>TenureBand</w:t>
      </w:r>
      <w:r>
        <w:rPr>
          <w:b w:val="0"/>
          <w:sz w:val="21"/>
        </w:rPr>
        <w:t xml:space="preserve"> ranks 5th by gain.</w:t>
      </w:r>
    </w:p>
    <w:p>
      <w:pPr>
        <w:spacing w:after="80" w:line="264" w:lineRule="auto"/>
        <w:ind w:left="806" w:hanging="490"/>
        <w:jc w:val="both"/>
        <w:tabs>
          <w:tab w:val="left" w:pos="806"/>
        </w:tabs>
      </w:pPr>
      <w:r>
        <w:rPr>
          <w:b/>
          <w:color w:val="0B5C7A"/>
          <w:sz w:val="21"/>
        </w:rPr>
        <w:t>4.</w:t>
      </w:r>
      <w:r>
        <w:rPr>
          <w:sz w:val="21"/>
        </w:rPr>
        <w:tab/>
      </w:r>
      <w:r>
        <w:rPr>
          <w:b/>
          <w:sz w:val="21"/>
        </w:rPr>
        <w:t xml:space="preserve">SVM metric discrepancy. </w:t>
      </w:r>
      <w:r>
        <w:rPr>
          <w:b w:val="0"/>
          <w:sz w:val="21"/>
        </w:rPr>
        <w:t xml:space="preserve">Phase 6 labels predictions from </w:t>
      </w:r>
      <w:r>
        <w:rPr>
          <w:rFonts w:ascii="Consolas" w:hAnsi="Consolas" w:eastAsia="Consolas"/>
          <w:b w:val="0"/>
          <w:color w:val="8A2C1F"/>
          <w:sz w:val="19"/>
        </w:rPr>
        <w:t>predict_proba</w:t>
      </w:r>
      <w:r>
        <w:rPr>
          <w:b w:val="0"/>
          <w:sz w:val="21"/>
        </w:rPr>
        <w:t xml:space="preserve"> at an explicit threshold, so phases 6 and 7 now report identical metrics for every shared model.</w:t>
      </w:r>
    </w:p>
    <w:p>
      <w:pPr>
        <w:spacing w:after="80" w:line="264" w:lineRule="auto"/>
        <w:ind w:left="806" w:hanging="490"/>
        <w:jc w:val="both"/>
        <w:tabs>
          <w:tab w:val="left" w:pos="806"/>
        </w:tabs>
      </w:pPr>
      <w:r>
        <w:rPr>
          <w:b/>
          <w:color w:val="0B5C7A"/>
          <w:sz w:val="21"/>
        </w:rPr>
        <w:t>5.</w:t>
      </w:r>
      <w:r>
        <w:rPr>
          <w:sz w:val="21"/>
        </w:rPr>
        <w:tab/>
      </w:r>
      <w:r>
        <w:rPr>
          <w:b/>
          <w:sz w:val="21"/>
        </w:rPr>
        <w:t xml:space="preserve">Redundant ContractRiskFlag. </w:t>
      </w:r>
      <w:r>
        <w:rPr>
          <w:b w:val="0"/>
          <w:sz w:val="21"/>
        </w:rPr>
        <w:t>Excluded from the model matrix (27 → 26 columns) with no loss: ROC-AUC 0.8470 → 0.8472.</w:t>
      </w:r>
    </w:p>
    <w:p>
      <w:pPr>
        <w:spacing w:after="80" w:line="264" w:lineRule="auto"/>
        <w:ind w:left="806" w:hanging="490"/>
        <w:jc w:val="both"/>
        <w:tabs>
          <w:tab w:val="left" w:pos="806"/>
        </w:tabs>
      </w:pPr>
      <w:r>
        <w:rPr>
          <w:b/>
          <w:color w:val="0B5C7A"/>
          <w:sz w:val="21"/>
        </w:rPr>
        <w:t>6.</w:t>
      </w:r>
      <w:r>
        <w:rPr>
          <w:sz w:val="21"/>
        </w:rPr>
        <w:tab/>
      </w:r>
      <w:r>
        <w:rPr>
          <w:b/>
          <w:sz w:val="21"/>
        </w:rPr>
        <w:t xml:space="preserve">Driver cascade collapse. </w:t>
      </w:r>
      <w:r>
        <w:rPr>
          <w:b w:val="0"/>
          <w:sz w:val="21"/>
        </w:rPr>
        <w:t>Phase 9 takes each customer's driver from their top SHAP lever, with contract as the shared base offer. The 724 targets now span five driver categories instead of one.</w:t>
      </w:r>
    </w:p>
    <w:p>
      <w:pPr>
        <w:spacing w:after="120" w:before="0"/>
        <w:jc w:val="both"/>
      </w:pPr>
      <w:r>
        <w:rPr>
          <w:b w:val="0"/>
          <w:i w:val="0"/>
          <w:sz w:val="21"/>
        </w:rPr>
        <w:t>Two consequential corrections were also required. Phase 9 no longer hard-codes the model's recall, and the dashboard no longer approximates the segment label with a hand-written rule — it uses the persisted K-Means model, which removes a train/serve mismatch that existed only because of the leakage.</w:t>
      </w:r>
    </w:p>
    <w:p>
      <w:pPr>
        <w:keepNext/>
        <w:spacing w:before="240" w:after="80"/>
      </w:pPr>
      <w:r>
        <w:rPr>
          <w:b/>
          <w:color w:val="1B355E"/>
          <w:sz w:val="25"/>
        </w:rPr>
        <w:t>24.2  What the corrected pipeline achieves</w:t>
      </w:r>
    </w:p>
    <w:p>
      <w:pPr>
        <w:pStyle w:val="ListBullet"/>
        <w:spacing w:after="60" w:line="264" w:lineRule="auto"/>
        <w:ind w:left="547"/>
        <w:jc w:val="both"/>
      </w:pPr>
      <w:r>
        <w:rPr>
          <w:b/>
          <w:sz w:val="21"/>
        </w:rPr>
        <w:t xml:space="preserve">Better measured performance on four times the evidence. </w:t>
      </w:r>
      <w:r>
        <w:rPr>
          <w:b w:val="0"/>
          <w:sz w:val="21"/>
        </w:rPr>
        <w:t>ROC-AUC 0.8349 → 0.8472, recall 0.7766 → 0.8262, PR-AUC 0.6128 → 0.6632, all on a hold-out four times larger than before.</w:t>
      </w:r>
    </w:p>
    <w:p>
      <w:pPr>
        <w:pStyle w:val="ListBullet"/>
        <w:spacing w:after="60" w:line="264" w:lineRule="auto"/>
        <w:ind w:left="547"/>
        <w:jc w:val="both"/>
      </w:pPr>
      <w:r>
        <w:rPr>
          <w:b/>
          <w:sz w:val="21"/>
        </w:rPr>
        <w:t xml:space="preserve">Risk tiers that validate against outcomes. </w:t>
      </w:r>
      <w:r>
        <w:rPr>
          <w:b w:val="0"/>
          <w:sz w:val="21"/>
        </w:rPr>
        <w:t>78.04 % observed churn in the High Risk tier against 9.85 % in the Low Risk tier, with strictly monotonic ordering.</w:t>
      </w:r>
    </w:p>
    <w:p>
      <w:pPr>
        <w:pStyle w:val="ListBullet"/>
        <w:spacing w:after="60" w:line="264" w:lineRule="auto"/>
        <w:ind w:left="547"/>
        <w:jc w:val="both"/>
      </w:pPr>
      <w:r>
        <w:rPr>
          <w:b/>
          <w:sz w:val="21"/>
        </w:rPr>
        <w:t xml:space="preserve">Probabilities that mean what they say. </w:t>
      </w:r>
      <w:r>
        <w:rPr>
          <w:b w:val="0"/>
          <w:sz w:val="21"/>
        </w:rPr>
        <w:t>Mean predicted probability 0.2652 against an observed base rate of 0.2654, with ranking quality preserved through calibration.</w:t>
      </w:r>
    </w:p>
    <w:p>
      <w:pPr>
        <w:pStyle w:val="ListBullet"/>
        <w:spacing w:after="60" w:line="264" w:lineRule="auto"/>
        <w:ind w:left="547"/>
        <w:jc w:val="both"/>
      </w:pPr>
      <w:r>
        <w:rPr>
          <w:b/>
          <w:sz w:val="21"/>
        </w:rPr>
        <w:t xml:space="preserve">Explanations built on legitimate, non-duplicated features. </w:t>
      </w:r>
      <w:r>
        <w:rPr>
          <w:b w:val="0"/>
          <w:sz w:val="21"/>
        </w:rPr>
        <w:t>SHAP explanations no longer rest on a label derived from the outcome, and contract importance is no longer split between two identical columns.</w:t>
      </w:r>
    </w:p>
    <w:p>
      <w:pPr>
        <w:pStyle w:val="ListBullet"/>
        <w:spacing w:after="60" w:line="264" w:lineRule="auto"/>
        <w:ind w:left="547"/>
        <w:jc w:val="both"/>
      </w:pPr>
      <w:r>
        <w:rPr>
          <w:b/>
          <w:sz w:val="21"/>
        </w:rPr>
        <w:t xml:space="preserve">Retention actions that differ by customer. </w:t>
      </w:r>
      <w:r>
        <w:rPr>
          <w:b w:val="0"/>
          <w:sz w:val="21"/>
        </w:rPr>
        <w:t>Five driver categories with distinct lever-specific offers, on top of a shared contract-migration base offer.</w:t>
      </w:r>
    </w:p>
    <w:p>
      <w:pPr>
        <w:pStyle w:val="ListBullet"/>
        <w:spacing w:after="60" w:line="264" w:lineRule="auto"/>
        <w:ind w:left="547"/>
        <w:jc w:val="both"/>
      </w:pPr>
      <w:r>
        <w:rPr>
          <w:b/>
          <w:sz w:val="21"/>
        </w:rPr>
        <w:t xml:space="preserve">A serving path that matches the training path. </w:t>
      </w:r>
      <w:r>
        <w:rPr>
          <w:b w:val="0"/>
          <w:sz w:val="21"/>
        </w:rPr>
        <w:t>Every model input is rebuilt from raw columns by the same code, with zero missing features at scoring time.</w:t>
      </w:r>
    </w:p>
    <w:p>
      <w:pPr>
        <w:keepNext/>
        <w:spacing w:before="240" w:after="80"/>
      </w:pPr>
      <w:r>
        <w:rPr>
          <w:b/>
          <w:color w:val="1B355E"/>
          <w:sz w:val="25"/>
        </w:rPr>
        <w:t>24.3  Recommended next steps</w:t>
      </w:r>
    </w:p>
    <w:p>
      <w:pPr>
        <w:spacing w:after="80" w:line="264" w:lineRule="auto"/>
        <w:ind w:left="806" w:hanging="490"/>
        <w:jc w:val="both"/>
        <w:tabs>
          <w:tab w:val="left" w:pos="806"/>
        </w:tabs>
      </w:pPr>
      <w:r>
        <w:rPr>
          <w:b/>
          <w:color w:val="0B5C7A"/>
          <w:sz w:val="21"/>
        </w:rPr>
        <w:t>1.</w:t>
      </w:r>
      <w:r>
        <w:rPr>
          <w:sz w:val="21"/>
        </w:rPr>
        <w:tab/>
      </w:r>
      <w:r>
        <w:rPr>
          <w:b/>
          <w:sz w:val="21"/>
        </w:rPr>
        <w:t xml:space="preserve">Bring the single-customer dashboard page onto the SHAP levers. </w:t>
      </w:r>
      <w:r>
        <w:rPr>
          <w:b w:val="0"/>
          <w:sz w:val="21"/>
        </w:rPr>
        <w:t>The one remaining place that chooses an action by rule cascade.</w:t>
      </w:r>
    </w:p>
    <w:p>
      <w:pPr>
        <w:spacing w:after="80" w:line="264" w:lineRule="auto"/>
        <w:ind w:left="806" w:hanging="490"/>
        <w:jc w:val="both"/>
        <w:tabs>
          <w:tab w:val="left" w:pos="806"/>
        </w:tabs>
      </w:pPr>
      <w:r>
        <w:rPr>
          <w:b/>
          <w:color w:val="0B5C7A"/>
          <w:sz w:val="21"/>
        </w:rPr>
        <w:t>2.</w:t>
      </w:r>
      <w:r>
        <w:rPr>
          <w:sz w:val="21"/>
        </w:rPr>
        <w:tab/>
      </w:r>
      <w:r>
        <w:rPr>
          <w:b/>
          <w:sz w:val="21"/>
        </w:rPr>
        <w:t xml:space="preserve">Calibrate the decision threshold against real campaign costs. </w:t>
      </w:r>
      <w:r>
        <w:rPr>
          <w:b w:val="0"/>
          <w:sz w:val="21"/>
        </w:rPr>
        <w:t>The threshold sweep is already produced; it needs only a cost ratio to turn into an optimal operating point.</w:t>
      </w:r>
    </w:p>
    <w:p>
      <w:pPr>
        <w:spacing w:after="80" w:line="264" w:lineRule="auto"/>
        <w:ind w:left="806" w:hanging="490"/>
        <w:jc w:val="both"/>
        <w:tabs>
          <w:tab w:val="left" w:pos="806"/>
        </w:tabs>
      </w:pPr>
      <w:r>
        <w:rPr>
          <w:b/>
          <w:color w:val="0B5C7A"/>
          <w:sz w:val="21"/>
        </w:rPr>
        <w:t>3.</w:t>
      </w:r>
      <w:r>
        <w:rPr>
          <w:sz w:val="21"/>
        </w:rPr>
        <w:tab/>
      </w:r>
      <w:r>
        <w:rPr>
          <w:b/>
          <w:sz w:val="21"/>
        </w:rPr>
        <w:t xml:space="preserve">Validate the lever actions with a controlled campaign. </w:t>
      </w:r>
      <w:r>
        <w:rPr>
          <w:b w:val="0"/>
          <w:sz w:val="21"/>
        </w:rPr>
        <w:t>The five actions are reasoned from what drives each customer's risk; a small A/B test per lever would measure which actually retain customers, and replace the 30 % success-rate assumption.</w:t>
      </w:r>
    </w:p>
    <w:p>
      <w:pPr>
        <w:spacing w:after="80" w:line="264" w:lineRule="auto"/>
        <w:ind w:left="806" w:hanging="490"/>
        <w:jc w:val="both"/>
        <w:tabs>
          <w:tab w:val="left" w:pos="806"/>
        </w:tabs>
      </w:pPr>
      <w:r>
        <w:rPr>
          <w:b/>
          <w:color w:val="0B5C7A"/>
          <w:sz w:val="21"/>
        </w:rPr>
        <w:t>4.</w:t>
      </w:r>
      <w:r>
        <w:rPr>
          <w:sz w:val="21"/>
        </w:rPr>
        <w:tab/>
      </w:r>
      <w:r>
        <w:rPr>
          <w:b/>
          <w:sz w:val="21"/>
        </w:rPr>
        <w:t xml:space="preserve">Acquire temporal and behavioural data. </w:t>
      </w:r>
      <w:r>
        <w:rPr>
          <w:b w:val="0"/>
          <w:sz w:val="21"/>
        </w:rPr>
        <w:t>This is the change that would lift performance past the ceiling this dataset imposes, and the only one that would let the system answer the question a production deployment actually asks.</w:t>
      </w:r>
    </w:p>
    <w:p>
      <w:pPr>
        <w:spacing w:after="120" w:before="80"/>
        <w:jc w:val="both"/>
      </w:pPr>
      <w:r>
        <w:rPr>
          <w:b w:val="0"/>
          <w:i w:val="0"/>
          <w:sz w:val="21"/>
        </w:rPr>
        <w:t>With both rounds of corrections applied, the pipeline has moved from a result that could not be defended in review — a ranking inside sampling noise, built partly on a feature derived from the answer — to one that can. The remaining items extend the system rather than repair it.</w:t>
      </w:r>
    </w:p>
    <w:p>
      <w:r>
        <w:br w:type="page"/>
      </w:r>
    </w:p>
    <w:p>
      <w:pPr>
        <w:spacing w:after="0"/>
      </w:pPr>
    </w:p>
    <w:p>
      <w:pPr>
        <w:keepNext/>
        <w:spacing w:before="80" w:after="40"/>
        <w:pBdr>
          <w:bottom w:val="single" w:sz="10" w:space="3" w:color="1B355E"/>
        </w:pBdr>
      </w:pPr>
      <w:r>
        <w:rPr>
          <w:b/>
          <w:color w:val="1B355E"/>
          <w:sz w:val="30"/>
        </w:rPr>
        <w:t>A.  Appendix A — Configuration Reference</w:t>
      </w:r>
    </w:p>
    <w:p>
      <w:pPr>
        <w:spacing w:after="40"/>
      </w:pPr>
    </w:p>
    <w:p>
      <w:pPr>
        <w:keepNext/>
        <w:spacing w:before="240" w:after="80"/>
      </w:pPr>
      <w:r>
        <w:rPr>
          <w:b/>
          <w:color w:val="1B355E"/>
          <w:sz w:val="25"/>
        </w:rPr>
        <w:t>A.1  Path constants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440"/>
        <w:gridCol w:w="3024"/>
        <w:gridCol w:w="4852"/>
      </w:tblGrid>
      <w:tr>
        <w:tc>
          <w:tcPr>
            <w:tcW w:type="dxa" w:w="1440"/>
            <w:shd w:val="clear" w:color="auto" w:fill="1B355E"/>
          </w:tcPr>
          <w:p>
            <w:pPr>
              <w:spacing w:after="20" w:before="20"/>
              <w:jc w:val="center"/>
            </w:pPr>
            <w:r>
              <w:rPr>
                <w:b/>
                <w:color w:val="FFFFFF"/>
                <w:sz w:val="16"/>
              </w:rPr>
              <w:t>Module</w:t>
            </w:r>
          </w:p>
        </w:tc>
        <w:tc>
          <w:tcPr>
            <w:tcW w:type="dxa" w:w="3024"/>
            <w:shd w:val="clear" w:color="auto" w:fill="1B355E"/>
          </w:tcPr>
          <w:p>
            <w:pPr>
              <w:spacing w:after="20" w:before="20"/>
              <w:jc w:val="center"/>
            </w:pPr>
            <w:r>
              <w:rPr>
                <w:b/>
                <w:color w:val="FFFFFF"/>
                <w:sz w:val="16"/>
              </w:rPr>
              <w:t>Constant</w:t>
            </w:r>
          </w:p>
        </w:tc>
        <w:tc>
          <w:tcPr>
            <w:tcW w:type="dxa" w:w="4853"/>
            <w:shd w:val="clear" w:color="auto" w:fill="1B355E"/>
          </w:tcPr>
          <w:p>
            <w:pPr>
              <w:spacing w:after="20" w:before="20"/>
              <w:jc w:val="center"/>
            </w:pPr>
            <w:r>
              <w:rPr>
                <w:b/>
                <w:color w:val="FFFFFF"/>
                <w:sz w:val="16"/>
              </w:rPr>
              <w:t>Value</w:t>
            </w:r>
          </w:p>
        </w:tc>
      </w:tr>
      <w:tr>
        <w:tc>
          <w:tcPr>
            <w:tcW w:type="dxa" w:w="1440"/>
          </w:tcPr>
          <w:p>
            <w:pPr>
              <w:spacing w:after="20" w:before="20" w:line="254" w:lineRule="auto"/>
              <w:jc w:val="left"/>
            </w:pPr>
            <w:r>
              <w:rPr>
                <w:sz w:val="16"/>
              </w:rPr>
              <w:t>phase 1</w:t>
            </w:r>
          </w:p>
        </w:tc>
        <w:tc>
          <w:tcPr>
            <w:tcW w:type="dxa" w:w="3024"/>
          </w:tcPr>
          <w:p>
            <w:pPr>
              <w:spacing w:after="20" w:before="20" w:line="254" w:lineRule="auto"/>
              <w:jc w:val="center"/>
            </w:pPr>
            <w:r>
              <w:rPr>
                <w:rFonts w:ascii="Consolas" w:hAnsi="Consolas" w:eastAsia="Consolas"/>
                <w:color w:val="8A2C1F"/>
                <w:sz w:val="15"/>
              </w:rPr>
              <w:t>FILE_PATH</w:t>
            </w:r>
          </w:p>
        </w:tc>
        <w:tc>
          <w:tcPr>
            <w:tcW w:type="dxa" w:w="4853"/>
          </w:tcPr>
          <w:p>
            <w:pPr>
              <w:spacing w:after="20" w:before="20" w:line="254" w:lineRule="auto"/>
              <w:jc w:val="center"/>
            </w:pPr>
            <w:r>
              <w:rPr>
                <w:rFonts w:ascii="Consolas" w:hAnsi="Consolas" w:eastAsia="Consolas"/>
                <w:color w:val="8A2C1F"/>
                <w:sz w:val="15"/>
              </w:rPr>
              <w:t>data/Customer-Churn.csv</w:t>
            </w:r>
          </w:p>
        </w:tc>
      </w:tr>
      <w:tr>
        <w:tc>
          <w:tcPr>
            <w:tcW w:type="dxa" w:w="1440"/>
            <w:shd w:val="clear" w:color="auto" w:fill="F2F5F9"/>
          </w:tcPr>
          <w:p>
            <w:pPr>
              <w:spacing w:after="20" w:before="20" w:line="254" w:lineRule="auto"/>
              <w:jc w:val="left"/>
            </w:pPr>
            <w:r>
              <w:rPr>
                <w:sz w:val="16"/>
              </w:rPr>
              <w:t>phase 2</w:t>
            </w:r>
          </w:p>
        </w:tc>
        <w:tc>
          <w:tcPr>
            <w:tcW w:type="dxa" w:w="3024"/>
            <w:shd w:val="clear" w:color="auto" w:fill="F2F5F9"/>
          </w:tcPr>
          <w:p>
            <w:pPr>
              <w:spacing w:after="20" w:before="20" w:line="254" w:lineRule="auto"/>
              <w:jc w:val="center"/>
            </w:pPr>
            <w:r>
              <w:rPr>
                <w:rFonts w:ascii="Consolas" w:hAnsi="Consolas" w:eastAsia="Consolas"/>
                <w:color w:val="8A2C1F"/>
                <w:sz w:val="15"/>
              </w:rPr>
              <w:t>INPUT_FILE</w:t>
            </w:r>
            <w:r>
              <w:rPr>
                <w:sz w:val="16"/>
              </w:rPr>
              <w:t xml:space="preserve"> / </w:t>
            </w:r>
            <w:r>
              <w:rPr>
                <w:rFonts w:ascii="Consolas" w:hAnsi="Consolas" w:eastAsia="Consolas"/>
                <w:color w:val="8A2C1F"/>
                <w:sz w:val="15"/>
              </w:rPr>
              <w:t>OUTPUT_FILE</w:t>
            </w:r>
          </w:p>
        </w:tc>
        <w:tc>
          <w:tcPr>
            <w:tcW w:type="dxa" w:w="4853"/>
            <w:shd w:val="clear" w:color="auto" w:fill="F2F5F9"/>
          </w:tcPr>
          <w:p>
            <w:pPr>
              <w:spacing w:after="20" w:before="20" w:line="254" w:lineRule="auto"/>
              <w:jc w:val="center"/>
            </w:pPr>
            <w:r>
              <w:rPr>
                <w:rFonts w:ascii="Consolas" w:hAnsi="Consolas" w:eastAsia="Consolas"/>
                <w:color w:val="8A2C1F"/>
                <w:sz w:val="15"/>
              </w:rPr>
              <w:t>data/Customer-Churn.csv</w:t>
            </w:r>
            <w:r>
              <w:rPr>
                <w:sz w:val="16"/>
              </w:rPr>
              <w:t xml:space="preserve"> / </w:t>
            </w:r>
            <w:r>
              <w:rPr>
                <w:rFonts w:ascii="Consolas" w:hAnsi="Consolas" w:eastAsia="Consolas"/>
                <w:color w:val="8A2C1F"/>
                <w:sz w:val="15"/>
              </w:rPr>
              <w:t>data/Customer-Churn-Cleaned.csv</w:t>
            </w:r>
          </w:p>
        </w:tc>
      </w:tr>
      <w:tr>
        <w:tc>
          <w:tcPr>
            <w:tcW w:type="dxa" w:w="1440"/>
          </w:tcPr>
          <w:p>
            <w:pPr>
              <w:spacing w:after="20" w:before="20" w:line="254" w:lineRule="auto"/>
              <w:jc w:val="left"/>
            </w:pPr>
            <w:r>
              <w:rPr>
                <w:sz w:val="16"/>
              </w:rPr>
              <w:t>phase 3</w:t>
            </w:r>
          </w:p>
        </w:tc>
        <w:tc>
          <w:tcPr>
            <w:tcW w:type="dxa" w:w="3024"/>
          </w:tcPr>
          <w:p>
            <w:pPr>
              <w:spacing w:after="20" w:before="20" w:line="254" w:lineRule="auto"/>
              <w:jc w:val="center"/>
            </w:pPr>
            <w:r>
              <w:rPr>
                <w:rFonts w:ascii="Consolas" w:hAnsi="Consolas" w:eastAsia="Consolas"/>
                <w:color w:val="8A2C1F"/>
                <w:sz w:val="15"/>
              </w:rPr>
              <w:t>INPUT_FILE</w:t>
            </w:r>
            <w:r>
              <w:rPr>
                <w:sz w:val="16"/>
              </w:rPr>
              <w:t xml:space="preserve"> / </w:t>
            </w:r>
            <w:r>
              <w:rPr>
                <w:rFonts w:ascii="Consolas" w:hAnsi="Consolas" w:eastAsia="Consolas"/>
                <w:color w:val="8A2C1F"/>
                <w:sz w:val="15"/>
              </w:rPr>
              <w:t>OUTPUT_FOLDER</w:t>
            </w:r>
          </w:p>
        </w:tc>
        <w:tc>
          <w:tcPr>
            <w:tcW w:type="dxa" w:w="4853"/>
          </w:tcPr>
          <w:p>
            <w:pPr>
              <w:spacing w:after="20" w:before="20" w:line="254" w:lineRule="auto"/>
              <w:jc w:val="center"/>
            </w:pPr>
            <w:r>
              <w:rPr>
                <w:rFonts w:ascii="Consolas" w:hAnsi="Consolas" w:eastAsia="Consolas"/>
                <w:color w:val="8A2C1F"/>
                <w:sz w:val="15"/>
              </w:rPr>
              <w:t>data/Customer-Churn-Cleaned.csv</w:t>
            </w:r>
            <w:r>
              <w:rPr>
                <w:sz w:val="16"/>
              </w:rPr>
              <w:t xml:space="preserve"> / </w:t>
            </w:r>
            <w:r>
              <w:rPr>
                <w:rFonts w:ascii="Consolas" w:hAnsi="Consolas" w:eastAsia="Consolas"/>
                <w:color w:val="8A2C1F"/>
                <w:sz w:val="15"/>
              </w:rPr>
              <w:t>charts</w:t>
            </w:r>
          </w:p>
        </w:tc>
      </w:tr>
      <w:tr>
        <w:tc>
          <w:tcPr>
            <w:tcW w:type="dxa" w:w="1440"/>
            <w:shd w:val="clear" w:color="auto" w:fill="F2F5F9"/>
          </w:tcPr>
          <w:p>
            <w:pPr>
              <w:spacing w:after="20" w:before="20" w:line="254" w:lineRule="auto"/>
              <w:jc w:val="left"/>
            </w:pPr>
            <w:r>
              <w:rPr>
                <w:sz w:val="16"/>
              </w:rPr>
              <w:t>phase 4</w:t>
            </w:r>
          </w:p>
        </w:tc>
        <w:tc>
          <w:tcPr>
            <w:tcW w:type="dxa" w:w="3024"/>
            <w:shd w:val="clear" w:color="auto" w:fill="F2F5F9"/>
          </w:tcPr>
          <w:p>
            <w:pPr>
              <w:spacing w:after="20" w:before="20" w:line="254" w:lineRule="auto"/>
              <w:jc w:val="center"/>
            </w:pPr>
            <w:r>
              <w:rPr>
                <w:rFonts w:ascii="Consolas" w:hAnsi="Consolas" w:eastAsia="Consolas"/>
                <w:color w:val="8A2C1F"/>
                <w:sz w:val="15"/>
              </w:rPr>
              <w:t>INPUT_FILE</w:t>
            </w:r>
          </w:p>
        </w:tc>
        <w:tc>
          <w:tcPr>
            <w:tcW w:type="dxa" w:w="4853"/>
            <w:shd w:val="clear" w:color="auto" w:fill="F2F5F9"/>
          </w:tcPr>
          <w:p>
            <w:pPr>
              <w:spacing w:after="20" w:before="20" w:line="254" w:lineRule="auto"/>
              <w:jc w:val="center"/>
            </w:pPr>
            <w:r>
              <w:rPr>
                <w:rFonts w:ascii="Consolas" w:hAnsi="Consolas" w:eastAsia="Consolas"/>
                <w:color w:val="8A2C1F"/>
                <w:sz w:val="15"/>
              </w:rPr>
              <w:t>data/Customer-Churn-Cleaned.csv</w:t>
            </w:r>
          </w:p>
        </w:tc>
      </w:tr>
      <w:tr>
        <w:tc>
          <w:tcPr>
            <w:tcW w:type="dxa" w:w="1440"/>
          </w:tcPr>
          <w:p>
            <w:pPr>
              <w:spacing w:after="20" w:before="20" w:line="254" w:lineRule="auto"/>
              <w:jc w:val="left"/>
            </w:pPr>
            <w:r>
              <w:rPr>
                <w:sz w:val="16"/>
              </w:rPr>
              <w:t>phase 4</w:t>
            </w:r>
          </w:p>
        </w:tc>
        <w:tc>
          <w:tcPr>
            <w:tcW w:type="dxa" w:w="3024"/>
          </w:tcPr>
          <w:p>
            <w:pPr>
              <w:spacing w:after="20" w:before="20" w:line="254" w:lineRule="auto"/>
              <w:jc w:val="center"/>
            </w:pPr>
            <w:r>
              <w:rPr>
                <w:rFonts w:ascii="Consolas" w:hAnsi="Consolas" w:eastAsia="Consolas"/>
                <w:b/>
                <w:color w:val="8A2C1F"/>
                <w:sz w:val="15"/>
              </w:rPr>
              <w:t>FEATURES_FILE</w:t>
            </w:r>
          </w:p>
        </w:tc>
        <w:tc>
          <w:tcPr>
            <w:tcW w:type="dxa" w:w="4853"/>
          </w:tcPr>
          <w:p>
            <w:pPr>
              <w:spacing w:after="20" w:before="20" w:line="254" w:lineRule="auto"/>
              <w:jc w:val="center"/>
            </w:pPr>
            <w:r>
              <w:rPr>
                <w:rFonts w:ascii="Consolas" w:hAnsi="Consolas" w:eastAsia="Consolas"/>
                <w:b/>
                <w:color w:val="8A2C1F"/>
                <w:sz w:val="15"/>
              </w:rPr>
              <w:t>data/Customer-Churn-Features-Unscaled.csv</w:t>
            </w:r>
          </w:p>
        </w:tc>
      </w:tr>
      <w:tr>
        <w:tc>
          <w:tcPr>
            <w:tcW w:type="dxa" w:w="1440"/>
            <w:shd w:val="clear" w:color="auto" w:fill="F2F5F9"/>
          </w:tcPr>
          <w:p>
            <w:pPr>
              <w:spacing w:after="20" w:before="20" w:line="254" w:lineRule="auto"/>
              <w:jc w:val="left"/>
            </w:pPr>
            <w:r>
              <w:rPr>
                <w:sz w:val="16"/>
              </w:rPr>
              <w:t>phase 4</w:t>
            </w:r>
          </w:p>
        </w:tc>
        <w:tc>
          <w:tcPr>
            <w:tcW w:type="dxa" w:w="3024"/>
            <w:shd w:val="clear" w:color="auto" w:fill="F2F5F9"/>
          </w:tcPr>
          <w:p>
            <w:pPr>
              <w:spacing w:after="20" w:before="20" w:line="254" w:lineRule="auto"/>
              <w:jc w:val="center"/>
            </w:pPr>
            <w:r>
              <w:rPr>
                <w:rFonts w:ascii="Consolas" w:hAnsi="Consolas" w:eastAsia="Consolas"/>
                <w:b/>
                <w:color w:val="8A2C1F"/>
                <w:sz w:val="15"/>
              </w:rPr>
              <w:t>ARTIFACTS_FILE</w:t>
            </w:r>
          </w:p>
        </w:tc>
        <w:tc>
          <w:tcPr>
            <w:tcW w:type="dxa" w:w="4853"/>
            <w:shd w:val="clear" w:color="auto" w:fill="F2F5F9"/>
          </w:tcPr>
          <w:p>
            <w:pPr>
              <w:spacing w:after="20" w:before="20" w:line="254" w:lineRule="auto"/>
              <w:jc w:val="center"/>
            </w:pPr>
            <w:r>
              <w:rPr>
                <w:rFonts w:ascii="Consolas" w:hAnsi="Consolas" w:eastAsia="Consolas"/>
                <w:b/>
                <w:color w:val="8A2C1F"/>
                <w:sz w:val="15"/>
              </w:rPr>
              <w:t>models/feature_engineering_artifacts.joblib</w:t>
            </w:r>
          </w:p>
        </w:tc>
      </w:tr>
      <w:tr>
        <w:tc>
          <w:tcPr>
            <w:tcW w:type="dxa" w:w="1440"/>
          </w:tcPr>
          <w:p>
            <w:pPr>
              <w:spacing w:after="20" w:before="20" w:line="254" w:lineRule="auto"/>
              <w:jc w:val="left"/>
            </w:pPr>
            <w:r>
              <w:rPr>
                <w:sz w:val="16"/>
              </w:rPr>
              <w:t>phase 5</w:t>
            </w:r>
          </w:p>
        </w:tc>
        <w:tc>
          <w:tcPr>
            <w:tcW w:type="dxa" w:w="3024"/>
          </w:tcPr>
          <w:p>
            <w:pPr>
              <w:spacing w:after="20" w:before="20" w:line="254" w:lineRule="auto"/>
              <w:jc w:val="center"/>
            </w:pPr>
            <w:r>
              <w:rPr>
                <w:rFonts w:ascii="Consolas" w:hAnsi="Consolas" w:eastAsia="Consolas"/>
                <w:color w:val="8A2C1F"/>
                <w:sz w:val="15"/>
              </w:rPr>
              <w:t>INPUT_FILE</w:t>
            </w:r>
            <w:r>
              <w:rPr>
                <w:sz w:val="16"/>
              </w:rPr>
              <w:t xml:space="preserve"> / </w:t>
            </w:r>
            <w:r>
              <w:rPr>
                <w:rFonts w:ascii="Consolas" w:hAnsi="Consolas" w:eastAsia="Consolas"/>
                <w:b/>
                <w:color w:val="8A2C1F"/>
                <w:sz w:val="15"/>
              </w:rPr>
              <w:t>FEATURES_FILE</w:t>
            </w:r>
          </w:p>
        </w:tc>
        <w:tc>
          <w:tcPr>
            <w:tcW w:type="dxa" w:w="4853"/>
          </w:tcPr>
          <w:p>
            <w:pPr>
              <w:spacing w:after="20" w:before="20" w:line="254" w:lineRule="auto"/>
              <w:jc w:val="center"/>
            </w:pPr>
            <w:r>
              <w:rPr>
                <w:rFonts w:ascii="Consolas" w:hAnsi="Consolas" w:eastAsia="Consolas"/>
                <w:color w:val="8A2C1F"/>
                <w:sz w:val="15"/>
              </w:rPr>
              <w:t>data/Customer-Churn-Cleaned.csv</w:t>
            </w:r>
            <w:r>
              <w:rPr>
                <w:sz w:val="16"/>
              </w:rPr>
              <w:t xml:space="preserve"> / </w:t>
            </w:r>
            <w:r>
              <w:rPr>
                <w:b/>
                <w:sz w:val="16"/>
              </w:rPr>
              <w:t>the phase 4 export</w:t>
            </w:r>
          </w:p>
        </w:tc>
      </w:tr>
      <w:tr>
        <w:tc>
          <w:tcPr>
            <w:tcW w:type="dxa" w:w="1440"/>
            <w:shd w:val="clear" w:color="auto" w:fill="F2F5F9"/>
          </w:tcPr>
          <w:p>
            <w:pPr>
              <w:spacing w:after="20" w:before="20" w:line="254" w:lineRule="auto"/>
              <w:jc w:val="left"/>
            </w:pPr>
            <w:r>
              <w:rPr>
                <w:sz w:val="16"/>
              </w:rPr>
              <w:t>phase 5</w:t>
            </w:r>
          </w:p>
        </w:tc>
        <w:tc>
          <w:tcPr>
            <w:tcW w:type="dxa" w:w="3024"/>
            <w:shd w:val="clear" w:color="auto" w:fill="F2F5F9"/>
          </w:tcPr>
          <w:p>
            <w:pPr>
              <w:spacing w:after="20" w:before="20" w:line="254" w:lineRule="auto"/>
              <w:jc w:val="center"/>
            </w:pPr>
            <w:r>
              <w:rPr>
                <w:rFonts w:ascii="Consolas" w:hAnsi="Consolas" w:eastAsia="Consolas"/>
                <w:b/>
                <w:color w:val="8A2C1F"/>
                <w:sz w:val="15"/>
              </w:rPr>
              <w:t>SEGMENTATION_MODEL_FILE</w:t>
            </w:r>
          </w:p>
        </w:tc>
        <w:tc>
          <w:tcPr>
            <w:tcW w:type="dxa" w:w="4853"/>
            <w:shd w:val="clear" w:color="auto" w:fill="F2F5F9"/>
          </w:tcPr>
          <w:p>
            <w:pPr>
              <w:spacing w:after="20" w:before="20" w:line="254" w:lineRule="auto"/>
              <w:jc w:val="center"/>
            </w:pPr>
            <w:r>
              <w:rPr>
                <w:rFonts w:ascii="Consolas" w:hAnsi="Consolas" w:eastAsia="Consolas"/>
                <w:b/>
                <w:color w:val="8A2C1F"/>
                <w:sz w:val="15"/>
              </w:rPr>
              <w:t>models/customer_segmentation_model.joblib</w:t>
            </w:r>
          </w:p>
        </w:tc>
      </w:tr>
      <w:tr>
        <w:tc>
          <w:tcPr>
            <w:tcW w:type="dxa" w:w="1440"/>
          </w:tcPr>
          <w:p>
            <w:pPr>
              <w:spacing w:after="20" w:before="20" w:line="254" w:lineRule="auto"/>
              <w:jc w:val="left"/>
            </w:pPr>
            <w:r>
              <w:rPr>
                <w:sz w:val="16"/>
              </w:rPr>
              <w:t>phases 6-8</w:t>
            </w:r>
          </w:p>
        </w:tc>
        <w:tc>
          <w:tcPr>
            <w:tcW w:type="dxa" w:w="3024"/>
          </w:tcPr>
          <w:p>
            <w:pPr>
              <w:spacing w:after="20" w:before="20" w:line="254" w:lineRule="auto"/>
              <w:jc w:val="center"/>
            </w:pPr>
            <w:r>
              <w:rPr>
                <w:rFonts w:ascii="Consolas" w:hAnsi="Consolas" w:eastAsia="Consolas"/>
                <w:color w:val="8A2C1F"/>
                <w:sz w:val="15"/>
              </w:rPr>
              <w:t>INPUT_FILE</w:t>
            </w:r>
          </w:p>
        </w:tc>
        <w:tc>
          <w:tcPr>
            <w:tcW w:type="dxa" w:w="4853"/>
          </w:tcPr>
          <w:p>
            <w:pPr>
              <w:spacing w:after="20" w:before="20" w:line="254" w:lineRule="auto"/>
              <w:jc w:val="center"/>
            </w:pPr>
            <w:r>
              <w:rPr>
                <w:rFonts w:ascii="Consolas" w:hAnsi="Consolas" w:eastAsia="Consolas"/>
                <w:color w:val="8A2C1F"/>
                <w:sz w:val="15"/>
              </w:rPr>
              <w:t>data/Customer-Churn-Segmented.csv</w:t>
            </w:r>
          </w:p>
        </w:tc>
      </w:tr>
      <w:tr>
        <w:tc>
          <w:tcPr>
            <w:tcW w:type="dxa" w:w="1440"/>
            <w:shd w:val="clear" w:color="auto" w:fill="F2F5F9"/>
          </w:tcPr>
          <w:p>
            <w:pPr>
              <w:spacing w:after="20" w:before="20" w:line="254" w:lineRule="auto"/>
              <w:jc w:val="left"/>
            </w:pPr>
            <w:r>
              <w:rPr>
                <w:sz w:val="16"/>
              </w:rPr>
              <w:t>phase 9</w:t>
            </w:r>
          </w:p>
        </w:tc>
        <w:tc>
          <w:tcPr>
            <w:tcW w:type="dxa" w:w="3024"/>
            <w:shd w:val="clear" w:color="auto" w:fill="F2F5F9"/>
          </w:tcPr>
          <w:p>
            <w:pPr>
              <w:spacing w:after="20" w:before="20" w:line="254" w:lineRule="auto"/>
              <w:jc w:val="center"/>
            </w:pPr>
            <w:r>
              <w:rPr>
                <w:rFonts w:ascii="Consolas" w:hAnsi="Consolas" w:eastAsia="Consolas"/>
                <w:color w:val="8A2C1F"/>
                <w:sz w:val="15"/>
              </w:rPr>
              <w:t>INPUT_FILE</w:t>
            </w:r>
          </w:p>
        </w:tc>
        <w:tc>
          <w:tcPr>
            <w:tcW w:type="dxa" w:w="4853"/>
            <w:shd w:val="clear" w:color="auto" w:fill="F2F5F9"/>
          </w:tcPr>
          <w:p>
            <w:pPr>
              <w:spacing w:after="20" w:before="20" w:line="254" w:lineRule="auto"/>
              <w:jc w:val="center"/>
            </w:pPr>
            <w:r>
              <w:rPr>
                <w:rFonts w:ascii="Consolas" w:hAnsi="Consolas" w:eastAsia="Consolas"/>
                <w:color w:val="8A2C1F"/>
                <w:sz w:val="15"/>
              </w:rPr>
              <w:t>data/phase8_customer_churn_risk_predictions.csv</w:t>
            </w:r>
          </w:p>
        </w:tc>
      </w:tr>
      <w:tr>
        <w:tc>
          <w:tcPr>
            <w:tcW w:type="dxa" w:w="1440"/>
          </w:tcPr>
          <w:p>
            <w:pPr>
              <w:spacing w:after="20" w:before="20" w:line="254" w:lineRule="auto"/>
              <w:jc w:val="left"/>
            </w:pPr>
            <w:r>
              <w:rPr>
                <w:sz w:val="16"/>
              </w:rPr>
              <w:t>phase 9</w:t>
            </w:r>
          </w:p>
        </w:tc>
        <w:tc>
          <w:tcPr>
            <w:tcW w:type="dxa" w:w="3024"/>
          </w:tcPr>
          <w:p>
            <w:pPr>
              <w:spacing w:after="20" w:before="20" w:line="254" w:lineRule="auto"/>
              <w:jc w:val="center"/>
            </w:pPr>
            <w:r>
              <w:rPr>
                <w:rFonts w:ascii="Consolas" w:hAnsi="Consolas" w:eastAsia="Consolas"/>
                <w:b/>
                <w:color w:val="8A2C1F"/>
                <w:sz w:val="15"/>
              </w:rPr>
              <w:t>EVALUATION_FILE</w:t>
            </w:r>
          </w:p>
        </w:tc>
        <w:tc>
          <w:tcPr>
            <w:tcW w:type="dxa" w:w="4853"/>
          </w:tcPr>
          <w:p>
            <w:pPr>
              <w:spacing w:after="20" w:before="20" w:line="254" w:lineRule="auto"/>
              <w:jc w:val="center"/>
            </w:pPr>
            <w:r>
              <w:rPr>
                <w:rFonts w:ascii="Consolas" w:hAnsi="Consolas" w:eastAsia="Consolas"/>
                <w:b/>
                <w:color w:val="8A2C1F"/>
                <w:sz w:val="15"/>
              </w:rPr>
              <w:t>data/phase7_model_evaluation_results.csv</w:t>
            </w:r>
          </w:p>
        </w:tc>
      </w:tr>
      <w:tr>
        <w:tc>
          <w:tcPr>
            <w:tcW w:type="dxa" w:w="1440"/>
            <w:shd w:val="clear" w:color="auto" w:fill="F2F5F9"/>
          </w:tcPr>
          <w:p>
            <w:pPr>
              <w:spacing w:after="20" w:before="20" w:line="254" w:lineRule="auto"/>
              <w:jc w:val="left"/>
            </w:pPr>
            <w:r>
              <w:rPr>
                <w:sz w:val="16"/>
              </w:rPr>
              <w:t>phase 9</w:t>
            </w:r>
          </w:p>
        </w:tc>
        <w:tc>
          <w:tcPr>
            <w:tcW w:type="dxa" w:w="3024"/>
            <w:shd w:val="clear" w:color="auto" w:fill="F2F5F9"/>
          </w:tcPr>
          <w:p>
            <w:pPr>
              <w:spacing w:after="20" w:before="20" w:line="254" w:lineRule="auto"/>
              <w:jc w:val="center"/>
            </w:pPr>
            <w:r>
              <w:rPr>
                <w:rFonts w:ascii="Consolas" w:hAnsi="Consolas" w:eastAsia="Consolas"/>
                <w:b/>
                <w:color w:val="8A2C1F"/>
                <w:sz w:val="15"/>
              </w:rPr>
              <w:t>DRIVERS_FILE</w:t>
            </w:r>
          </w:p>
        </w:tc>
        <w:tc>
          <w:tcPr>
            <w:tcW w:type="dxa" w:w="4853"/>
            <w:shd w:val="clear" w:color="auto" w:fill="F2F5F9"/>
          </w:tcPr>
          <w:p>
            <w:pPr>
              <w:spacing w:after="20" w:before="20" w:line="254" w:lineRule="auto"/>
              <w:jc w:val="center"/>
            </w:pPr>
            <w:r>
              <w:rPr>
                <w:rFonts w:ascii="Consolas" w:hAnsi="Consolas" w:eastAsia="Consolas"/>
                <w:b/>
                <w:color w:val="8A2C1F"/>
                <w:sz w:val="15"/>
              </w:rPr>
              <w:t>data/phase8_customer_risk_drivers.csv</w:t>
            </w:r>
          </w:p>
        </w:tc>
      </w:tr>
    </w:tbl>
    <w:p>
      <w:pPr>
        <w:spacing w:before="60" w:after="200"/>
        <w:jc w:val="center"/>
      </w:pPr>
      <w:r>
        <w:rPr>
          <w:i/>
          <w:color w:val="555F6B"/>
          <w:sz w:val="17"/>
        </w:rPr>
        <w:t>Table 56: Path constants. Entries in bold were added during remediation.</w:t>
      </w:r>
    </w:p>
    <w:p>
      <w:pPr>
        <w:keepNext/>
        <w:spacing w:before="240" w:after="80"/>
      </w:pPr>
      <w:r>
        <w:rPr>
          <w:b/>
          <w:color w:val="1B355E"/>
          <w:sz w:val="25"/>
        </w:rPr>
        <w:t>A.2  Analytical constants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036"/>
        <w:gridCol w:w="2808"/>
        <w:gridCol w:w="1296"/>
        <w:gridCol w:w="4176"/>
      </w:tblGrid>
      <w:tr>
        <w:tc>
          <w:tcPr>
            <w:tcW w:type="dxa" w:w="1037"/>
            <w:shd w:val="clear" w:color="auto" w:fill="1B355E"/>
          </w:tcPr>
          <w:p>
            <w:pPr>
              <w:spacing w:after="20" w:before="20"/>
              <w:jc w:val="center"/>
            </w:pPr>
            <w:r>
              <w:rPr>
                <w:b/>
                <w:color w:val="FFFFFF"/>
                <w:sz w:val="16"/>
              </w:rPr>
              <w:t>Module</w:t>
            </w:r>
          </w:p>
        </w:tc>
        <w:tc>
          <w:tcPr>
            <w:tcW w:type="dxa" w:w="2808"/>
            <w:shd w:val="clear" w:color="auto" w:fill="1B355E"/>
          </w:tcPr>
          <w:p>
            <w:pPr>
              <w:spacing w:after="20" w:before="20"/>
              <w:jc w:val="center"/>
            </w:pPr>
            <w:r>
              <w:rPr>
                <w:b/>
                <w:color w:val="FFFFFF"/>
                <w:sz w:val="16"/>
              </w:rPr>
              <w:t>Constant</w:t>
            </w:r>
          </w:p>
        </w:tc>
        <w:tc>
          <w:tcPr>
            <w:tcW w:type="dxa" w:w="1296"/>
            <w:shd w:val="clear" w:color="auto" w:fill="1B355E"/>
          </w:tcPr>
          <w:p>
            <w:pPr>
              <w:spacing w:after="20" w:before="20"/>
              <w:jc w:val="center"/>
            </w:pPr>
            <w:r>
              <w:rPr>
                <w:b/>
                <w:color w:val="FFFFFF"/>
                <w:sz w:val="16"/>
              </w:rPr>
              <w:t>Value</w:t>
            </w:r>
          </w:p>
        </w:tc>
        <w:tc>
          <w:tcPr>
            <w:tcW w:type="dxa" w:w="4176"/>
            <w:shd w:val="clear" w:color="auto" w:fill="1B355E"/>
          </w:tcPr>
          <w:p>
            <w:pPr>
              <w:spacing w:after="20" w:before="20"/>
              <w:jc w:val="center"/>
            </w:pPr>
            <w:r>
              <w:rPr>
                <w:b/>
                <w:color w:val="FFFFFF"/>
                <w:sz w:val="16"/>
              </w:rPr>
              <w:t>Effect if changed</w:t>
            </w:r>
          </w:p>
        </w:tc>
      </w:tr>
      <w:tr>
        <w:tc>
          <w:tcPr>
            <w:tcW w:type="dxa" w:w="1037"/>
          </w:tcPr>
          <w:p>
            <w:pPr>
              <w:spacing w:after="20" w:before="20" w:line="254" w:lineRule="auto"/>
              <w:jc w:val="left"/>
            </w:pPr>
            <w:r>
              <w:rPr>
                <w:sz w:val="16"/>
              </w:rPr>
              <w:t>5-8</w:t>
            </w:r>
          </w:p>
        </w:tc>
        <w:tc>
          <w:tcPr>
            <w:tcW w:type="dxa" w:w="2808"/>
          </w:tcPr>
          <w:p>
            <w:pPr>
              <w:spacing w:after="20" w:before="20" w:line="254" w:lineRule="auto"/>
              <w:jc w:val="center"/>
            </w:pPr>
            <w:r>
              <w:rPr>
                <w:rFonts w:ascii="Consolas" w:hAnsi="Consolas" w:eastAsia="Consolas"/>
                <w:color w:val="8A2C1F"/>
                <w:sz w:val="15"/>
              </w:rPr>
              <w:t>RANDOM_STATE</w:t>
            </w:r>
          </w:p>
        </w:tc>
        <w:tc>
          <w:tcPr>
            <w:tcW w:type="dxa" w:w="1296"/>
          </w:tcPr>
          <w:p>
            <w:pPr>
              <w:spacing w:after="20" w:before="20" w:line="254" w:lineRule="auto"/>
              <w:jc w:val="center"/>
            </w:pPr>
            <w:r>
              <w:rPr>
                <w:rFonts w:ascii="Consolas" w:hAnsi="Consolas" w:eastAsia="Consolas"/>
                <w:color w:val="8A2C1F"/>
                <w:sz w:val="15"/>
              </w:rPr>
              <w:t>42</w:t>
            </w:r>
          </w:p>
        </w:tc>
        <w:tc>
          <w:tcPr>
            <w:tcW w:type="dxa" w:w="4176"/>
          </w:tcPr>
          <w:p>
            <w:pPr>
              <w:spacing w:after="20" w:before="20" w:line="254" w:lineRule="auto"/>
              <w:jc w:val="left"/>
            </w:pPr>
            <w:r>
              <w:rPr>
                <w:sz w:val="16"/>
              </w:rPr>
              <w:t>changes cluster assignment, the split and every model result</w:t>
            </w:r>
          </w:p>
        </w:tc>
      </w:tr>
      <w:tr>
        <w:tc>
          <w:tcPr>
            <w:tcW w:type="dxa" w:w="1037"/>
            <w:shd w:val="clear" w:color="auto" w:fill="F2F5F9"/>
          </w:tcPr>
          <w:p>
            <w:pPr>
              <w:spacing w:after="20" w:before="20" w:line="254" w:lineRule="auto"/>
              <w:jc w:val="left"/>
            </w:pPr>
            <w:r>
              <w:rPr>
                <w:sz w:val="16"/>
              </w:rPr>
              <w:t>5</w:t>
            </w:r>
          </w:p>
        </w:tc>
        <w:tc>
          <w:tcPr>
            <w:tcW w:type="dxa" w:w="2808"/>
            <w:shd w:val="clear" w:color="auto" w:fill="F2F5F9"/>
          </w:tcPr>
          <w:p>
            <w:pPr>
              <w:spacing w:after="20" w:before="20" w:line="254" w:lineRule="auto"/>
              <w:jc w:val="center"/>
            </w:pPr>
            <w:r>
              <w:rPr>
                <w:rFonts w:ascii="Consolas" w:hAnsi="Consolas" w:eastAsia="Consolas"/>
                <w:color w:val="8A2C1F"/>
                <w:sz w:val="15"/>
              </w:rPr>
              <w:t>OPTIMAL_K</w:t>
            </w:r>
          </w:p>
        </w:tc>
        <w:tc>
          <w:tcPr>
            <w:tcW w:type="dxa" w:w="1296"/>
            <w:shd w:val="clear" w:color="auto" w:fill="F2F5F9"/>
          </w:tcPr>
          <w:p>
            <w:pPr>
              <w:spacing w:after="20" w:before="20" w:line="254" w:lineRule="auto"/>
              <w:jc w:val="center"/>
            </w:pPr>
            <w:r>
              <w:rPr>
                <w:rFonts w:ascii="Consolas" w:hAnsi="Consolas" w:eastAsia="Consolas"/>
                <w:color w:val="8A2C1F"/>
                <w:sz w:val="15"/>
              </w:rPr>
              <w:t>4</w:t>
            </w:r>
          </w:p>
        </w:tc>
        <w:tc>
          <w:tcPr>
            <w:tcW w:type="dxa" w:w="4176"/>
            <w:shd w:val="clear" w:color="auto" w:fill="F2F5F9"/>
          </w:tcPr>
          <w:p>
            <w:pPr>
              <w:spacing w:after="20" w:before="20" w:line="254" w:lineRule="auto"/>
              <w:jc w:val="left"/>
            </w:pPr>
            <w:r>
              <w:rPr>
                <w:sz w:val="16"/>
              </w:rPr>
              <w:t>alters the number of behavioural segments</w:t>
            </w:r>
          </w:p>
        </w:tc>
      </w:tr>
      <w:tr>
        <w:tc>
          <w:tcPr>
            <w:tcW w:type="dxa" w:w="1037"/>
          </w:tcPr>
          <w:p>
            <w:pPr>
              <w:spacing w:after="20" w:before="20" w:line="254" w:lineRule="auto"/>
              <w:jc w:val="left"/>
            </w:pPr>
            <w:r>
              <w:rPr>
                <w:sz w:val="16"/>
              </w:rPr>
              <w:t>6, 7, 8</w:t>
            </w:r>
          </w:p>
        </w:tc>
        <w:tc>
          <w:tcPr>
            <w:tcW w:type="dxa" w:w="2808"/>
          </w:tcPr>
          <w:p>
            <w:pPr>
              <w:spacing w:after="20" w:before="20" w:line="254" w:lineRule="auto"/>
              <w:jc w:val="center"/>
            </w:pPr>
            <w:r>
              <w:rPr>
                <w:rFonts w:ascii="Consolas" w:hAnsi="Consolas" w:eastAsia="Consolas"/>
                <w:b/>
                <w:color w:val="8A2C1F"/>
                <w:sz w:val="15"/>
              </w:rPr>
              <w:t>TEST_SIZE</w:t>
            </w:r>
          </w:p>
        </w:tc>
        <w:tc>
          <w:tcPr>
            <w:tcW w:type="dxa" w:w="1296"/>
          </w:tcPr>
          <w:p>
            <w:pPr>
              <w:spacing w:after="20" w:before="20" w:line="254" w:lineRule="auto"/>
              <w:jc w:val="center"/>
            </w:pPr>
            <w:r>
              <w:rPr>
                <w:rFonts w:ascii="Consolas" w:hAnsi="Consolas" w:eastAsia="Consolas"/>
                <w:b/>
                <w:color w:val="8A2C1F"/>
                <w:sz w:val="15"/>
              </w:rPr>
              <w:t>0.20</w:t>
            </w:r>
          </w:p>
        </w:tc>
        <w:tc>
          <w:tcPr>
            <w:tcW w:type="dxa" w:w="4176"/>
          </w:tcPr>
          <w:p>
            <w:pPr>
              <w:spacing w:after="20" w:before="20" w:line="254" w:lineRule="auto"/>
              <w:jc w:val="center"/>
            </w:pPr>
            <w:r>
              <w:rPr>
                <w:b/>
                <w:sz w:val="16"/>
              </w:rPr>
              <w:t>size of the hold-out; reverting to 0.05 reinstates defect 1</w:t>
            </w:r>
          </w:p>
        </w:tc>
      </w:tr>
      <w:tr>
        <w:tc>
          <w:tcPr>
            <w:tcW w:type="dxa" w:w="1037"/>
            <w:shd w:val="clear" w:color="auto" w:fill="F2F5F9"/>
          </w:tcPr>
          <w:p>
            <w:pPr>
              <w:spacing w:after="20" w:before="20" w:line="254" w:lineRule="auto"/>
              <w:jc w:val="left"/>
            </w:pPr>
            <w:r>
              <w:rPr>
                <w:sz w:val="16"/>
              </w:rPr>
              <w:t>6</w:t>
            </w:r>
          </w:p>
        </w:tc>
        <w:tc>
          <w:tcPr>
            <w:tcW w:type="dxa" w:w="2808"/>
            <w:shd w:val="clear" w:color="auto" w:fill="F2F5F9"/>
          </w:tcPr>
          <w:p>
            <w:pPr>
              <w:spacing w:after="20" w:before="20" w:line="254" w:lineRule="auto"/>
              <w:jc w:val="center"/>
            </w:pPr>
            <w:r>
              <w:rPr>
                <w:rFonts w:ascii="Consolas" w:hAnsi="Consolas" w:eastAsia="Consolas"/>
                <w:color w:val="8A2C1F"/>
                <w:sz w:val="15"/>
              </w:rPr>
              <w:t>CV_FOLDS</w:t>
            </w:r>
          </w:p>
        </w:tc>
        <w:tc>
          <w:tcPr>
            <w:tcW w:type="dxa" w:w="1296"/>
            <w:shd w:val="clear" w:color="auto" w:fill="F2F5F9"/>
          </w:tcPr>
          <w:p>
            <w:pPr>
              <w:spacing w:after="20" w:before="20" w:line="254" w:lineRule="auto"/>
              <w:jc w:val="center"/>
            </w:pPr>
            <w:r>
              <w:rPr>
                <w:rFonts w:ascii="Consolas" w:hAnsi="Consolas" w:eastAsia="Consolas"/>
                <w:color w:val="8A2C1F"/>
                <w:sz w:val="15"/>
              </w:rPr>
              <w:t>5</w:t>
            </w:r>
          </w:p>
        </w:tc>
        <w:tc>
          <w:tcPr>
            <w:tcW w:type="dxa" w:w="4176"/>
            <w:shd w:val="clear" w:color="auto" w:fill="F2F5F9"/>
          </w:tcPr>
          <w:p>
            <w:pPr>
              <w:spacing w:after="20" w:before="20" w:line="254" w:lineRule="auto"/>
              <w:jc w:val="left"/>
            </w:pPr>
            <w:r>
              <w:rPr>
                <w:sz w:val="16"/>
              </w:rPr>
              <w:t>lower-variance estimate at higher runtime cost</w:t>
            </w:r>
          </w:p>
        </w:tc>
      </w:tr>
      <w:tr>
        <w:tc>
          <w:tcPr>
            <w:tcW w:type="dxa" w:w="1037"/>
          </w:tcPr>
          <w:p>
            <w:pPr>
              <w:spacing w:after="20" w:before="20" w:line="254" w:lineRule="auto"/>
              <w:jc w:val="left"/>
            </w:pPr>
            <w:r>
              <w:rPr>
                <w:sz w:val="16"/>
              </w:rPr>
              <w:t>6</w:t>
            </w:r>
          </w:p>
        </w:tc>
        <w:tc>
          <w:tcPr>
            <w:tcW w:type="dxa" w:w="2808"/>
          </w:tcPr>
          <w:p>
            <w:pPr>
              <w:spacing w:after="20" w:before="20" w:line="254" w:lineRule="auto"/>
              <w:jc w:val="center"/>
            </w:pPr>
            <w:r>
              <w:rPr>
                <w:rFonts w:ascii="Consolas" w:hAnsi="Consolas" w:eastAsia="Consolas"/>
                <w:b/>
                <w:color w:val="8A2C1F"/>
                <w:sz w:val="15"/>
              </w:rPr>
              <w:t>DECISION_THRESHOLD</w:t>
            </w:r>
          </w:p>
        </w:tc>
        <w:tc>
          <w:tcPr>
            <w:tcW w:type="dxa" w:w="1296"/>
          </w:tcPr>
          <w:p>
            <w:pPr>
              <w:spacing w:after="20" w:before="20" w:line="254" w:lineRule="auto"/>
              <w:jc w:val="center"/>
            </w:pPr>
            <w:r>
              <w:rPr>
                <w:rFonts w:ascii="Consolas" w:hAnsi="Consolas" w:eastAsia="Consolas"/>
                <w:b/>
                <w:color w:val="8A2C1F"/>
                <w:sz w:val="15"/>
              </w:rPr>
              <w:t>0.50</w:t>
            </w:r>
          </w:p>
        </w:tc>
        <w:tc>
          <w:tcPr>
            <w:tcW w:type="dxa" w:w="4176"/>
          </w:tcPr>
          <w:p>
            <w:pPr>
              <w:spacing w:after="20" w:before="20" w:line="254" w:lineRule="auto"/>
              <w:jc w:val="center"/>
            </w:pPr>
            <w:r>
              <w:rPr>
                <w:b/>
                <w:sz w:val="16"/>
              </w:rPr>
              <w:t xml:space="preserve">label threshold; must match phase 7's </w:t>
            </w:r>
            <w:r>
              <w:rPr>
                <w:rFonts w:ascii="Consolas" w:hAnsi="Consolas" w:eastAsia="Consolas"/>
                <w:b/>
                <w:color w:val="8A2C1F"/>
                <w:sz w:val="15"/>
              </w:rPr>
              <w:t>DEFAULT_THRESHOLD</w:t>
            </w:r>
          </w:p>
        </w:tc>
      </w:tr>
      <w:tr>
        <w:tc>
          <w:tcPr>
            <w:tcW w:type="dxa" w:w="1037"/>
            <w:shd w:val="clear" w:color="auto" w:fill="F2F5F9"/>
          </w:tcPr>
          <w:p>
            <w:pPr>
              <w:spacing w:after="20" w:before="20" w:line="254" w:lineRule="auto"/>
              <w:jc w:val="left"/>
            </w:pPr>
            <w:r>
              <w:rPr>
                <w:sz w:val="16"/>
              </w:rPr>
              <w:t>9</w:t>
            </w:r>
          </w:p>
        </w:tc>
        <w:tc>
          <w:tcPr>
            <w:tcW w:type="dxa" w:w="2808"/>
            <w:shd w:val="clear" w:color="auto" w:fill="F2F5F9"/>
          </w:tcPr>
          <w:p>
            <w:pPr>
              <w:spacing w:after="20" w:before="20" w:line="254" w:lineRule="auto"/>
              <w:jc w:val="center"/>
            </w:pPr>
            <w:r>
              <w:rPr>
                <w:rFonts w:ascii="Consolas" w:hAnsi="Consolas" w:eastAsia="Consolas"/>
                <w:b/>
                <w:color w:val="8A2C1F"/>
                <w:sz w:val="15"/>
              </w:rPr>
              <w:t>ONBOARDING_WINDOW_MONTHS</w:t>
            </w:r>
          </w:p>
        </w:tc>
        <w:tc>
          <w:tcPr>
            <w:tcW w:type="dxa" w:w="1296"/>
            <w:shd w:val="clear" w:color="auto" w:fill="F2F5F9"/>
          </w:tcPr>
          <w:p>
            <w:pPr>
              <w:spacing w:after="20" w:before="20" w:line="254" w:lineRule="auto"/>
              <w:jc w:val="center"/>
            </w:pPr>
            <w:r>
              <w:rPr>
                <w:rFonts w:ascii="Consolas" w:hAnsi="Consolas" w:eastAsia="Consolas"/>
                <w:b/>
                <w:color w:val="8A2C1F"/>
                <w:sz w:val="15"/>
              </w:rPr>
              <w:t>12</w:t>
            </w:r>
          </w:p>
        </w:tc>
        <w:tc>
          <w:tcPr>
            <w:tcW w:type="dxa" w:w="4176"/>
            <w:shd w:val="clear" w:color="auto" w:fill="F2F5F9"/>
          </w:tcPr>
          <w:p>
            <w:pPr>
              <w:spacing w:after="20" w:before="20" w:line="254" w:lineRule="auto"/>
              <w:jc w:val="left"/>
            </w:pPr>
            <w:r>
              <w:rPr>
                <w:sz w:val="16"/>
              </w:rPr>
              <w:t>boundary of the onboarding lifecycle stage</w:t>
            </w:r>
          </w:p>
        </w:tc>
      </w:tr>
      <w:tr>
        <w:tc>
          <w:tcPr>
            <w:tcW w:type="dxa" w:w="1037"/>
          </w:tcPr>
          <w:p>
            <w:pPr>
              <w:spacing w:after="20" w:before="20" w:line="254" w:lineRule="auto"/>
              <w:jc w:val="left"/>
            </w:pPr>
            <w:r>
              <w:rPr>
                <w:sz w:val="16"/>
              </w:rPr>
              <w:t>7</w:t>
            </w:r>
          </w:p>
        </w:tc>
        <w:tc>
          <w:tcPr>
            <w:tcW w:type="dxa" w:w="2808"/>
          </w:tcPr>
          <w:p>
            <w:pPr>
              <w:spacing w:after="20" w:before="20" w:line="254" w:lineRule="auto"/>
              <w:jc w:val="center"/>
            </w:pPr>
            <w:r>
              <w:rPr>
                <w:rFonts w:ascii="Consolas" w:hAnsi="Consolas" w:eastAsia="Consolas"/>
                <w:color w:val="8A2C1F"/>
                <w:sz w:val="15"/>
              </w:rPr>
              <w:t>DEFAULT_THRESHOLD</w:t>
            </w:r>
          </w:p>
        </w:tc>
        <w:tc>
          <w:tcPr>
            <w:tcW w:type="dxa" w:w="1296"/>
          </w:tcPr>
          <w:p>
            <w:pPr>
              <w:spacing w:after="20" w:before="20" w:line="254" w:lineRule="auto"/>
              <w:jc w:val="center"/>
            </w:pPr>
            <w:r>
              <w:rPr>
                <w:rFonts w:ascii="Consolas" w:hAnsi="Consolas" w:eastAsia="Consolas"/>
                <w:color w:val="8A2C1F"/>
                <w:sz w:val="15"/>
              </w:rPr>
              <w:t>0.50</w:t>
            </w:r>
          </w:p>
        </w:tc>
        <w:tc>
          <w:tcPr>
            <w:tcW w:type="dxa" w:w="4176"/>
          </w:tcPr>
          <w:p>
            <w:pPr>
              <w:spacing w:after="20" w:before="20" w:line="254" w:lineRule="auto"/>
              <w:jc w:val="left"/>
            </w:pPr>
            <w:r>
              <w:rPr>
                <w:sz w:val="16"/>
              </w:rPr>
              <w:t>the operating point at which labels are assigned</w:t>
            </w:r>
          </w:p>
        </w:tc>
      </w:tr>
      <w:tr>
        <w:tc>
          <w:tcPr>
            <w:tcW w:type="dxa" w:w="1037"/>
            <w:shd w:val="clear" w:color="auto" w:fill="F2F5F9"/>
          </w:tcPr>
          <w:p>
            <w:pPr>
              <w:spacing w:after="20" w:before="20" w:line="254" w:lineRule="auto"/>
              <w:jc w:val="left"/>
            </w:pPr>
            <w:r>
              <w:rPr>
                <w:sz w:val="16"/>
              </w:rPr>
              <w:t>8</w:t>
            </w:r>
          </w:p>
        </w:tc>
        <w:tc>
          <w:tcPr>
            <w:tcW w:type="dxa" w:w="2808"/>
            <w:shd w:val="clear" w:color="auto" w:fill="F2F5F9"/>
          </w:tcPr>
          <w:p>
            <w:pPr>
              <w:spacing w:after="20" w:before="20" w:line="254" w:lineRule="auto"/>
              <w:jc w:val="center"/>
            </w:pPr>
            <w:r>
              <w:rPr>
                <w:rFonts w:ascii="Consolas" w:hAnsi="Consolas" w:eastAsia="Consolas"/>
                <w:color w:val="8A2C1F"/>
                <w:sz w:val="15"/>
              </w:rPr>
              <w:t>CALIBRATION_CV_FOLDS</w:t>
            </w:r>
          </w:p>
        </w:tc>
        <w:tc>
          <w:tcPr>
            <w:tcW w:type="dxa" w:w="1296"/>
            <w:shd w:val="clear" w:color="auto" w:fill="F2F5F9"/>
          </w:tcPr>
          <w:p>
            <w:pPr>
              <w:spacing w:after="20" w:before="20" w:line="254" w:lineRule="auto"/>
              <w:jc w:val="center"/>
            </w:pPr>
            <w:r>
              <w:rPr>
                <w:rFonts w:ascii="Consolas" w:hAnsi="Consolas" w:eastAsia="Consolas"/>
                <w:color w:val="8A2C1F"/>
                <w:sz w:val="15"/>
              </w:rPr>
              <w:t>5</w:t>
            </w:r>
          </w:p>
        </w:tc>
        <w:tc>
          <w:tcPr>
            <w:tcW w:type="dxa" w:w="4176"/>
            <w:shd w:val="clear" w:color="auto" w:fill="F2F5F9"/>
          </w:tcPr>
          <w:p>
            <w:pPr>
              <w:spacing w:after="20" w:before="20" w:line="254" w:lineRule="auto"/>
              <w:jc w:val="left"/>
            </w:pPr>
            <w:r>
              <w:rPr>
                <w:sz w:val="16"/>
              </w:rPr>
              <w:t>folds used by Platt scaling</w:t>
            </w:r>
          </w:p>
        </w:tc>
      </w:tr>
      <w:tr>
        <w:tc>
          <w:tcPr>
            <w:tcW w:type="dxa" w:w="1037"/>
          </w:tcPr>
          <w:p>
            <w:pPr>
              <w:spacing w:after="20" w:before="20" w:line="254" w:lineRule="auto"/>
              <w:jc w:val="left"/>
            </w:pPr>
            <w:r>
              <w:rPr>
                <w:sz w:val="16"/>
              </w:rPr>
              <w:t>9</w:t>
            </w:r>
          </w:p>
        </w:tc>
        <w:tc>
          <w:tcPr>
            <w:tcW w:type="dxa" w:w="2808"/>
          </w:tcPr>
          <w:p>
            <w:pPr>
              <w:spacing w:after="20" w:before="20" w:line="254" w:lineRule="auto"/>
              <w:jc w:val="center"/>
            </w:pPr>
            <w:r>
              <w:rPr>
                <w:rFonts w:ascii="Consolas" w:hAnsi="Consolas" w:eastAsia="Consolas"/>
                <w:color w:val="8A2C1F"/>
                <w:sz w:val="15"/>
              </w:rPr>
              <w:t>HIGH_RISK_THRESHOLD</w:t>
            </w:r>
          </w:p>
        </w:tc>
        <w:tc>
          <w:tcPr>
            <w:tcW w:type="dxa" w:w="1296"/>
          </w:tcPr>
          <w:p>
            <w:pPr>
              <w:spacing w:after="20" w:before="20" w:line="254" w:lineRule="auto"/>
              <w:jc w:val="center"/>
            </w:pPr>
            <w:r>
              <w:rPr>
                <w:rFonts w:ascii="Consolas" w:hAnsi="Consolas" w:eastAsia="Consolas"/>
                <w:color w:val="8A2C1F"/>
                <w:sz w:val="15"/>
              </w:rPr>
              <w:t>0.65</w:t>
            </w:r>
          </w:p>
        </w:tc>
        <w:tc>
          <w:tcPr>
            <w:tcW w:type="dxa" w:w="4176"/>
          </w:tcPr>
          <w:p>
            <w:pPr>
              <w:spacing w:after="20" w:before="20" w:line="254" w:lineRule="auto"/>
              <w:jc w:val="left"/>
            </w:pPr>
            <w:r>
              <w:rPr>
                <w:sz w:val="16"/>
              </w:rPr>
              <w:t>who enters the retention campaign</w:t>
            </w:r>
          </w:p>
        </w:tc>
      </w:tr>
      <w:tr>
        <w:tc>
          <w:tcPr>
            <w:tcW w:type="dxa" w:w="1037"/>
            <w:shd w:val="clear" w:color="auto" w:fill="F2F5F9"/>
          </w:tcPr>
          <w:p>
            <w:pPr>
              <w:spacing w:after="20" w:before="20" w:line="254" w:lineRule="auto"/>
              <w:jc w:val="left"/>
            </w:pPr>
            <w:r>
              <w:rPr>
                <w:sz w:val="16"/>
              </w:rPr>
              <w:t>9</w:t>
            </w:r>
          </w:p>
        </w:tc>
        <w:tc>
          <w:tcPr>
            <w:tcW w:type="dxa" w:w="2808"/>
            <w:shd w:val="clear" w:color="auto" w:fill="F2F5F9"/>
          </w:tcPr>
          <w:p>
            <w:pPr>
              <w:spacing w:after="20" w:before="20" w:line="254" w:lineRule="auto"/>
              <w:jc w:val="center"/>
            </w:pPr>
            <w:r>
              <w:rPr>
                <w:rFonts w:ascii="Consolas" w:hAnsi="Consolas" w:eastAsia="Consolas"/>
                <w:color w:val="8A2C1F"/>
                <w:sz w:val="15"/>
              </w:rPr>
              <w:t>CAMPAIGN_SUCCESS_RATE</w:t>
            </w:r>
          </w:p>
        </w:tc>
        <w:tc>
          <w:tcPr>
            <w:tcW w:type="dxa" w:w="1296"/>
            <w:shd w:val="clear" w:color="auto" w:fill="F2F5F9"/>
          </w:tcPr>
          <w:p>
            <w:pPr>
              <w:spacing w:after="20" w:before="20" w:line="254" w:lineRule="auto"/>
              <w:jc w:val="center"/>
            </w:pPr>
            <w:r>
              <w:rPr>
                <w:rFonts w:ascii="Consolas" w:hAnsi="Consolas" w:eastAsia="Consolas"/>
                <w:color w:val="8A2C1F"/>
                <w:sz w:val="15"/>
              </w:rPr>
              <w:t>0.30</w:t>
            </w:r>
          </w:p>
        </w:tc>
        <w:tc>
          <w:tcPr>
            <w:tcW w:type="dxa" w:w="4176"/>
            <w:shd w:val="clear" w:color="auto" w:fill="F2F5F9"/>
          </w:tcPr>
          <w:p>
            <w:pPr>
              <w:spacing w:after="20" w:before="20" w:line="254" w:lineRule="auto"/>
              <w:jc w:val="center"/>
            </w:pPr>
            <w:r>
              <w:rPr>
                <w:b/>
                <w:sz w:val="16"/>
              </w:rPr>
              <w:t>stated assumption</w:t>
            </w:r>
          </w:p>
        </w:tc>
      </w:tr>
      <w:tr>
        <w:tc>
          <w:tcPr>
            <w:tcW w:type="dxa" w:w="1037"/>
          </w:tcPr>
          <w:p>
            <w:pPr>
              <w:spacing w:after="20" w:before="20" w:line="254" w:lineRule="auto"/>
              <w:jc w:val="left"/>
            </w:pPr>
            <w:r>
              <w:rPr>
                <w:sz w:val="16"/>
              </w:rPr>
              <w:t>9</w:t>
            </w:r>
          </w:p>
        </w:tc>
        <w:tc>
          <w:tcPr>
            <w:tcW w:type="dxa" w:w="2808"/>
          </w:tcPr>
          <w:p>
            <w:pPr>
              <w:spacing w:after="20" w:before="20" w:line="254" w:lineRule="auto"/>
              <w:jc w:val="center"/>
            </w:pPr>
            <w:r>
              <w:rPr>
                <w:rFonts w:ascii="Consolas" w:hAnsi="Consolas" w:eastAsia="Consolas"/>
                <w:color w:val="8A2C1F"/>
                <w:sz w:val="15"/>
              </w:rPr>
              <w:t>COST_PER_RETENTION_OFFER</w:t>
            </w:r>
          </w:p>
        </w:tc>
        <w:tc>
          <w:tcPr>
            <w:tcW w:type="dxa" w:w="1296"/>
          </w:tcPr>
          <w:p>
            <w:pPr>
              <w:spacing w:after="20" w:before="20" w:line="254" w:lineRule="auto"/>
              <w:jc w:val="center"/>
            </w:pPr>
            <w:r>
              <w:rPr>
                <w:rFonts w:ascii="Consolas" w:hAnsi="Consolas" w:eastAsia="Consolas"/>
                <w:color w:val="8A2C1F"/>
                <w:sz w:val="15"/>
              </w:rPr>
              <w:t>15.00</w:t>
            </w:r>
          </w:p>
        </w:tc>
        <w:tc>
          <w:tcPr>
            <w:tcW w:type="dxa" w:w="4176"/>
          </w:tcPr>
          <w:p>
            <w:pPr>
              <w:spacing w:after="20" w:before="20" w:line="254" w:lineRule="auto"/>
              <w:jc w:val="center"/>
            </w:pPr>
            <w:r>
              <w:rPr>
                <w:b/>
                <w:sz w:val="16"/>
              </w:rPr>
              <w:t>stated assumption</w:t>
            </w:r>
          </w:p>
        </w:tc>
      </w:tr>
      <w:tr>
        <w:tc>
          <w:tcPr>
            <w:tcW w:type="dxa" w:w="1037"/>
            <w:shd w:val="clear" w:color="auto" w:fill="F2F5F9"/>
          </w:tcPr>
          <w:p>
            <w:pPr>
              <w:spacing w:after="20" w:before="20" w:line="254" w:lineRule="auto"/>
              <w:jc w:val="left"/>
            </w:pPr>
            <w:r>
              <w:rPr>
                <w:sz w:val="16"/>
              </w:rPr>
              <w:t>9</w:t>
            </w:r>
          </w:p>
        </w:tc>
        <w:tc>
          <w:tcPr>
            <w:tcW w:type="dxa" w:w="2808"/>
            <w:shd w:val="clear" w:color="auto" w:fill="F2F5F9"/>
          </w:tcPr>
          <w:p>
            <w:pPr>
              <w:spacing w:after="20" w:before="20" w:line="254" w:lineRule="auto"/>
              <w:jc w:val="center"/>
            </w:pPr>
            <w:r>
              <w:rPr>
                <w:rFonts w:ascii="Consolas" w:hAnsi="Consolas" w:eastAsia="Consolas"/>
                <w:color w:val="8A2C1F"/>
                <w:sz w:val="15"/>
              </w:rPr>
              <w:t>EXPECTED_REMAINING_TENURE_MONTHS</w:t>
            </w:r>
          </w:p>
        </w:tc>
        <w:tc>
          <w:tcPr>
            <w:tcW w:type="dxa" w:w="1296"/>
            <w:shd w:val="clear" w:color="auto" w:fill="F2F5F9"/>
          </w:tcPr>
          <w:p>
            <w:pPr>
              <w:spacing w:after="20" w:before="20" w:line="254" w:lineRule="auto"/>
              <w:jc w:val="center"/>
            </w:pPr>
            <w:r>
              <w:rPr>
                <w:rFonts w:ascii="Consolas" w:hAnsi="Consolas" w:eastAsia="Consolas"/>
                <w:color w:val="8A2C1F"/>
                <w:sz w:val="15"/>
              </w:rPr>
              <w:t>12</w:t>
            </w:r>
          </w:p>
        </w:tc>
        <w:tc>
          <w:tcPr>
            <w:tcW w:type="dxa" w:w="4176"/>
            <w:shd w:val="clear" w:color="auto" w:fill="F2F5F9"/>
          </w:tcPr>
          <w:p>
            <w:pPr>
              <w:spacing w:after="20" w:before="20" w:line="254" w:lineRule="auto"/>
              <w:jc w:val="center"/>
            </w:pPr>
            <w:r>
              <w:rPr>
                <w:b/>
                <w:sz w:val="16"/>
              </w:rPr>
              <w:t>stated assumption</w:t>
            </w:r>
          </w:p>
        </w:tc>
      </w:tr>
    </w:tbl>
    <w:p>
      <w:pPr>
        <w:spacing w:before="60" w:after="200"/>
        <w:jc w:val="center"/>
      </w:pPr>
      <w:r>
        <w:rPr>
          <w:i/>
          <w:color w:val="555F6B"/>
          <w:sz w:val="17"/>
        </w:rPr>
        <w:t>Table 57: Analytical constants and the effect of changing each.</w:t>
      </w:r>
    </w:p>
    <w:p>
      <w:pPr>
        <w:keepNext/>
        <w:spacing w:before="240" w:after="80"/>
      </w:pPr>
      <w:r>
        <w:rPr>
          <w:b/>
          <w:color w:val="1B355E"/>
          <w:sz w:val="25"/>
        </w:rPr>
        <w:t>A.3  Model hyper-parameters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44"/>
        <w:gridCol w:w="7272"/>
      </w:tblGrid>
      <w:tr>
        <w:tc>
          <w:tcPr>
            <w:tcW w:type="dxa" w:w="2045"/>
            <w:shd w:val="clear" w:color="auto" w:fill="1B355E"/>
          </w:tcPr>
          <w:p>
            <w:pPr>
              <w:spacing w:after="20" w:before="20"/>
              <w:jc w:val="center"/>
            </w:pPr>
            <w:r>
              <w:rPr>
                <w:b/>
                <w:color w:val="FFFFFF"/>
                <w:sz w:val="16"/>
              </w:rPr>
              <w:t>Model</w:t>
            </w:r>
          </w:p>
        </w:tc>
        <w:tc>
          <w:tcPr>
            <w:tcW w:type="dxa" w:w="7272"/>
            <w:shd w:val="clear" w:color="auto" w:fill="1B355E"/>
          </w:tcPr>
          <w:p>
            <w:pPr>
              <w:spacing w:after="20" w:before="20"/>
              <w:jc w:val="center"/>
            </w:pPr>
            <w:r>
              <w:rPr>
                <w:b/>
                <w:color w:val="FFFFFF"/>
                <w:sz w:val="16"/>
              </w:rPr>
              <w:t>Configuration</w:t>
            </w:r>
          </w:p>
        </w:tc>
      </w:tr>
      <w:tr>
        <w:tc>
          <w:tcPr>
            <w:tcW w:type="dxa" w:w="2045"/>
          </w:tcPr>
          <w:p>
            <w:pPr>
              <w:spacing w:after="20" w:before="20" w:line="254" w:lineRule="auto"/>
              <w:jc w:val="left"/>
            </w:pPr>
            <w:r>
              <w:rPr>
                <w:sz w:val="16"/>
              </w:rPr>
              <w:t>Logistic Regression</w:t>
            </w:r>
          </w:p>
        </w:tc>
        <w:tc>
          <w:tcPr>
            <w:tcW w:type="dxa" w:w="7272"/>
          </w:tcPr>
          <w:p>
            <w:pPr>
              <w:spacing w:after="20" w:before="20" w:line="254" w:lineRule="auto"/>
              <w:jc w:val="center"/>
            </w:pPr>
            <w:r>
              <w:rPr>
                <w:rFonts w:ascii="Consolas" w:hAnsi="Consolas" w:eastAsia="Consolas"/>
                <w:color w:val="8A2C1F"/>
                <w:sz w:val="15"/>
              </w:rPr>
              <w:t>penalty="l2"</w:t>
            </w:r>
            <w:r>
              <w:rPr>
                <w:sz w:val="16"/>
              </w:rPr>
              <w:t xml:space="preserve">, </w:t>
            </w:r>
            <w:r>
              <w:rPr>
                <w:rFonts w:ascii="Consolas" w:hAnsi="Consolas" w:eastAsia="Consolas"/>
                <w:color w:val="8A2C1F"/>
                <w:sz w:val="15"/>
              </w:rPr>
              <w:t>solver="liblinear"</w:t>
            </w:r>
            <w:r>
              <w:rPr>
                <w:sz w:val="16"/>
              </w:rPr>
              <w:t xml:space="preserve">, </w:t>
            </w:r>
            <w:r>
              <w:rPr>
                <w:rFonts w:ascii="Consolas" w:hAnsi="Consolas" w:eastAsia="Consolas"/>
                <w:color w:val="8A2C1F"/>
                <w:sz w:val="15"/>
              </w:rPr>
              <w:t>class_weight="balanced"</w:t>
            </w:r>
            <w:r>
              <w:rPr>
                <w:sz w:val="16"/>
              </w:rPr>
              <w:t xml:space="preserve">, </w:t>
            </w:r>
            <w:r>
              <w:rPr>
                <w:rFonts w:ascii="Consolas" w:hAnsi="Consolas" w:eastAsia="Consolas"/>
                <w:color w:val="8A2C1F"/>
                <w:sz w:val="15"/>
              </w:rPr>
              <w:t>max_iter=2000</w:t>
            </w:r>
          </w:p>
        </w:tc>
      </w:tr>
      <w:tr>
        <w:tc>
          <w:tcPr>
            <w:tcW w:type="dxa" w:w="2045"/>
            <w:shd w:val="clear" w:color="auto" w:fill="F2F5F9"/>
          </w:tcPr>
          <w:p>
            <w:pPr>
              <w:spacing w:after="20" w:before="20" w:line="254" w:lineRule="auto"/>
              <w:jc w:val="left"/>
            </w:pPr>
            <w:r>
              <w:rPr>
                <w:sz w:val="16"/>
              </w:rPr>
              <w:t>Random Forest</w:t>
            </w:r>
          </w:p>
        </w:tc>
        <w:tc>
          <w:tcPr>
            <w:tcW w:type="dxa" w:w="7272"/>
            <w:shd w:val="clear" w:color="auto" w:fill="F2F5F9"/>
          </w:tcPr>
          <w:p>
            <w:pPr>
              <w:spacing w:after="20" w:before="20" w:line="254" w:lineRule="auto"/>
              <w:jc w:val="center"/>
            </w:pPr>
            <w:r>
              <w:rPr>
                <w:rFonts w:ascii="Consolas" w:hAnsi="Consolas" w:eastAsia="Consolas"/>
                <w:color w:val="8A2C1F"/>
                <w:sz w:val="15"/>
              </w:rPr>
              <w:t>n_estimators=2000</w:t>
            </w:r>
            <w:r>
              <w:rPr>
                <w:sz w:val="16"/>
              </w:rPr>
              <w:t xml:space="preserve">, </w:t>
            </w:r>
            <w:r>
              <w:rPr>
                <w:rFonts w:ascii="Consolas" w:hAnsi="Consolas" w:eastAsia="Consolas"/>
                <w:color w:val="8A2C1F"/>
                <w:sz w:val="15"/>
              </w:rPr>
              <w:t>max_depth=10</w:t>
            </w:r>
            <w:r>
              <w:rPr>
                <w:sz w:val="16"/>
              </w:rPr>
              <w:t xml:space="preserve">, </w:t>
            </w:r>
            <w:r>
              <w:rPr>
                <w:rFonts w:ascii="Consolas" w:hAnsi="Consolas" w:eastAsia="Consolas"/>
                <w:color w:val="8A2C1F"/>
                <w:sz w:val="15"/>
              </w:rPr>
              <w:t>min_samples_split=5</w:t>
            </w:r>
            <w:r>
              <w:rPr>
                <w:sz w:val="16"/>
              </w:rPr>
              <w:t xml:space="preserve">, </w:t>
            </w:r>
            <w:r>
              <w:rPr>
                <w:rFonts w:ascii="Consolas" w:hAnsi="Consolas" w:eastAsia="Consolas"/>
                <w:color w:val="8A2C1F"/>
                <w:sz w:val="15"/>
              </w:rPr>
              <w:t>min_samples_leaf=2</w:t>
            </w:r>
            <w:r>
              <w:rPr>
                <w:sz w:val="16"/>
              </w:rPr>
              <w:t xml:space="preserve">, </w:t>
            </w:r>
            <w:r>
              <w:rPr>
                <w:rFonts w:ascii="Consolas" w:hAnsi="Consolas" w:eastAsia="Consolas"/>
                <w:color w:val="8A2C1F"/>
                <w:sz w:val="15"/>
              </w:rPr>
              <w:t>class_weight="balanced"</w:t>
            </w:r>
          </w:p>
        </w:tc>
      </w:tr>
      <w:tr>
        <w:tc>
          <w:tcPr>
            <w:tcW w:type="dxa" w:w="2045"/>
          </w:tcPr>
          <w:p>
            <w:pPr>
              <w:spacing w:after="20" w:before="20" w:line="254" w:lineRule="auto"/>
              <w:jc w:val="left"/>
            </w:pPr>
            <w:r>
              <w:rPr>
                <w:sz w:val="16"/>
              </w:rPr>
              <w:t>Support Vector Machine</w:t>
            </w:r>
          </w:p>
        </w:tc>
        <w:tc>
          <w:tcPr>
            <w:tcW w:type="dxa" w:w="7272"/>
          </w:tcPr>
          <w:p>
            <w:pPr>
              <w:spacing w:after="20" w:before="20" w:line="254" w:lineRule="auto"/>
              <w:jc w:val="center"/>
            </w:pPr>
            <w:r>
              <w:rPr>
                <w:rFonts w:ascii="Consolas" w:hAnsi="Consolas" w:eastAsia="Consolas"/>
                <w:color w:val="8A2C1F"/>
                <w:sz w:val="15"/>
              </w:rPr>
              <w:t>kernel="rbf"</w:t>
            </w:r>
            <w:r>
              <w:rPr>
                <w:sz w:val="16"/>
              </w:rPr>
              <w:t xml:space="preserve">, </w:t>
            </w:r>
            <w:r>
              <w:rPr>
                <w:rFonts w:ascii="Consolas" w:hAnsi="Consolas" w:eastAsia="Consolas"/>
                <w:color w:val="8A2C1F"/>
                <w:sz w:val="15"/>
              </w:rPr>
              <w:t>C=1.0</w:t>
            </w:r>
            <w:r>
              <w:rPr>
                <w:sz w:val="16"/>
              </w:rPr>
              <w:t xml:space="preserve">, </w:t>
            </w:r>
            <w:r>
              <w:rPr>
                <w:rFonts w:ascii="Consolas" w:hAnsi="Consolas" w:eastAsia="Consolas"/>
                <w:color w:val="8A2C1F"/>
                <w:sz w:val="15"/>
              </w:rPr>
              <w:t>gamma="scale"</w:t>
            </w:r>
            <w:r>
              <w:rPr>
                <w:sz w:val="16"/>
              </w:rPr>
              <w:t xml:space="preserve">, </w:t>
            </w:r>
            <w:r>
              <w:rPr>
                <w:rFonts w:ascii="Consolas" w:hAnsi="Consolas" w:eastAsia="Consolas"/>
                <w:color w:val="8A2C1F"/>
                <w:sz w:val="15"/>
              </w:rPr>
              <w:t>probability=True</w:t>
            </w:r>
            <w:r>
              <w:rPr>
                <w:sz w:val="16"/>
              </w:rPr>
              <w:t xml:space="preserve">, </w:t>
            </w:r>
            <w:r>
              <w:rPr>
                <w:rFonts w:ascii="Consolas" w:hAnsi="Consolas" w:eastAsia="Consolas"/>
                <w:color w:val="8A2C1F"/>
                <w:sz w:val="15"/>
              </w:rPr>
              <w:t>class_weight="balanced"</w:t>
            </w:r>
          </w:p>
        </w:tc>
      </w:tr>
      <w:tr>
        <w:tc>
          <w:tcPr>
            <w:tcW w:type="dxa" w:w="2045"/>
            <w:shd w:val="clear" w:color="auto" w:fill="F2F5F9"/>
          </w:tcPr>
          <w:p>
            <w:pPr>
              <w:spacing w:after="20" w:before="20" w:line="254" w:lineRule="auto"/>
              <w:jc w:val="left"/>
            </w:pPr>
            <w:r>
              <w:rPr>
                <w:sz w:val="16"/>
              </w:rPr>
              <w:t>XGBoost baseline</w:t>
            </w:r>
          </w:p>
        </w:tc>
        <w:tc>
          <w:tcPr>
            <w:tcW w:type="dxa" w:w="7272"/>
            <w:shd w:val="clear" w:color="auto" w:fill="F2F5F9"/>
          </w:tcPr>
          <w:p>
            <w:pPr>
              <w:spacing w:after="20" w:before="20" w:line="254" w:lineRule="auto"/>
              <w:jc w:val="center"/>
            </w:pPr>
            <w:r>
              <w:rPr>
                <w:rFonts w:ascii="Consolas" w:hAnsi="Consolas" w:eastAsia="Consolas"/>
                <w:color w:val="8A2C1F"/>
                <w:sz w:val="15"/>
              </w:rPr>
              <w:t>n_estimators=2000</w:t>
            </w:r>
            <w:r>
              <w:rPr>
                <w:sz w:val="16"/>
              </w:rPr>
              <w:t xml:space="preserve">, </w:t>
            </w:r>
            <w:r>
              <w:rPr>
                <w:rFonts w:ascii="Consolas" w:hAnsi="Consolas" w:eastAsia="Consolas"/>
                <w:color w:val="8A2C1F"/>
                <w:sz w:val="15"/>
              </w:rPr>
              <w:t>learning_rate=0.10</w:t>
            </w:r>
            <w:r>
              <w:rPr>
                <w:sz w:val="16"/>
              </w:rPr>
              <w:t xml:space="preserve">, </w:t>
            </w:r>
            <w:r>
              <w:rPr>
                <w:rFonts w:ascii="Consolas" w:hAnsi="Consolas" w:eastAsia="Consolas"/>
                <w:color w:val="8A2C1F"/>
                <w:sz w:val="15"/>
              </w:rPr>
              <w:t>max_depth=6</w:t>
            </w:r>
            <w:r>
              <w:rPr>
                <w:sz w:val="16"/>
              </w:rPr>
              <w:t xml:space="preserve">, </w:t>
            </w:r>
            <w:r>
              <w:rPr>
                <w:rFonts w:ascii="Consolas" w:hAnsi="Consolas" w:eastAsia="Consolas"/>
                <w:color w:val="8A2C1F"/>
                <w:sz w:val="15"/>
              </w:rPr>
              <w:t>subsample=0.85</w:t>
            </w:r>
            <w:r>
              <w:rPr>
                <w:sz w:val="16"/>
              </w:rPr>
              <w:t xml:space="preserve">, </w:t>
            </w:r>
            <w:r>
              <w:rPr>
                <w:rFonts w:ascii="Consolas" w:hAnsi="Consolas" w:eastAsia="Consolas"/>
                <w:color w:val="8A2C1F"/>
                <w:sz w:val="15"/>
              </w:rPr>
              <w:t>colsample_bytree=0.85</w:t>
            </w:r>
            <w:r>
              <w:rPr>
                <w:sz w:val="16"/>
              </w:rPr>
              <w:t xml:space="preserve">, </w:t>
            </w:r>
            <w:r>
              <w:rPr>
                <w:rFonts w:ascii="Consolas" w:hAnsi="Consolas" w:eastAsia="Consolas"/>
                <w:color w:val="8A2C1F"/>
                <w:sz w:val="15"/>
              </w:rPr>
              <w:t>scale_pos_weight</w:t>
            </w:r>
            <w:r>
              <w:rPr>
                <w:sz w:val="16"/>
              </w:rPr>
              <w:t xml:space="preserve"> computed</w:t>
            </w:r>
          </w:p>
        </w:tc>
      </w:tr>
      <w:tr>
        <w:tc>
          <w:tcPr>
            <w:tcW w:type="dxa" w:w="2045"/>
          </w:tcPr>
          <w:p>
            <w:pPr>
              <w:spacing w:after="20" w:before="20" w:line="254" w:lineRule="auto"/>
              <w:jc w:val="left"/>
            </w:pPr>
            <w:r>
              <w:rPr>
                <w:sz w:val="16"/>
              </w:rPr>
              <w:t>XGBoost tuned</w:t>
            </w:r>
          </w:p>
        </w:tc>
        <w:tc>
          <w:tcPr>
            <w:tcW w:type="dxa" w:w="7272"/>
          </w:tcPr>
          <w:p>
            <w:pPr>
              <w:spacing w:after="20" w:before="20" w:line="254" w:lineRule="auto"/>
              <w:jc w:val="left"/>
            </w:pPr>
            <w:r>
              <w:rPr>
                <w:rFonts w:ascii="Consolas" w:hAnsi="Consolas" w:eastAsia="Consolas"/>
                <w:color w:val="8A2C1F"/>
                <w:sz w:val="15"/>
              </w:rPr>
              <w:t>RandomizedSearchCV</w:t>
            </w:r>
            <w:r>
              <w:rPr>
                <w:sz w:val="16"/>
              </w:rPr>
              <w:t xml:space="preserve"> over 10 parameters, </w:t>
            </w:r>
            <w:r>
              <w:rPr>
                <w:rFonts w:ascii="Consolas" w:hAnsi="Consolas" w:eastAsia="Consolas"/>
                <w:color w:val="8A2C1F"/>
                <w:sz w:val="15"/>
              </w:rPr>
              <w:t>n_iter=30</w:t>
            </w:r>
            <w:r>
              <w:rPr>
                <w:sz w:val="16"/>
              </w:rPr>
              <w:t xml:space="preserve">, </w:t>
            </w:r>
            <w:r>
              <w:rPr>
                <w:rFonts w:ascii="Consolas" w:hAnsi="Consolas" w:eastAsia="Consolas"/>
                <w:color w:val="8A2C1F"/>
                <w:sz w:val="15"/>
              </w:rPr>
              <w:t>cv=5</w:t>
            </w:r>
            <w:r>
              <w:rPr>
                <w:sz w:val="16"/>
              </w:rPr>
              <w:t xml:space="preserve">, </w:t>
            </w:r>
            <w:r>
              <w:rPr>
                <w:rFonts w:ascii="Consolas" w:hAnsi="Consolas" w:eastAsia="Consolas"/>
                <w:color w:val="8A2C1F"/>
                <w:sz w:val="15"/>
              </w:rPr>
              <w:t>scoring="roc_auc"</w:t>
            </w:r>
            <w:r>
              <w:rPr>
                <w:sz w:val="16"/>
              </w:rPr>
              <w:t xml:space="preserve"> — 150 fits</w:t>
            </w:r>
          </w:p>
        </w:tc>
      </w:tr>
      <w:tr>
        <w:tc>
          <w:tcPr>
            <w:tcW w:type="dxa" w:w="2045"/>
            <w:shd w:val="clear" w:color="auto" w:fill="F2F5F9"/>
          </w:tcPr>
          <w:p>
            <w:pPr>
              <w:spacing w:after="20" w:before="20" w:line="254" w:lineRule="auto"/>
              <w:jc w:val="left"/>
            </w:pPr>
            <w:r>
              <w:rPr>
                <w:sz w:val="16"/>
              </w:rPr>
              <w:t>Phase 8 XGBoost</w:t>
            </w:r>
          </w:p>
        </w:tc>
        <w:tc>
          <w:tcPr>
            <w:tcW w:type="dxa" w:w="7272"/>
            <w:shd w:val="clear" w:color="auto" w:fill="F2F5F9"/>
          </w:tcPr>
          <w:p>
            <w:pPr>
              <w:spacing w:after="20" w:before="20" w:line="254" w:lineRule="auto"/>
              <w:jc w:val="center"/>
            </w:pPr>
            <w:r>
              <w:rPr>
                <w:rFonts w:ascii="Consolas" w:hAnsi="Consolas" w:eastAsia="Consolas"/>
                <w:color w:val="8A2C1F"/>
                <w:sz w:val="15"/>
              </w:rPr>
              <w:t>n_estimators=200</w:t>
            </w:r>
            <w:r>
              <w:rPr>
                <w:sz w:val="16"/>
              </w:rPr>
              <w:t xml:space="preserve">, </w:t>
            </w:r>
            <w:r>
              <w:rPr>
                <w:rFonts w:ascii="Consolas" w:hAnsi="Consolas" w:eastAsia="Consolas"/>
                <w:color w:val="8A2C1F"/>
                <w:sz w:val="15"/>
              </w:rPr>
              <w:t>learning_rate=0.03</w:t>
            </w:r>
            <w:r>
              <w:rPr>
                <w:sz w:val="16"/>
              </w:rPr>
              <w:t xml:space="preserve">, </w:t>
            </w:r>
            <w:r>
              <w:rPr>
                <w:rFonts w:ascii="Consolas" w:hAnsi="Consolas" w:eastAsia="Consolas"/>
                <w:color w:val="8A2C1F"/>
                <w:sz w:val="15"/>
              </w:rPr>
              <w:t>max_depth=3</w:t>
            </w:r>
            <w:r>
              <w:rPr>
                <w:sz w:val="16"/>
              </w:rPr>
              <w:t xml:space="preserve">, </w:t>
            </w:r>
            <w:r>
              <w:rPr>
                <w:rFonts w:ascii="Consolas" w:hAnsi="Consolas" w:eastAsia="Consolas"/>
                <w:color w:val="8A2C1F"/>
                <w:sz w:val="15"/>
              </w:rPr>
              <w:t>min_child_weight=5</w:t>
            </w:r>
            <w:r>
              <w:rPr>
                <w:sz w:val="16"/>
              </w:rPr>
              <w:t xml:space="preserve">, </w:t>
            </w:r>
            <w:r>
              <w:rPr>
                <w:rFonts w:ascii="Consolas" w:hAnsi="Consolas" w:eastAsia="Consolas"/>
                <w:color w:val="8A2C1F"/>
                <w:sz w:val="15"/>
              </w:rPr>
              <w:t>reg_lambda=2</w:t>
            </w:r>
            <w:r>
              <w:rPr>
                <w:sz w:val="16"/>
              </w:rPr>
              <w:t xml:space="preserve">, wrapped in </w:t>
            </w:r>
            <w:r>
              <w:rPr>
                <w:rFonts w:ascii="Consolas" w:hAnsi="Consolas" w:eastAsia="Consolas"/>
                <w:color w:val="8A2C1F"/>
                <w:sz w:val="15"/>
              </w:rPr>
              <w:t>CalibratedClassifierCV</w:t>
            </w:r>
          </w:p>
        </w:tc>
      </w:tr>
      <w:tr>
        <w:tc>
          <w:tcPr>
            <w:tcW w:type="dxa" w:w="2045"/>
          </w:tcPr>
          <w:p>
            <w:pPr>
              <w:spacing w:after="20" w:before="20" w:line="254" w:lineRule="auto"/>
              <w:jc w:val="left"/>
            </w:pPr>
            <w:r>
              <w:rPr>
                <w:sz w:val="16"/>
              </w:rPr>
              <w:t>K-Means</w:t>
            </w:r>
          </w:p>
        </w:tc>
        <w:tc>
          <w:tcPr>
            <w:tcW w:type="dxa" w:w="7272"/>
          </w:tcPr>
          <w:p>
            <w:pPr>
              <w:spacing w:after="20" w:before="20" w:line="254" w:lineRule="auto"/>
              <w:jc w:val="left"/>
            </w:pPr>
            <w:r>
              <w:rPr>
                <w:rFonts w:ascii="Consolas" w:hAnsi="Consolas" w:eastAsia="Consolas"/>
                <w:color w:val="8A2C1F"/>
                <w:sz w:val="15"/>
              </w:rPr>
              <w:t>n_clusters=4</w:t>
            </w:r>
            <w:r>
              <w:rPr>
                <w:sz w:val="16"/>
              </w:rPr>
              <w:t xml:space="preserve">, </w:t>
            </w:r>
            <w:r>
              <w:rPr>
                <w:rFonts w:ascii="Consolas" w:hAnsi="Consolas" w:eastAsia="Consolas"/>
                <w:color w:val="8A2C1F"/>
                <w:sz w:val="15"/>
              </w:rPr>
              <w:t>n_init=10</w:t>
            </w:r>
            <w:r>
              <w:rPr>
                <w:sz w:val="16"/>
              </w:rPr>
              <w:t xml:space="preserve">, </w:t>
            </w:r>
            <w:r>
              <w:rPr>
                <w:rFonts w:ascii="Consolas" w:hAnsi="Consolas" w:eastAsia="Consolas"/>
                <w:color w:val="8A2C1F"/>
                <w:sz w:val="15"/>
              </w:rPr>
              <w:t>random_state=42</w:t>
            </w:r>
            <w:r>
              <w:rPr>
                <w:sz w:val="16"/>
              </w:rPr>
              <w:t>, fitted on three standardised dimensions</w:t>
            </w:r>
          </w:p>
        </w:tc>
      </w:tr>
    </w:tbl>
    <w:p>
      <w:pPr>
        <w:spacing w:before="60" w:after="200"/>
        <w:jc w:val="center"/>
      </w:pPr>
      <w:r>
        <w:rPr>
          <w:i/>
          <w:color w:val="555F6B"/>
          <w:sz w:val="17"/>
        </w:rPr>
        <w:t>Table 58: Hyper-parameter configuration of every model in the codebase.</w:t>
      </w:r>
    </w:p>
    <w:p>
      <w:r>
        <w:br w:type="page"/>
      </w:r>
    </w:p>
    <w:p>
      <w:pPr>
        <w:spacing w:after="0"/>
      </w:pPr>
    </w:p>
    <w:p>
      <w:pPr>
        <w:keepNext/>
        <w:spacing w:before="80" w:after="40"/>
        <w:pBdr>
          <w:bottom w:val="single" w:sz="10" w:space="3" w:color="1B355E"/>
        </w:pBdr>
      </w:pPr>
      <w:r>
        <w:rPr>
          <w:b/>
          <w:color w:val="1B355E"/>
          <w:sz w:val="30"/>
        </w:rPr>
        <w:t>B.  Appendix B — Complete Artefact Inventory</w:t>
      </w:r>
    </w:p>
    <w:p>
      <w:pPr>
        <w:spacing w:after="40"/>
      </w:pPr>
    </w:p>
    <w:p>
      <w:pPr>
        <w:keepNext/>
        <w:spacing w:before="240" w:after="80"/>
      </w:pPr>
      <w:r>
        <w:rPr>
          <w:b/>
          <w:color w:val="1B355E"/>
          <w:sz w:val="25"/>
        </w:rPr>
        <w:t>B.1  Datasets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384"/>
        <w:gridCol w:w="1368"/>
        <w:gridCol w:w="1512"/>
        <w:gridCol w:w="3052"/>
      </w:tblGrid>
      <w:tr>
        <w:tc>
          <w:tcPr>
            <w:tcW w:type="dxa" w:w="3384"/>
            <w:shd w:val="clear" w:color="auto" w:fill="1B355E"/>
          </w:tcPr>
          <w:p>
            <w:pPr>
              <w:spacing w:after="20" w:before="20"/>
              <w:jc w:val="center"/>
            </w:pPr>
            <w:r>
              <w:rPr>
                <w:b/>
                <w:color w:val="FFFFFF"/>
                <w:sz w:val="16"/>
              </w:rPr>
              <w:t>File</w:t>
            </w:r>
          </w:p>
        </w:tc>
        <w:tc>
          <w:tcPr>
            <w:tcW w:type="dxa" w:w="1368"/>
            <w:shd w:val="clear" w:color="auto" w:fill="1B355E"/>
          </w:tcPr>
          <w:p>
            <w:pPr>
              <w:spacing w:after="20" w:before="20"/>
              <w:jc w:val="center"/>
            </w:pPr>
            <w:r>
              <w:rPr>
                <w:b/>
                <w:color w:val="FFFFFF"/>
                <w:sz w:val="16"/>
              </w:rPr>
              <w:t>Shape</w:t>
            </w:r>
          </w:p>
        </w:tc>
        <w:tc>
          <w:tcPr>
            <w:tcW w:type="dxa" w:w="1512"/>
            <w:shd w:val="clear" w:color="auto" w:fill="1B355E"/>
          </w:tcPr>
          <w:p>
            <w:pPr>
              <w:spacing w:after="20" w:before="20"/>
              <w:jc w:val="center"/>
            </w:pPr>
            <w:r>
              <w:rPr>
                <w:b/>
                <w:color w:val="FFFFFF"/>
                <w:sz w:val="16"/>
              </w:rPr>
              <w:t>Produced by</w:t>
            </w:r>
          </w:p>
        </w:tc>
        <w:tc>
          <w:tcPr>
            <w:tcW w:type="dxa" w:w="3053"/>
            <w:shd w:val="clear" w:color="auto" w:fill="1B355E"/>
          </w:tcPr>
          <w:p>
            <w:pPr>
              <w:spacing w:after="20" w:before="20"/>
              <w:jc w:val="center"/>
            </w:pPr>
            <w:r>
              <w:rPr>
                <w:b/>
                <w:color w:val="FFFFFF"/>
                <w:sz w:val="16"/>
              </w:rPr>
              <w:t>Consumed by</w:t>
            </w:r>
          </w:p>
        </w:tc>
      </w:tr>
      <w:tr>
        <w:tc>
          <w:tcPr>
            <w:tcW w:type="dxa" w:w="3384"/>
          </w:tcPr>
          <w:p>
            <w:pPr>
              <w:spacing w:after="20" w:before="20" w:line="254" w:lineRule="auto"/>
              <w:jc w:val="left"/>
            </w:pPr>
            <w:r>
              <w:rPr>
                <w:rFonts w:ascii="Consolas" w:hAnsi="Consolas" w:eastAsia="Consolas"/>
                <w:color w:val="8A2C1F"/>
                <w:sz w:val="15"/>
              </w:rPr>
              <w:t>Customer-Churn.csv</w:t>
            </w:r>
          </w:p>
        </w:tc>
        <w:tc>
          <w:tcPr>
            <w:tcW w:type="dxa" w:w="1368"/>
          </w:tcPr>
          <w:p>
            <w:pPr>
              <w:spacing w:after="20" w:before="20" w:line="254" w:lineRule="auto"/>
              <w:jc w:val="center"/>
            </w:pPr>
            <w:r>
              <w:rPr>
                <w:sz w:val="16"/>
              </w:rPr>
              <w:t>7 043 × 21</w:t>
            </w:r>
          </w:p>
        </w:tc>
        <w:tc>
          <w:tcPr>
            <w:tcW w:type="dxa" w:w="1512"/>
          </w:tcPr>
          <w:p>
            <w:pPr>
              <w:spacing w:after="20" w:before="20" w:line="254" w:lineRule="auto"/>
              <w:jc w:val="center"/>
            </w:pPr>
            <w:r>
              <w:rPr>
                <w:sz w:val="16"/>
              </w:rPr>
              <w:t>supplied</w:t>
            </w:r>
          </w:p>
        </w:tc>
        <w:tc>
          <w:tcPr>
            <w:tcW w:type="dxa" w:w="3053"/>
          </w:tcPr>
          <w:p>
            <w:pPr>
              <w:spacing w:after="20" w:before="20" w:line="254" w:lineRule="auto"/>
              <w:jc w:val="center"/>
            </w:pPr>
            <w:r>
              <w:rPr>
                <w:sz w:val="16"/>
              </w:rPr>
              <w:t>phases 1, 2</w:t>
            </w:r>
          </w:p>
        </w:tc>
      </w:tr>
      <w:tr>
        <w:tc>
          <w:tcPr>
            <w:tcW w:type="dxa" w:w="3384"/>
            <w:shd w:val="clear" w:color="auto" w:fill="F2F5F9"/>
          </w:tcPr>
          <w:p>
            <w:pPr>
              <w:spacing w:after="20" w:before="20" w:line="254" w:lineRule="auto"/>
              <w:jc w:val="left"/>
            </w:pPr>
            <w:r>
              <w:rPr>
                <w:rFonts w:ascii="Consolas" w:hAnsi="Consolas" w:eastAsia="Consolas"/>
                <w:color w:val="8A2C1F"/>
                <w:sz w:val="15"/>
              </w:rPr>
              <w:t>Customer-Churn-Cleaned.csv</w:t>
            </w:r>
          </w:p>
        </w:tc>
        <w:tc>
          <w:tcPr>
            <w:tcW w:type="dxa" w:w="1368"/>
            <w:shd w:val="clear" w:color="auto" w:fill="F2F5F9"/>
          </w:tcPr>
          <w:p>
            <w:pPr>
              <w:spacing w:after="20" w:before="20" w:line="254" w:lineRule="auto"/>
              <w:jc w:val="center"/>
            </w:pPr>
            <w:r>
              <w:rPr>
                <w:sz w:val="16"/>
              </w:rPr>
              <w:t>7 043 × 21</w:t>
            </w:r>
          </w:p>
        </w:tc>
        <w:tc>
          <w:tcPr>
            <w:tcW w:type="dxa" w:w="1512"/>
            <w:shd w:val="clear" w:color="auto" w:fill="F2F5F9"/>
          </w:tcPr>
          <w:p>
            <w:pPr>
              <w:spacing w:after="20" w:before="20" w:line="254" w:lineRule="auto"/>
              <w:jc w:val="center"/>
            </w:pPr>
            <w:r>
              <w:rPr>
                <w:sz w:val="16"/>
              </w:rPr>
              <w:t>phase 2</w:t>
            </w:r>
          </w:p>
        </w:tc>
        <w:tc>
          <w:tcPr>
            <w:tcW w:type="dxa" w:w="3053"/>
            <w:shd w:val="clear" w:color="auto" w:fill="F2F5F9"/>
          </w:tcPr>
          <w:p>
            <w:pPr>
              <w:spacing w:after="20" w:before="20" w:line="254" w:lineRule="auto"/>
              <w:jc w:val="center"/>
            </w:pPr>
            <w:r>
              <w:rPr>
                <w:sz w:val="16"/>
              </w:rPr>
              <w:t>phases 3, 4, 5, 9</w:t>
            </w:r>
          </w:p>
        </w:tc>
      </w:tr>
      <w:tr>
        <w:tc>
          <w:tcPr>
            <w:tcW w:type="dxa" w:w="3384"/>
          </w:tcPr>
          <w:p>
            <w:pPr>
              <w:spacing w:after="20" w:before="20" w:line="254" w:lineRule="auto"/>
              <w:jc w:val="left"/>
            </w:pPr>
            <w:r>
              <w:rPr>
                <w:rFonts w:ascii="Consolas" w:hAnsi="Consolas" w:eastAsia="Consolas"/>
                <w:b/>
                <w:color w:val="8A2C1F"/>
                <w:sz w:val="15"/>
              </w:rPr>
              <w:t>Customer-Churn-Features-Unscaled.csv</w:t>
            </w:r>
          </w:p>
        </w:tc>
        <w:tc>
          <w:tcPr>
            <w:tcW w:type="dxa" w:w="1368"/>
          </w:tcPr>
          <w:p>
            <w:pPr>
              <w:spacing w:after="20" w:before="20" w:line="254" w:lineRule="auto"/>
              <w:jc w:val="center"/>
            </w:pPr>
            <w:r>
              <w:rPr>
                <w:b/>
                <w:sz w:val="16"/>
              </w:rPr>
              <w:t>7 043 × 8</w:t>
            </w:r>
          </w:p>
        </w:tc>
        <w:tc>
          <w:tcPr>
            <w:tcW w:type="dxa" w:w="1512"/>
          </w:tcPr>
          <w:p>
            <w:pPr>
              <w:spacing w:after="20" w:before="20" w:line="254" w:lineRule="auto"/>
              <w:jc w:val="center"/>
            </w:pPr>
            <w:r>
              <w:rPr>
                <w:b/>
                <w:sz w:val="16"/>
              </w:rPr>
              <w:t>phase 4</w:t>
            </w:r>
          </w:p>
        </w:tc>
        <w:tc>
          <w:tcPr>
            <w:tcW w:type="dxa" w:w="3053"/>
          </w:tcPr>
          <w:p>
            <w:pPr>
              <w:spacing w:after="20" w:before="20" w:line="254" w:lineRule="auto"/>
              <w:jc w:val="center"/>
            </w:pPr>
            <w:r>
              <w:rPr>
                <w:b/>
                <w:sz w:val="16"/>
              </w:rPr>
              <w:t>phase 5 (merged)</w:t>
            </w:r>
          </w:p>
        </w:tc>
      </w:tr>
      <w:tr>
        <w:tc>
          <w:tcPr>
            <w:tcW w:type="dxa" w:w="3384"/>
            <w:shd w:val="clear" w:color="auto" w:fill="F2F5F9"/>
          </w:tcPr>
          <w:p>
            <w:pPr>
              <w:spacing w:after="20" w:before="20" w:line="254" w:lineRule="auto"/>
              <w:jc w:val="left"/>
            </w:pPr>
            <w:r>
              <w:rPr>
                <w:rFonts w:ascii="Consolas" w:hAnsi="Consolas" w:eastAsia="Consolas"/>
                <w:color w:val="8A2C1F"/>
                <w:sz w:val="15"/>
              </w:rPr>
              <w:t>Customer-Churn-Model-Ready.csv</w:t>
            </w:r>
          </w:p>
        </w:tc>
        <w:tc>
          <w:tcPr>
            <w:tcW w:type="dxa" w:w="1368"/>
            <w:shd w:val="clear" w:color="auto" w:fill="F2F5F9"/>
          </w:tcPr>
          <w:p>
            <w:pPr>
              <w:spacing w:after="20" w:before="20" w:line="254" w:lineRule="auto"/>
              <w:jc w:val="center"/>
            </w:pPr>
            <w:r>
              <w:rPr>
                <w:sz w:val="16"/>
              </w:rPr>
              <w:t>7 043 × 36</w:t>
            </w:r>
          </w:p>
        </w:tc>
        <w:tc>
          <w:tcPr>
            <w:tcW w:type="dxa" w:w="1512"/>
            <w:shd w:val="clear" w:color="auto" w:fill="F2F5F9"/>
          </w:tcPr>
          <w:p>
            <w:pPr>
              <w:spacing w:after="20" w:before="20" w:line="254" w:lineRule="auto"/>
              <w:jc w:val="center"/>
            </w:pPr>
            <w:r>
              <w:rPr>
                <w:sz w:val="16"/>
              </w:rPr>
              <w:t>phase 4</w:t>
            </w:r>
          </w:p>
        </w:tc>
        <w:tc>
          <w:tcPr>
            <w:tcW w:type="dxa" w:w="3053"/>
            <w:shd w:val="clear" w:color="auto" w:fill="F2F5F9"/>
          </w:tcPr>
          <w:p>
            <w:pPr>
              <w:spacing w:after="20" w:before="20" w:line="254" w:lineRule="auto"/>
              <w:jc w:val="center"/>
            </w:pPr>
            <w:r>
              <w:rPr>
                <w:sz w:val="16"/>
              </w:rPr>
              <w:t>inspection only</w:t>
            </w:r>
          </w:p>
        </w:tc>
      </w:tr>
      <w:tr>
        <w:tc>
          <w:tcPr>
            <w:tcW w:type="dxa" w:w="3384"/>
          </w:tcPr>
          <w:p>
            <w:pPr>
              <w:spacing w:after="20" w:before="20" w:line="254" w:lineRule="auto"/>
              <w:jc w:val="left"/>
            </w:pPr>
            <w:r>
              <w:rPr>
                <w:rFonts w:ascii="Consolas" w:hAnsi="Consolas" w:eastAsia="Consolas"/>
                <w:color w:val="8A2C1F"/>
                <w:sz w:val="15"/>
              </w:rPr>
              <w:t>Customer-Churn-Segmented.csv</w:t>
            </w:r>
          </w:p>
        </w:tc>
        <w:tc>
          <w:tcPr>
            <w:tcW w:type="dxa" w:w="1368"/>
          </w:tcPr>
          <w:p>
            <w:pPr>
              <w:spacing w:after="20" w:before="20" w:line="254" w:lineRule="auto"/>
              <w:jc w:val="center"/>
            </w:pPr>
            <w:r>
              <w:rPr>
                <w:b/>
                <w:sz w:val="16"/>
              </w:rPr>
              <w:t>7 043 × 31</w:t>
            </w:r>
          </w:p>
        </w:tc>
        <w:tc>
          <w:tcPr>
            <w:tcW w:type="dxa" w:w="1512"/>
          </w:tcPr>
          <w:p>
            <w:pPr>
              <w:spacing w:after="20" w:before="20" w:line="254" w:lineRule="auto"/>
              <w:jc w:val="center"/>
            </w:pPr>
            <w:r>
              <w:rPr>
                <w:sz w:val="16"/>
              </w:rPr>
              <w:t>phase 5</w:t>
            </w:r>
          </w:p>
        </w:tc>
        <w:tc>
          <w:tcPr>
            <w:tcW w:type="dxa" w:w="3053"/>
          </w:tcPr>
          <w:p>
            <w:pPr>
              <w:spacing w:after="20" w:before="20" w:line="254" w:lineRule="auto"/>
              <w:jc w:val="left"/>
            </w:pPr>
            <w:r>
              <w:rPr>
                <w:sz w:val="16"/>
              </w:rPr>
              <w:t>phases 6, 7, 8, dashboard</w:t>
            </w:r>
          </w:p>
        </w:tc>
      </w:tr>
      <w:tr>
        <w:tc>
          <w:tcPr>
            <w:tcW w:type="dxa" w:w="3384"/>
            <w:shd w:val="clear" w:color="auto" w:fill="F2F5F9"/>
          </w:tcPr>
          <w:p>
            <w:pPr>
              <w:spacing w:after="20" w:before="20" w:line="254" w:lineRule="auto"/>
              <w:jc w:val="left"/>
            </w:pPr>
            <w:r>
              <w:rPr>
                <w:rFonts w:ascii="Consolas" w:hAnsi="Consolas" w:eastAsia="Consolas"/>
                <w:color w:val="8A2C1F"/>
                <w:sz w:val="15"/>
              </w:rPr>
              <w:t>phase6_model_performance.csv</w:t>
            </w:r>
          </w:p>
        </w:tc>
        <w:tc>
          <w:tcPr>
            <w:tcW w:type="dxa" w:w="1368"/>
            <w:shd w:val="clear" w:color="auto" w:fill="F2F5F9"/>
          </w:tcPr>
          <w:p>
            <w:pPr>
              <w:spacing w:after="20" w:before="20" w:line="254" w:lineRule="auto"/>
              <w:jc w:val="center"/>
            </w:pPr>
            <w:r>
              <w:rPr>
                <w:sz w:val="16"/>
              </w:rPr>
              <w:t>5 × 6</w:t>
            </w:r>
          </w:p>
        </w:tc>
        <w:tc>
          <w:tcPr>
            <w:tcW w:type="dxa" w:w="1512"/>
            <w:shd w:val="clear" w:color="auto" w:fill="F2F5F9"/>
          </w:tcPr>
          <w:p>
            <w:pPr>
              <w:spacing w:after="20" w:before="20" w:line="254" w:lineRule="auto"/>
              <w:jc w:val="center"/>
            </w:pPr>
            <w:r>
              <w:rPr>
                <w:sz w:val="16"/>
              </w:rPr>
              <w:t>phase 6</w:t>
            </w:r>
          </w:p>
        </w:tc>
        <w:tc>
          <w:tcPr>
            <w:tcW w:type="dxa" w:w="3053"/>
            <w:shd w:val="clear" w:color="auto" w:fill="F2F5F9"/>
          </w:tcPr>
          <w:p>
            <w:pPr>
              <w:spacing w:after="20" w:before="20" w:line="254" w:lineRule="auto"/>
              <w:jc w:val="center"/>
            </w:pPr>
            <w:r>
              <w:rPr>
                <w:sz w:val="16"/>
              </w:rPr>
              <w:t>reporting</w:t>
            </w:r>
          </w:p>
        </w:tc>
      </w:tr>
      <w:tr>
        <w:tc>
          <w:tcPr>
            <w:tcW w:type="dxa" w:w="3384"/>
          </w:tcPr>
          <w:p>
            <w:pPr>
              <w:spacing w:after="20" w:before="20" w:line="254" w:lineRule="auto"/>
              <w:jc w:val="left"/>
            </w:pPr>
            <w:r>
              <w:rPr>
                <w:rFonts w:ascii="Consolas" w:hAnsi="Consolas" w:eastAsia="Consolas"/>
                <w:color w:val="8A2C1F"/>
                <w:sz w:val="15"/>
              </w:rPr>
              <w:t>phase7_model_evaluation_results.csv</w:t>
            </w:r>
          </w:p>
        </w:tc>
        <w:tc>
          <w:tcPr>
            <w:tcW w:type="dxa" w:w="1368"/>
          </w:tcPr>
          <w:p>
            <w:pPr>
              <w:spacing w:after="20" w:before="20" w:line="254" w:lineRule="auto"/>
              <w:jc w:val="center"/>
            </w:pPr>
            <w:r>
              <w:rPr>
                <w:sz w:val="16"/>
              </w:rPr>
              <w:t>4 × 11</w:t>
            </w:r>
          </w:p>
        </w:tc>
        <w:tc>
          <w:tcPr>
            <w:tcW w:type="dxa" w:w="1512"/>
          </w:tcPr>
          <w:p>
            <w:pPr>
              <w:spacing w:after="20" w:before="20" w:line="254" w:lineRule="auto"/>
              <w:jc w:val="center"/>
            </w:pPr>
            <w:r>
              <w:rPr>
                <w:sz w:val="16"/>
              </w:rPr>
              <w:t>phase 7</w:t>
            </w:r>
          </w:p>
        </w:tc>
        <w:tc>
          <w:tcPr>
            <w:tcW w:type="dxa" w:w="3053"/>
          </w:tcPr>
          <w:p>
            <w:pPr>
              <w:spacing w:after="20" w:before="20" w:line="254" w:lineRule="auto"/>
              <w:jc w:val="center"/>
            </w:pPr>
            <w:r>
              <w:rPr>
                <w:b/>
                <w:sz w:val="16"/>
              </w:rPr>
              <w:t>phase 9</w:t>
            </w:r>
            <w:r>
              <w:rPr>
                <w:sz w:val="16"/>
              </w:rPr>
              <w:t>, dashboard</w:t>
            </w:r>
          </w:p>
        </w:tc>
      </w:tr>
      <w:tr>
        <w:tc>
          <w:tcPr>
            <w:tcW w:type="dxa" w:w="3384"/>
            <w:shd w:val="clear" w:color="auto" w:fill="F2F5F9"/>
          </w:tcPr>
          <w:p>
            <w:pPr>
              <w:spacing w:after="20" w:before="20" w:line="254" w:lineRule="auto"/>
              <w:jc w:val="left"/>
            </w:pPr>
            <w:r>
              <w:rPr>
                <w:rFonts w:ascii="Consolas" w:hAnsi="Consolas" w:eastAsia="Consolas"/>
                <w:color w:val="8A2C1F"/>
                <w:sz w:val="15"/>
              </w:rPr>
              <w:t>phase7_threshold_analysis.csv</w:t>
            </w:r>
          </w:p>
        </w:tc>
        <w:tc>
          <w:tcPr>
            <w:tcW w:type="dxa" w:w="1368"/>
            <w:shd w:val="clear" w:color="auto" w:fill="F2F5F9"/>
          </w:tcPr>
          <w:p>
            <w:pPr>
              <w:spacing w:after="20" w:before="20" w:line="254" w:lineRule="auto"/>
              <w:jc w:val="center"/>
            </w:pPr>
            <w:r>
              <w:rPr>
                <w:sz w:val="16"/>
              </w:rPr>
              <w:t>17 × 5</w:t>
            </w:r>
          </w:p>
        </w:tc>
        <w:tc>
          <w:tcPr>
            <w:tcW w:type="dxa" w:w="1512"/>
            <w:shd w:val="clear" w:color="auto" w:fill="F2F5F9"/>
          </w:tcPr>
          <w:p>
            <w:pPr>
              <w:spacing w:after="20" w:before="20" w:line="254" w:lineRule="auto"/>
              <w:jc w:val="center"/>
            </w:pPr>
            <w:r>
              <w:rPr>
                <w:sz w:val="16"/>
              </w:rPr>
              <w:t>phase 7</w:t>
            </w:r>
          </w:p>
        </w:tc>
        <w:tc>
          <w:tcPr>
            <w:tcW w:type="dxa" w:w="3053"/>
            <w:shd w:val="clear" w:color="auto" w:fill="F2F5F9"/>
          </w:tcPr>
          <w:p>
            <w:pPr>
              <w:spacing w:after="20" w:before="20" w:line="254" w:lineRule="auto"/>
              <w:jc w:val="center"/>
            </w:pPr>
            <w:r>
              <w:rPr>
                <w:sz w:val="16"/>
              </w:rPr>
              <w:t>dashboard</w:t>
            </w:r>
          </w:p>
        </w:tc>
      </w:tr>
      <w:tr>
        <w:tc>
          <w:tcPr>
            <w:tcW w:type="dxa" w:w="3384"/>
          </w:tcPr>
          <w:p>
            <w:pPr>
              <w:spacing w:after="20" w:before="20" w:line="254" w:lineRule="auto"/>
              <w:jc w:val="left"/>
            </w:pPr>
            <w:r>
              <w:rPr>
                <w:rFonts w:ascii="Consolas" w:hAnsi="Consolas" w:eastAsia="Consolas"/>
                <w:color w:val="8A2C1F"/>
                <w:sz w:val="15"/>
              </w:rPr>
              <w:t>phase8_customer_churn_risk_predictions.csv</w:t>
            </w:r>
          </w:p>
        </w:tc>
        <w:tc>
          <w:tcPr>
            <w:tcW w:type="dxa" w:w="1368"/>
          </w:tcPr>
          <w:p>
            <w:pPr>
              <w:spacing w:after="20" w:before="20" w:line="254" w:lineRule="auto"/>
              <w:jc w:val="center"/>
            </w:pPr>
            <w:r>
              <w:rPr>
                <w:sz w:val="16"/>
              </w:rPr>
              <w:t>7 043 × 11</w:t>
            </w:r>
          </w:p>
        </w:tc>
        <w:tc>
          <w:tcPr>
            <w:tcW w:type="dxa" w:w="1512"/>
          </w:tcPr>
          <w:p>
            <w:pPr>
              <w:spacing w:after="20" w:before="20" w:line="254" w:lineRule="auto"/>
              <w:jc w:val="center"/>
            </w:pPr>
            <w:r>
              <w:rPr>
                <w:sz w:val="16"/>
              </w:rPr>
              <w:t>phase 8</w:t>
            </w:r>
          </w:p>
        </w:tc>
        <w:tc>
          <w:tcPr>
            <w:tcW w:type="dxa" w:w="3053"/>
          </w:tcPr>
          <w:p>
            <w:pPr>
              <w:spacing w:after="20" w:before="20" w:line="254" w:lineRule="auto"/>
              <w:jc w:val="center"/>
            </w:pPr>
            <w:r>
              <w:rPr>
                <w:sz w:val="16"/>
              </w:rPr>
              <w:t>phase 9, dashboard</w:t>
            </w:r>
          </w:p>
        </w:tc>
      </w:tr>
      <w:tr>
        <w:tc>
          <w:tcPr>
            <w:tcW w:type="dxa" w:w="3384"/>
            <w:shd w:val="clear" w:color="auto" w:fill="F2F5F9"/>
          </w:tcPr>
          <w:p>
            <w:pPr>
              <w:spacing w:after="20" w:before="20" w:line="254" w:lineRule="auto"/>
              <w:jc w:val="left"/>
            </w:pPr>
            <w:r>
              <w:rPr>
                <w:rFonts w:ascii="Consolas" w:hAnsi="Consolas" w:eastAsia="Consolas"/>
                <w:color w:val="8A2C1F"/>
                <w:sz w:val="15"/>
              </w:rPr>
              <w:t>phase8_global_feature_importance.csv</w:t>
            </w:r>
          </w:p>
        </w:tc>
        <w:tc>
          <w:tcPr>
            <w:tcW w:type="dxa" w:w="1368"/>
            <w:shd w:val="clear" w:color="auto" w:fill="F2F5F9"/>
          </w:tcPr>
          <w:p>
            <w:pPr>
              <w:spacing w:after="20" w:before="20" w:line="254" w:lineRule="auto"/>
              <w:jc w:val="center"/>
            </w:pPr>
            <w:r>
              <w:rPr>
                <w:sz w:val="16"/>
              </w:rPr>
              <w:t>27+ × 2</w:t>
            </w:r>
          </w:p>
        </w:tc>
        <w:tc>
          <w:tcPr>
            <w:tcW w:type="dxa" w:w="1512"/>
            <w:shd w:val="clear" w:color="auto" w:fill="F2F5F9"/>
          </w:tcPr>
          <w:p>
            <w:pPr>
              <w:spacing w:after="20" w:before="20" w:line="254" w:lineRule="auto"/>
              <w:jc w:val="center"/>
            </w:pPr>
            <w:r>
              <w:rPr>
                <w:sz w:val="16"/>
              </w:rPr>
              <w:t>phase 8</w:t>
            </w:r>
          </w:p>
        </w:tc>
        <w:tc>
          <w:tcPr>
            <w:tcW w:type="dxa" w:w="3053"/>
            <w:shd w:val="clear" w:color="auto" w:fill="F2F5F9"/>
          </w:tcPr>
          <w:p>
            <w:pPr>
              <w:spacing w:after="20" w:before="20" w:line="254" w:lineRule="auto"/>
              <w:jc w:val="center"/>
            </w:pPr>
            <w:r>
              <w:rPr>
                <w:sz w:val="16"/>
              </w:rPr>
              <w:t>dashboard</w:t>
            </w:r>
          </w:p>
        </w:tc>
      </w:tr>
      <w:tr>
        <w:tc>
          <w:tcPr>
            <w:tcW w:type="dxa" w:w="3384"/>
          </w:tcPr>
          <w:p>
            <w:pPr>
              <w:spacing w:after="20" w:before="20" w:line="254" w:lineRule="auto"/>
              <w:jc w:val="left"/>
            </w:pPr>
            <w:r>
              <w:rPr>
                <w:rFonts w:ascii="Consolas" w:hAnsi="Consolas" w:eastAsia="Consolas"/>
                <w:color w:val="8A2C1F"/>
                <w:sz w:val="15"/>
              </w:rPr>
              <w:t>phase8_high_risk_customer_reason_codes.csv</w:t>
            </w:r>
          </w:p>
        </w:tc>
        <w:tc>
          <w:tcPr>
            <w:tcW w:type="dxa" w:w="1368"/>
          </w:tcPr>
          <w:p>
            <w:pPr>
              <w:spacing w:after="20" w:before="20" w:line="254" w:lineRule="auto"/>
              <w:jc w:val="center"/>
            </w:pPr>
            <w:r>
              <w:rPr>
                <w:sz w:val="16"/>
              </w:rPr>
              <w:t>5 × 6</w:t>
            </w:r>
          </w:p>
        </w:tc>
        <w:tc>
          <w:tcPr>
            <w:tcW w:type="dxa" w:w="1512"/>
          </w:tcPr>
          <w:p>
            <w:pPr>
              <w:spacing w:after="20" w:before="20" w:line="254" w:lineRule="auto"/>
              <w:jc w:val="center"/>
            </w:pPr>
            <w:r>
              <w:rPr>
                <w:sz w:val="16"/>
              </w:rPr>
              <w:t>phase 8</w:t>
            </w:r>
          </w:p>
        </w:tc>
        <w:tc>
          <w:tcPr>
            <w:tcW w:type="dxa" w:w="3053"/>
          </w:tcPr>
          <w:p>
            <w:pPr>
              <w:spacing w:after="20" w:before="20" w:line="254" w:lineRule="auto"/>
              <w:jc w:val="center"/>
            </w:pPr>
            <w:r>
              <w:rPr>
                <w:sz w:val="16"/>
              </w:rPr>
              <w:t>dashboard</w:t>
            </w:r>
          </w:p>
        </w:tc>
      </w:tr>
      <w:tr>
        <w:tc>
          <w:tcPr>
            <w:tcW w:type="dxa" w:w="3384"/>
            <w:shd w:val="clear" w:color="auto" w:fill="F2F5F9"/>
          </w:tcPr>
          <w:p>
            <w:pPr>
              <w:spacing w:after="20" w:before="20" w:line="254" w:lineRule="auto"/>
              <w:jc w:val="left"/>
            </w:pPr>
            <w:r>
              <w:rPr>
                <w:rFonts w:ascii="Consolas" w:hAnsi="Consolas" w:eastAsia="Consolas"/>
                <w:b/>
                <w:color w:val="8A2C1F"/>
                <w:sz w:val="15"/>
              </w:rPr>
              <w:t>phase8_customer_risk_drivers.csv</w:t>
            </w:r>
          </w:p>
        </w:tc>
        <w:tc>
          <w:tcPr>
            <w:tcW w:type="dxa" w:w="1368"/>
            <w:shd w:val="clear" w:color="auto" w:fill="F2F5F9"/>
          </w:tcPr>
          <w:p>
            <w:pPr>
              <w:spacing w:after="20" w:before="20" w:line="254" w:lineRule="auto"/>
              <w:jc w:val="center"/>
            </w:pPr>
            <w:r>
              <w:rPr>
                <w:b/>
                <w:sz w:val="16"/>
              </w:rPr>
              <w:t>7 043 × 10</w:t>
            </w:r>
          </w:p>
        </w:tc>
        <w:tc>
          <w:tcPr>
            <w:tcW w:type="dxa" w:w="1512"/>
            <w:shd w:val="clear" w:color="auto" w:fill="F2F5F9"/>
          </w:tcPr>
          <w:p>
            <w:pPr>
              <w:spacing w:after="20" w:before="20" w:line="254" w:lineRule="auto"/>
              <w:jc w:val="center"/>
            </w:pPr>
            <w:r>
              <w:rPr>
                <w:b/>
                <w:sz w:val="16"/>
              </w:rPr>
              <w:t>phase 8</w:t>
            </w:r>
          </w:p>
        </w:tc>
        <w:tc>
          <w:tcPr>
            <w:tcW w:type="dxa" w:w="3053"/>
            <w:shd w:val="clear" w:color="auto" w:fill="F2F5F9"/>
          </w:tcPr>
          <w:p>
            <w:pPr>
              <w:spacing w:after="20" w:before="20" w:line="254" w:lineRule="auto"/>
              <w:jc w:val="center"/>
            </w:pPr>
            <w:r>
              <w:rPr>
                <w:b/>
                <w:sz w:val="16"/>
              </w:rPr>
              <w:t>phase 9</w:t>
            </w:r>
          </w:p>
        </w:tc>
      </w:tr>
      <w:tr>
        <w:tc>
          <w:tcPr>
            <w:tcW w:type="dxa" w:w="3384"/>
          </w:tcPr>
          <w:p>
            <w:pPr>
              <w:spacing w:after="20" w:before="20" w:line="254" w:lineRule="auto"/>
              <w:jc w:val="left"/>
            </w:pPr>
            <w:r>
              <w:rPr>
                <w:rFonts w:ascii="Consolas" w:hAnsi="Consolas" w:eastAsia="Consolas"/>
                <w:color w:val="8A2C1F"/>
                <w:sz w:val="15"/>
              </w:rPr>
              <w:t>phase9_high_risk_retention_targets.csv</w:t>
            </w:r>
          </w:p>
        </w:tc>
        <w:tc>
          <w:tcPr>
            <w:tcW w:type="dxa" w:w="1368"/>
          </w:tcPr>
          <w:p>
            <w:pPr>
              <w:spacing w:after="20" w:before="20" w:line="254" w:lineRule="auto"/>
              <w:jc w:val="center"/>
            </w:pPr>
            <w:r>
              <w:rPr>
                <w:sz w:val="16"/>
              </w:rPr>
              <w:t>724 × 21</w:t>
            </w:r>
          </w:p>
        </w:tc>
        <w:tc>
          <w:tcPr>
            <w:tcW w:type="dxa" w:w="1512"/>
          </w:tcPr>
          <w:p>
            <w:pPr>
              <w:spacing w:after="20" w:before="20" w:line="254" w:lineRule="auto"/>
              <w:jc w:val="center"/>
            </w:pPr>
            <w:r>
              <w:rPr>
                <w:sz w:val="16"/>
              </w:rPr>
              <w:t>phase 9</w:t>
            </w:r>
          </w:p>
        </w:tc>
        <w:tc>
          <w:tcPr>
            <w:tcW w:type="dxa" w:w="3053"/>
          </w:tcPr>
          <w:p>
            <w:pPr>
              <w:spacing w:after="20" w:before="20" w:line="254" w:lineRule="auto"/>
              <w:jc w:val="center"/>
            </w:pPr>
            <w:r>
              <w:rPr>
                <w:sz w:val="16"/>
              </w:rPr>
              <w:t>dashboard</w:t>
            </w:r>
          </w:p>
        </w:tc>
      </w:tr>
      <w:tr>
        <w:tc>
          <w:tcPr>
            <w:tcW w:type="dxa" w:w="3384"/>
            <w:shd w:val="clear" w:color="auto" w:fill="F2F5F9"/>
          </w:tcPr>
          <w:p>
            <w:pPr>
              <w:spacing w:after="20" w:before="20" w:line="254" w:lineRule="auto"/>
              <w:jc w:val="left"/>
            </w:pPr>
            <w:r>
              <w:rPr>
                <w:rFonts w:ascii="Consolas" w:hAnsi="Consolas" w:eastAsia="Consolas"/>
                <w:color w:val="8A2C1F"/>
                <w:sz w:val="15"/>
              </w:rPr>
              <w:t>phase9_financial_impact_summary.csv</w:t>
            </w:r>
          </w:p>
        </w:tc>
        <w:tc>
          <w:tcPr>
            <w:tcW w:type="dxa" w:w="1368"/>
            <w:shd w:val="clear" w:color="auto" w:fill="F2F5F9"/>
          </w:tcPr>
          <w:p>
            <w:pPr>
              <w:spacing w:after="20" w:before="20" w:line="254" w:lineRule="auto"/>
              <w:jc w:val="center"/>
            </w:pPr>
            <w:r>
              <w:rPr>
                <w:sz w:val="16"/>
              </w:rPr>
              <w:t>13 × 2</w:t>
            </w:r>
          </w:p>
        </w:tc>
        <w:tc>
          <w:tcPr>
            <w:tcW w:type="dxa" w:w="1512"/>
            <w:shd w:val="clear" w:color="auto" w:fill="F2F5F9"/>
          </w:tcPr>
          <w:p>
            <w:pPr>
              <w:spacing w:after="20" w:before="20" w:line="254" w:lineRule="auto"/>
              <w:jc w:val="center"/>
            </w:pPr>
            <w:r>
              <w:rPr>
                <w:sz w:val="16"/>
              </w:rPr>
              <w:t>phase 9</w:t>
            </w:r>
          </w:p>
        </w:tc>
        <w:tc>
          <w:tcPr>
            <w:tcW w:type="dxa" w:w="3053"/>
            <w:shd w:val="clear" w:color="auto" w:fill="F2F5F9"/>
          </w:tcPr>
          <w:p>
            <w:pPr>
              <w:spacing w:after="20" w:before="20" w:line="254" w:lineRule="auto"/>
              <w:jc w:val="center"/>
            </w:pPr>
            <w:r>
              <w:rPr>
                <w:sz w:val="16"/>
              </w:rPr>
              <w:t>dashboard</w:t>
            </w:r>
          </w:p>
        </w:tc>
      </w:tr>
      <w:tr>
        <w:tc>
          <w:tcPr>
            <w:tcW w:type="dxa" w:w="3384"/>
          </w:tcPr>
          <w:p>
            <w:pPr>
              <w:spacing w:after="20" w:before="20" w:line="254" w:lineRule="auto"/>
              <w:jc w:val="left"/>
            </w:pPr>
            <w:r>
              <w:rPr>
                <w:rFonts w:ascii="Consolas" w:hAnsi="Consolas" w:eastAsia="Consolas"/>
                <w:color w:val="8A2C1F"/>
                <w:sz w:val="15"/>
              </w:rPr>
              <w:t>phase9_recommendation_mapping.csv</w:t>
            </w:r>
          </w:p>
        </w:tc>
        <w:tc>
          <w:tcPr>
            <w:tcW w:type="dxa" w:w="1368"/>
          </w:tcPr>
          <w:p>
            <w:pPr>
              <w:spacing w:after="20" w:before="20" w:line="254" w:lineRule="auto"/>
              <w:jc w:val="center"/>
            </w:pPr>
            <w:r>
              <w:rPr>
                <w:sz w:val="16"/>
              </w:rPr>
              <w:t>5 × 5</w:t>
            </w:r>
          </w:p>
        </w:tc>
        <w:tc>
          <w:tcPr>
            <w:tcW w:type="dxa" w:w="1512"/>
          </w:tcPr>
          <w:p>
            <w:pPr>
              <w:spacing w:after="20" w:before="20" w:line="254" w:lineRule="auto"/>
              <w:jc w:val="center"/>
            </w:pPr>
            <w:r>
              <w:rPr>
                <w:sz w:val="16"/>
              </w:rPr>
              <w:t>phase 9</w:t>
            </w:r>
          </w:p>
        </w:tc>
        <w:tc>
          <w:tcPr>
            <w:tcW w:type="dxa" w:w="3053"/>
          </w:tcPr>
          <w:p>
            <w:pPr>
              <w:spacing w:after="20" w:before="20" w:line="254" w:lineRule="auto"/>
              <w:jc w:val="center"/>
            </w:pPr>
            <w:r>
              <w:rPr>
                <w:sz w:val="16"/>
              </w:rPr>
              <w:t>dashboard</w:t>
            </w:r>
          </w:p>
        </w:tc>
      </w:tr>
    </w:tbl>
    <w:p>
      <w:pPr>
        <w:spacing w:before="60" w:after="200"/>
        <w:jc w:val="center"/>
      </w:pPr>
      <w:r>
        <w:rPr>
          <w:i/>
          <w:color w:val="555F6B"/>
          <w:sz w:val="17"/>
        </w:rPr>
        <w:t>Table 59: Datasets produced by the pipeline. Bold entries were added during remediation.</w:t>
      </w:r>
    </w:p>
    <w:p>
      <w:pPr>
        <w:keepNext/>
        <w:spacing w:before="240" w:after="80"/>
      </w:pPr>
      <w:r>
        <w:rPr>
          <w:b/>
          <w:color w:val="1B355E"/>
          <w:sz w:val="25"/>
        </w:rPr>
        <w:t>B.2  Serialised models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808"/>
        <w:gridCol w:w="3384"/>
        <w:gridCol w:w="1324"/>
        <w:gridCol w:w="1800"/>
      </w:tblGrid>
      <w:tr>
        <w:tc>
          <w:tcPr>
            <w:tcW w:type="dxa" w:w="2808"/>
            <w:shd w:val="clear" w:color="auto" w:fill="1B355E"/>
          </w:tcPr>
          <w:p>
            <w:pPr>
              <w:spacing w:after="20" w:before="20"/>
              <w:jc w:val="center"/>
            </w:pPr>
            <w:r>
              <w:rPr>
                <w:b/>
                <w:color w:val="FFFFFF"/>
                <w:sz w:val="16"/>
              </w:rPr>
              <w:t>File</w:t>
            </w:r>
          </w:p>
        </w:tc>
        <w:tc>
          <w:tcPr>
            <w:tcW w:type="dxa" w:w="3384"/>
            <w:shd w:val="clear" w:color="auto" w:fill="1B355E"/>
          </w:tcPr>
          <w:p>
            <w:pPr>
              <w:spacing w:after="20" w:before="20"/>
              <w:jc w:val="center"/>
            </w:pPr>
            <w:r>
              <w:rPr>
                <w:b/>
                <w:color w:val="FFFFFF"/>
                <w:sz w:val="16"/>
              </w:rPr>
              <w:t>Contents</w:t>
            </w:r>
          </w:p>
        </w:tc>
        <w:tc>
          <w:tcPr>
            <w:tcW w:type="dxa" w:w="1325"/>
            <w:shd w:val="clear" w:color="auto" w:fill="1B355E"/>
          </w:tcPr>
          <w:p>
            <w:pPr>
              <w:spacing w:after="20" w:before="20"/>
              <w:jc w:val="center"/>
            </w:pPr>
            <w:r>
              <w:rPr>
                <w:b/>
                <w:color w:val="FFFFFF"/>
                <w:sz w:val="16"/>
              </w:rPr>
              <w:t>Written by</w:t>
            </w:r>
          </w:p>
        </w:tc>
        <w:tc>
          <w:tcPr>
            <w:tcW w:type="dxa" w:w="1800"/>
            <w:shd w:val="clear" w:color="auto" w:fill="1B355E"/>
          </w:tcPr>
          <w:p>
            <w:pPr>
              <w:spacing w:after="20" w:before="20"/>
              <w:jc w:val="center"/>
            </w:pPr>
            <w:r>
              <w:rPr>
                <w:b/>
                <w:color w:val="FFFFFF"/>
                <w:sz w:val="16"/>
              </w:rPr>
              <w:t>Used by</w:t>
            </w:r>
          </w:p>
        </w:tc>
      </w:tr>
      <w:tr>
        <w:tc>
          <w:tcPr>
            <w:tcW w:type="dxa" w:w="2808"/>
          </w:tcPr>
          <w:p>
            <w:pPr>
              <w:spacing w:after="20" w:before="20" w:line="254" w:lineRule="auto"/>
              <w:jc w:val="left"/>
            </w:pPr>
            <w:r>
              <w:rPr>
                <w:rFonts w:ascii="Consolas" w:hAnsi="Consolas" w:eastAsia="Consolas"/>
                <w:color w:val="8A2C1F"/>
                <w:sz w:val="15"/>
              </w:rPr>
              <w:t>best_churn_model.joblib</w:t>
            </w:r>
          </w:p>
        </w:tc>
        <w:tc>
          <w:tcPr>
            <w:tcW w:type="dxa" w:w="3384"/>
          </w:tcPr>
          <w:p>
            <w:pPr>
              <w:spacing w:after="20" w:before="20" w:line="254" w:lineRule="auto"/>
              <w:jc w:val="center"/>
            </w:pPr>
            <w:r>
              <w:rPr>
                <w:sz w:val="16"/>
              </w:rPr>
              <w:t xml:space="preserve">fitted </w:t>
            </w:r>
            <w:r>
              <w:rPr>
                <w:rFonts w:ascii="Consolas" w:hAnsi="Consolas" w:eastAsia="Consolas"/>
                <w:color w:val="8A2C1F"/>
                <w:sz w:val="15"/>
              </w:rPr>
              <w:t>Pipeline</w:t>
            </w:r>
            <w:r>
              <w:rPr>
                <w:sz w:val="16"/>
              </w:rPr>
              <w:t xml:space="preserve">: </w:t>
            </w:r>
            <w:r>
              <w:rPr>
                <w:rFonts w:ascii="Consolas" w:hAnsi="Consolas" w:eastAsia="Consolas"/>
                <w:color w:val="8A2C1F"/>
                <w:sz w:val="15"/>
              </w:rPr>
              <w:t>ColumnTransformer</w:t>
            </w:r>
            <w:r>
              <w:rPr>
                <w:sz w:val="16"/>
              </w:rPr>
              <w:t xml:space="preserve"> + tuned </w:t>
            </w:r>
            <w:r>
              <w:rPr>
                <w:rFonts w:ascii="Consolas" w:hAnsi="Consolas" w:eastAsia="Consolas"/>
                <w:color w:val="8A2C1F"/>
                <w:sz w:val="15"/>
              </w:rPr>
              <w:t>XGBClassifier</w:t>
            </w:r>
          </w:p>
        </w:tc>
        <w:tc>
          <w:tcPr>
            <w:tcW w:type="dxa" w:w="1325"/>
          </w:tcPr>
          <w:p>
            <w:pPr>
              <w:spacing w:after="20" w:before="20" w:line="254" w:lineRule="auto"/>
              <w:jc w:val="center"/>
            </w:pPr>
            <w:r>
              <w:rPr>
                <w:sz w:val="16"/>
              </w:rPr>
              <w:t>phase 6</w:t>
            </w:r>
          </w:p>
        </w:tc>
        <w:tc>
          <w:tcPr>
            <w:tcW w:type="dxa" w:w="1800"/>
          </w:tcPr>
          <w:p>
            <w:pPr>
              <w:spacing w:after="20" w:before="20" w:line="254" w:lineRule="auto"/>
              <w:jc w:val="center"/>
            </w:pPr>
            <w:r>
              <w:rPr>
                <w:sz w:val="16"/>
              </w:rPr>
              <w:t>dashboard</w:t>
            </w:r>
          </w:p>
        </w:tc>
      </w:tr>
      <w:tr>
        <w:tc>
          <w:tcPr>
            <w:tcW w:type="dxa" w:w="2808"/>
            <w:shd w:val="clear" w:color="auto" w:fill="F2F5F9"/>
          </w:tcPr>
          <w:p>
            <w:pPr>
              <w:spacing w:after="20" w:before="20" w:line="254" w:lineRule="auto"/>
              <w:jc w:val="left"/>
            </w:pPr>
            <w:r>
              <w:rPr>
                <w:rFonts w:ascii="Consolas" w:hAnsi="Consolas" w:eastAsia="Consolas"/>
                <w:color w:val="8A2C1F"/>
                <w:sz w:val="15"/>
              </w:rPr>
              <w:t>calibrated_churn_probability_model.joblib</w:t>
            </w:r>
          </w:p>
        </w:tc>
        <w:tc>
          <w:tcPr>
            <w:tcW w:type="dxa" w:w="3384"/>
            <w:shd w:val="clear" w:color="auto" w:fill="F2F5F9"/>
          </w:tcPr>
          <w:p>
            <w:pPr>
              <w:spacing w:after="20" w:before="20" w:line="254" w:lineRule="auto"/>
              <w:jc w:val="left"/>
            </w:pPr>
            <w:r>
              <w:rPr>
                <w:rFonts w:ascii="Consolas" w:hAnsi="Consolas" w:eastAsia="Consolas"/>
                <w:color w:val="8A2C1F"/>
                <w:sz w:val="15"/>
              </w:rPr>
              <w:t>CalibratedClassifierCV</w:t>
            </w:r>
            <w:r>
              <w:rPr>
                <w:sz w:val="16"/>
              </w:rPr>
              <w:t xml:space="preserve"> wrapping the full pipeline</w:t>
            </w:r>
          </w:p>
        </w:tc>
        <w:tc>
          <w:tcPr>
            <w:tcW w:type="dxa" w:w="1325"/>
            <w:shd w:val="clear" w:color="auto" w:fill="F2F5F9"/>
          </w:tcPr>
          <w:p>
            <w:pPr>
              <w:spacing w:after="20" w:before="20" w:line="254" w:lineRule="auto"/>
              <w:jc w:val="center"/>
            </w:pPr>
            <w:r>
              <w:rPr>
                <w:sz w:val="16"/>
              </w:rPr>
              <w:t>phase 8</w:t>
            </w:r>
          </w:p>
        </w:tc>
        <w:tc>
          <w:tcPr>
            <w:tcW w:type="dxa" w:w="1800"/>
            <w:shd w:val="clear" w:color="auto" w:fill="F2F5F9"/>
          </w:tcPr>
          <w:p>
            <w:pPr>
              <w:spacing w:after="20" w:before="20" w:line="254" w:lineRule="auto"/>
              <w:jc w:val="center"/>
            </w:pPr>
            <w:r>
              <w:rPr>
                <w:sz w:val="16"/>
              </w:rPr>
              <w:t>dashboard scoring</w:t>
            </w:r>
          </w:p>
        </w:tc>
      </w:tr>
      <w:tr>
        <w:tc>
          <w:tcPr>
            <w:tcW w:type="dxa" w:w="2808"/>
          </w:tcPr>
          <w:p>
            <w:pPr>
              <w:spacing w:after="20" w:before="20" w:line="254" w:lineRule="auto"/>
              <w:jc w:val="left"/>
            </w:pPr>
            <w:r>
              <w:rPr>
                <w:rFonts w:ascii="Consolas" w:hAnsi="Consolas" w:eastAsia="Consolas"/>
                <w:b/>
                <w:color w:val="8A2C1F"/>
                <w:sz w:val="15"/>
              </w:rPr>
              <w:t>feature_engineering_artifacts.joblib</w:t>
            </w:r>
          </w:p>
        </w:tc>
        <w:tc>
          <w:tcPr>
            <w:tcW w:type="dxa" w:w="3384"/>
          </w:tcPr>
          <w:p>
            <w:pPr>
              <w:spacing w:after="20" w:before="20" w:line="254" w:lineRule="auto"/>
              <w:jc w:val="center"/>
            </w:pPr>
            <w:r>
              <w:rPr>
                <w:b/>
                <w:sz w:val="16"/>
              </w:rPr>
              <w:t>ARPU quartile edges fitted on the training data</w:t>
            </w:r>
          </w:p>
        </w:tc>
        <w:tc>
          <w:tcPr>
            <w:tcW w:type="dxa" w:w="1325"/>
          </w:tcPr>
          <w:p>
            <w:pPr>
              <w:spacing w:after="20" w:before="20" w:line="254" w:lineRule="auto"/>
              <w:jc w:val="center"/>
            </w:pPr>
            <w:r>
              <w:rPr>
                <w:b/>
                <w:sz w:val="16"/>
              </w:rPr>
              <w:t>phase 4</w:t>
            </w:r>
          </w:p>
        </w:tc>
        <w:tc>
          <w:tcPr>
            <w:tcW w:type="dxa" w:w="1800"/>
          </w:tcPr>
          <w:p>
            <w:pPr>
              <w:spacing w:after="20" w:before="20" w:line="254" w:lineRule="auto"/>
              <w:jc w:val="center"/>
            </w:pPr>
            <w:r>
              <w:rPr>
                <w:b/>
                <w:sz w:val="16"/>
              </w:rPr>
              <w:t>dashboard</w:t>
            </w:r>
          </w:p>
        </w:tc>
      </w:tr>
      <w:tr>
        <w:tc>
          <w:tcPr>
            <w:tcW w:type="dxa" w:w="2808"/>
            <w:shd w:val="clear" w:color="auto" w:fill="F2F5F9"/>
          </w:tcPr>
          <w:p>
            <w:pPr>
              <w:spacing w:after="20" w:before="20" w:line="254" w:lineRule="auto"/>
              <w:jc w:val="left"/>
            </w:pPr>
            <w:r>
              <w:rPr>
                <w:rFonts w:ascii="Consolas" w:hAnsi="Consolas" w:eastAsia="Consolas"/>
                <w:b/>
                <w:color w:val="8A2C1F"/>
                <w:sz w:val="15"/>
              </w:rPr>
              <w:t>customer_segmentation_model.joblib</w:t>
            </w:r>
          </w:p>
        </w:tc>
        <w:tc>
          <w:tcPr>
            <w:tcW w:type="dxa" w:w="3384"/>
            <w:shd w:val="clear" w:color="auto" w:fill="F2F5F9"/>
          </w:tcPr>
          <w:p>
            <w:pPr>
              <w:spacing w:after="20" w:before="20" w:line="254" w:lineRule="auto"/>
              <w:jc w:val="center"/>
            </w:pPr>
            <w:r>
              <w:rPr>
                <w:b/>
                <w:sz w:val="16"/>
              </w:rPr>
              <w:t xml:space="preserve">fitted </w:t>
            </w:r>
            <w:r>
              <w:rPr>
                <w:rFonts w:ascii="Consolas" w:hAnsi="Consolas" w:eastAsia="Consolas"/>
                <w:b/>
                <w:color w:val="8A2C1F"/>
                <w:sz w:val="15"/>
              </w:rPr>
              <w:t>StandardScaler</w:t>
            </w:r>
            <w:r>
              <w:rPr>
                <w:b/>
                <w:sz w:val="16"/>
              </w:rPr>
              <w:t xml:space="preserve">, </w:t>
            </w:r>
            <w:r>
              <w:rPr>
                <w:rFonts w:ascii="Consolas" w:hAnsi="Consolas" w:eastAsia="Consolas"/>
                <w:b/>
                <w:color w:val="8A2C1F"/>
                <w:sz w:val="15"/>
              </w:rPr>
              <w:t>KMeans</w:t>
            </w:r>
            <w:r>
              <w:rPr>
                <w:b/>
                <w:sz w:val="16"/>
              </w:rPr>
              <w:t xml:space="preserve"> and the segment name map</w:t>
            </w:r>
          </w:p>
        </w:tc>
        <w:tc>
          <w:tcPr>
            <w:tcW w:type="dxa" w:w="1325"/>
            <w:shd w:val="clear" w:color="auto" w:fill="F2F5F9"/>
          </w:tcPr>
          <w:p>
            <w:pPr>
              <w:spacing w:after="20" w:before="20" w:line="254" w:lineRule="auto"/>
              <w:jc w:val="center"/>
            </w:pPr>
            <w:r>
              <w:rPr>
                <w:b/>
                <w:sz w:val="16"/>
              </w:rPr>
              <w:t>phase 5</w:t>
            </w:r>
          </w:p>
        </w:tc>
        <w:tc>
          <w:tcPr>
            <w:tcW w:type="dxa" w:w="1800"/>
            <w:shd w:val="clear" w:color="auto" w:fill="F2F5F9"/>
          </w:tcPr>
          <w:p>
            <w:pPr>
              <w:spacing w:after="20" w:before="20" w:line="254" w:lineRule="auto"/>
              <w:jc w:val="center"/>
            </w:pPr>
            <w:r>
              <w:rPr>
                <w:b/>
                <w:sz w:val="16"/>
              </w:rPr>
              <w:t>dashboard</w:t>
            </w:r>
          </w:p>
        </w:tc>
      </w:tr>
      <w:tr>
        <w:tc>
          <w:tcPr>
            <w:tcW w:type="dxa" w:w="2808"/>
          </w:tcPr>
          <w:p>
            <w:pPr>
              <w:spacing w:after="20" w:before="20" w:line="254" w:lineRule="auto"/>
              <w:jc w:val="left"/>
            </w:pPr>
            <w:r>
              <w:rPr>
                <w:rFonts w:ascii="Consolas" w:hAnsi="Consolas" w:eastAsia="Consolas"/>
                <w:color w:val="8A2C1F"/>
                <w:sz w:val="15"/>
              </w:rPr>
              <w:t>enhanced_churn_model.joblib</w:t>
            </w:r>
          </w:p>
        </w:tc>
        <w:tc>
          <w:tcPr>
            <w:tcW w:type="dxa" w:w="3384"/>
          </w:tcPr>
          <w:p>
            <w:pPr>
              <w:spacing w:after="20" w:before="20" w:line="254" w:lineRule="auto"/>
              <w:jc w:val="left"/>
            </w:pPr>
            <w:r>
              <w:rPr>
                <w:sz w:val="16"/>
              </w:rPr>
              <w:t>unknown — no script in the folder writes this file</w:t>
            </w:r>
          </w:p>
        </w:tc>
        <w:tc>
          <w:tcPr>
            <w:tcW w:type="dxa" w:w="1325"/>
          </w:tcPr>
          <w:p>
            <w:pPr>
              <w:spacing w:after="20" w:before="20" w:line="254" w:lineRule="auto"/>
              <w:jc w:val="center"/>
            </w:pPr>
            <w:r>
              <w:rPr>
                <w:sz w:val="16"/>
              </w:rPr>
              <w:t>unknown</w:t>
            </w:r>
          </w:p>
        </w:tc>
        <w:tc>
          <w:tcPr>
            <w:tcW w:type="dxa" w:w="1800"/>
          </w:tcPr>
          <w:p>
            <w:pPr>
              <w:spacing w:after="20" w:before="20" w:line="254" w:lineRule="auto"/>
              <w:jc w:val="center"/>
            </w:pPr>
            <w:r>
              <w:rPr>
                <w:sz w:val="16"/>
              </w:rPr>
              <w:t>nothing</w:t>
            </w:r>
          </w:p>
        </w:tc>
      </w:tr>
    </w:tbl>
    <w:p>
      <w:pPr>
        <w:spacing w:before="60" w:after="200"/>
        <w:jc w:val="center"/>
      </w:pPr>
      <w:r>
        <w:rPr>
          <w:i/>
          <w:color w:val="555F6B"/>
          <w:sz w:val="17"/>
        </w:rPr>
        <w:t>Table 60: Serialised artefacts. Bold entries were added during remediation.</w:t>
      </w:r>
    </w:p>
    <w:p>
      <w:pPr>
        <w:spacing w:after="120" w:before="0"/>
        <w:jc w:val="both"/>
      </w:pPr>
      <w:r>
        <w:rPr>
          <w:b w:val="0"/>
          <w:i w:val="0"/>
          <w:sz w:val="21"/>
        </w:rPr>
        <w:t xml:space="preserve">The last row deserves a note. </w:t>
      </w:r>
      <w:r>
        <w:rPr>
          <w:rFonts w:ascii="Consolas" w:hAnsi="Consolas" w:eastAsia="Consolas"/>
          <w:b w:val="0"/>
          <w:i w:val="0"/>
          <w:color w:val="8A2C1F"/>
          <w:sz w:val="19"/>
        </w:rPr>
        <w:t>enhanced_churn_model.joblib</w:t>
      </w:r>
      <w:r>
        <w:rPr>
          <w:b w:val="0"/>
          <w:i w:val="0"/>
          <w:sz w:val="21"/>
        </w:rPr>
        <w:t xml:space="preserve"> was present in the delivered project, but no script in the folder produces a file of that name and nothing reads it. Its provenance, training data and performance are unknown. It was left in place because removing files is outside the remediation scope, but an unexplained model artefact in a deliverable folder is a reproducibility hazard: a future reader has no way to tell which of the saved models is authoritative. It should either be regenerated by a documented script or deleted.</w:t>
      </w:r>
    </w:p>
    <w:p>
      <w:pPr>
        <w:keepNext/>
        <w:spacing w:before="240" w:after="80"/>
      </w:pPr>
      <w:r>
        <w:rPr>
          <w:b/>
          <w:color w:val="1B355E"/>
          <w:sz w:val="25"/>
        </w:rPr>
        <w:t>B.3  Generated charts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224"/>
        <w:gridCol w:w="7056"/>
        <w:gridCol w:w="1036"/>
      </w:tblGrid>
      <w:tr>
        <w:tc>
          <w:tcPr>
            <w:tcW w:type="dxa" w:w="1224"/>
            <w:shd w:val="clear" w:color="auto" w:fill="1B355E"/>
          </w:tcPr>
          <w:p>
            <w:pPr>
              <w:spacing w:after="20" w:before="20"/>
              <w:jc w:val="center"/>
            </w:pPr>
            <w:r>
              <w:rPr>
                <w:b/>
                <w:color w:val="FFFFFF"/>
                <w:sz w:val="16"/>
              </w:rPr>
              <w:t>Phase</w:t>
            </w:r>
          </w:p>
        </w:tc>
        <w:tc>
          <w:tcPr>
            <w:tcW w:type="dxa" w:w="7056"/>
            <w:shd w:val="clear" w:color="auto" w:fill="1B355E"/>
          </w:tcPr>
          <w:p>
            <w:pPr>
              <w:spacing w:after="20" w:before="20"/>
              <w:jc w:val="center"/>
            </w:pPr>
            <w:r>
              <w:rPr>
                <w:b/>
                <w:color w:val="FFFFFF"/>
                <w:sz w:val="16"/>
              </w:rPr>
              <w:t>Charts</w:t>
            </w:r>
          </w:p>
        </w:tc>
        <w:tc>
          <w:tcPr>
            <w:tcW w:type="dxa" w:w="1037"/>
            <w:shd w:val="clear" w:color="auto" w:fill="1B355E"/>
          </w:tcPr>
          <w:p>
            <w:pPr>
              <w:spacing w:after="20" w:before="20"/>
              <w:jc w:val="center"/>
            </w:pPr>
            <w:r>
              <w:rPr>
                <w:b/>
                <w:color w:val="FFFFFF"/>
                <w:sz w:val="16"/>
              </w:rPr>
              <w:t>Count</w:t>
            </w:r>
          </w:p>
        </w:tc>
      </w:tr>
      <w:tr>
        <w:tc>
          <w:tcPr>
            <w:tcW w:type="dxa" w:w="1224"/>
          </w:tcPr>
          <w:p>
            <w:pPr>
              <w:spacing w:after="20" w:before="20" w:line="254" w:lineRule="auto"/>
              <w:jc w:val="left"/>
            </w:pPr>
            <w:r>
              <w:rPr>
                <w:sz w:val="16"/>
              </w:rPr>
              <w:t>Phase 3</w:t>
            </w:r>
          </w:p>
        </w:tc>
        <w:tc>
          <w:tcPr>
            <w:tcW w:type="dxa" w:w="7056"/>
          </w:tcPr>
          <w:p>
            <w:pPr>
              <w:spacing w:after="20" w:before="20" w:line="254" w:lineRule="auto"/>
              <w:jc w:val="left"/>
            </w:pPr>
            <w:r>
              <w:rPr>
                <w:sz w:val="16"/>
              </w:rPr>
              <w:t>univariate analysis; churn by contract, payment method, internet service, senior citizen, tech support, tenure band; correlation heat map; tenure-charges scatter</w:t>
            </w:r>
          </w:p>
        </w:tc>
        <w:tc>
          <w:tcPr>
            <w:tcW w:type="dxa" w:w="1037"/>
          </w:tcPr>
          <w:p>
            <w:pPr>
              <w:spacing w:after="20" w:before="20" w:line="254" w:lineRule="auto"/>
              <w:jc w:val="center"/>
            </w:pPr>
            <w:r>
              <w:rPr>
                <w:sz w:val="16"/>
              </w:rPr>
              <w:t>9</w:t>
            </w:r>
          </w:p>
        </w:tc>
      </w:tr>
      <w:tr>
        <w:tc>
          <w:tcPr>
            <w:tcW w:type="dxa" w:w="1224"/>
            <w:shd w:val="clear" w:color="auto" w:fill="F2F5F9"/>
          </w:tcPr>
          <w:p>
            <w:pPr>
              <w:spacing w:after="20" w:before="20" w:line="254" w:lineRule="auto"/>
              <w:jc w:val="left"/>
            </w:pPr>
            <w:r>
              <w:rPr>
                <w:sz w:val="16"/>
              </w:rPr>
              <w:t>Phase 5</w:t>
            </w:r>
          </w:p>
        </w:tc>
        <w:tc>
          <w:tcPr>
            <w:tcW w:type="dxa" w:w="7056"/>
            <w:shd w:val="clear" w:color="auto" w:fill="F2F5F9"/>
          </w:tcPr>
          <w:p>
            <w:pPr>
              <w:spacing w:after="20" w:before="20" w:line="254" w:lineRule="auto"/>
              <w:jc w:val="left"/>
            </w:pPr>
            <w:r>
              <w:rPr>
                <w:sz w:val="16"/>
              </w:rPr>
              <w:t>elbow method; silhouette scores; cluster profiles; customer segments scatter</w:t>
            </w:r>
          </w:p>
        </w:tc>
        <w:tc>
          <w:tcPr>
            <w:tcW w:type="dxa" w:w="1037"/>
            <w:shd w:val="clear" w:color="auto" w:fill="F2F5F9"/>
          </w:tcPr>
          <w:p>
            <w:pPr>
              <w:spacing w:after="20" w:before="20" w:line="254" w:lineRule="auto"/>
              <w:jc w:val="center"/>
            </w:pPr>
            <w:r>
              <w:rPr>
                <w:sz w:val="16"/>
              </w:rPr>
              <w:t>4</w:t>
            </w:r>
          </w:p>
        </w:tc>
      </w:tr>
      <w:tr>
        <w:tc>
          <w:tcPr>
            <w:tcW w:type="dxa" w:w="1224"/>
          </w:tcPr>
          <w:p>
            <w:pPr>
              <w:spacing w:after="20" w:before="20" w:line="254" w:lineRule="auto"/>
              <w:jc w:val="left"/>
            </w:pPr>
            <w:r>
              <w:rPr>
                <w:sz w:val="16"/>
              </w:rPr>
              <w:t>Phase 6</w:t>
            </w:r>
          </w:p>
        </w:tc>
        <w:tc>
          <w:tcPr>
            <w:tcW w:type="dxa" w:w="7056"/>
          </w:tcPr>
          <w:p>
            <w:pPr>
              <w:spacing w:after="20" w:before="20" w:line="254" w:lineRule="auto"/>
              <w:jc w:val="left"/>
            </w:pPr>
            <w:r>
              <w:rPr>
                <w:sz w:val="16"/>
              </w:rPr>
              <w:t>ROC curves; confusion matrix; feature importance</w:t>
            </w:r>
          </w:p>
        </w:tc>
        <w:tc>
          <w:tcPr>
            <w:tcW w:type="dxa" w:w="1037"/>
          </w:tcPr>
          <w:p>
            <w:pPr>
              <w:spacing w:after="20" w:before="20" w:line="254" w:lineRule="auto"/>
              <w:jc w:val="center"/>
            </w:pPr>
            <w:r>
              <w:rPr>
                <w:sz w:val="16"/>
              </w:rPr>
              <w:t>3</w:t>
            </w:r>
          </w:p>
        </w:tc>
      </w:tr>
      <w:tr>
        <w:tc>
          <w:tcPr>
            <w:tcW w:type="dxa" w:w="1224"/>
            <w:shd w:val="clear" w:color="auto" w:fill="F2F5F9"/>
          </w:tcPr>
          <w:p>
            <w:pPr>
              <w:spacing w:after="20" w:before="20" w:line="254" w:lineRule="auto"/>
              <w:jc w:val="left"/>
            </w:pPr>
            <w:r>
              <w:rPr>
                <w:sz w:val="16"/>
              </w:rPr>
              <w:t>Phase 7</w:t>
            </w:r>
          </w:p>
        </w:tc>
        <w:tc>
          <w:tcPr>
            <w:tcW w:type="dxa" w:w="7056"/>
            <w:shd w:val="clear" w:color="auto" w:fill="F2F5F9"/>
          </w:tcPr>
          <w:p>
            <w:pPr>
              <w:spacing w:after="20" w:before="20" w:line="254" w:lineRule="auto"/>
              <w:jc w:val="left"/>
            </w:pPr>
            <w:r>
              <w:rPr>
                <w:sz w:val="16"/>
              </w:rPr>
              <w:t>overlay ROC curves; precision-recall curves; all confusion matrices; model comparison; threshold trade-off</w:t>
            </w:r>
          </w:p>
        </w:tc>
        <w:tc>
          <w:tcPr>
            <w:tcW w:type="dxa" w:w="1037"/>
            <w:shd w:val="clear" w:color="auto" w:fill="F2F5F9"/>
          </w:tcPr>
          <w:p>
            <w:pPr>
              <w:spacing w:after="20" w:before="20" w:line="254" w:lineRule="auto"/>
              <w:jc w:val="center"/>
            </w:pPr>
            <w:r>
              <w:rPr>
                <w:sz w:val="16"/>
              </w:rPr>
              <w:t>5</w:t>
            </w:r>
          </w:p>
        </w:tc>
      </w:tr>
      <w:tr>
        <w:tc>
          <w:tcPr>
            <w:tcW w:type="dxa" w:w="1224"/>
          </w:tcPr>
          <w:p>
            <w:pPr>
              <w:spacing w:after="20" w:before="20" w:line="254" w:lineRule="auto"/>
              <w:jc w:val="left"/>
            </w:pPr>
            <w:r>
              <w:rPr>
                <w:sz w:val="16"/>
              </w:rPr>
              <w:t>Phase 8</w:t>
            </w:r>
          </w:p>
        </w:tc>
        <w:tc>
          <w:tcPr>
            <w:tcW w:type="dxa" w:w="7056"/>
          </w:tcPr>
          <w:p>
            <w:pPr>
              <w:spacing w:after="20" w:before="20" w:line="254" w:lineRule="auto"/>
              <w:jc w:val="left"/>
            </w:pPr>
            <w:r>
              <w:rPr>
                <w:sz w:val="16"/>
              </w:rPr>
              <w:t>calibration curve; risk-tier distribution; global feature importance; SHAP global summary</w:t>
            </w:r>
          </w:p>
        </w:tc>
        <w:tc>
          <w:tcPr>
            <w:tcW w:type="dxa" w:w="1037"/>
          </w:tcPr>
          <w:p>
            <w:pPr>
              <w:spacing w:after="20" w:before="20" w:line="254" w:lineRule="auto"/>
              <w:jc w:val="center"/>
            </w:pPr>
            <w:r>
              <w:rPr>
                <w:sz w:val="16"/>
              </w:rPr>
              <w:t>4</w:t>
            </w:r>
          </w:p>
        </w:tc>
      </w:tr>
      <w:tr>
        <w:tc>
          <w:tcPr>
            <w:tcW w:type="dxa" w:w="1224"/>
            <w:shd w:val="clear" w:color="auto" w:fill="F2F5F9"/>
          </w:tcPr>
          <w:p>
            <w:pPr>
              <w:spacing w:after="20" w:before="20" w:line="254" w:lineRule="auto"/>
              <w:jc w:val="left"/>
            </w:pPr>
            <w:r>
              <w:rPr>
                <w:sz w:val="16"/>
              </w:rPr>
              <w:t>Phase 9</w:t>
            </w:r>
          </w:p>
        </w:tc>
        <w:tc>
          <w:tcPr>
            <w:tcW w:type="dxa" w:w="7056"/>
            <w:shd w:val="clear" w:color="auto" w:fill="F2F5F9"/>
          </w:tcPr>
          <w:p>
            <w:pPr>
              <w:spacing w:after="20" w:before="20" w:line="254" w:lineRule="auto"/>
              <w:jc w:val="left"/>
            </w:pPr>
            <w:r>
              <w:rPr>
                <w:sz w:val="16"/>
              </w:rPr>
              <w:t>revenue at risk by segment; revenue at risk by driver; retention financial impact</w:t>
            </w:r>
          </w:p>
        </w:tc>
        <w:tc>
          <w:tcPr>
            <w:tcW w:type="dxa" w:w="1037"/>
            <w:shd w:val="clear" w:color="auto" w:fill="F2F5F9"/>
          </w:tcPr>
          <w:p>
            <w:pPr>
              <w:spacing w:after="20" w:before="20" w:line="254" w:lineRule="auto"/>
              <w:jc w:val="center"/>
            </w:pPr>
            <w:r>
              <w:rPr>
                <w:sz w:val="16"/>
              </w:rPr>
              <w:t>3</w:t>
            </w:r>
          </w:p>
        </w:tc>
      </w:tr>
    </w:tbl>
    <w:p>
      <w:pPr>
        <w:spacing w:before="60" w:after="200"/>
        <w:jc w:val="center"/>
      </w:pPr>
      <w:r>
        <w:rPr>
          <w:i/>
          <w:color w:val="555F6B"/>
          <w:sz w:val="17"/>
        </w:rPr>
        <w:t>Table 61: All 28 charts generated by the pipeline, by phase.</w:t>
      </w:r>
    </w:p>
    <w:p>
      <w:pPr>
        <w:spacing w:after="200"/>
      </w:pPr>
    </w:p>
    <w:p>
      <w:pPr>
        <w:spacing w:after="120" w:before="0"/>
        <w:jc w:val="center"/>
      </w:pPr>
      <w:r>
        <w:rPr>
          <w:b w:val="0"/>
          <w:i/>
          <w:sz w:val="19"/>
        </w:rPr>
        <w:t>End of report.</w:t>
      </w:r>
    </w:p>
    <w:sectPr w:rsidR="00FC693F" w:rsidRPr="0006063C" w:rsidSect="00034616">
      <w:footerReference w:type="default" r:id="rId41"/>
      <w:pgSz w:w="11909" w:h="16834"/>
      <w:pgMar w:top="1224" w:right="1224"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6"/>
      </w:rPr>
      <w:t xml:space="preserve">Customer Churn Prediction and Retention Analytics  —  Implementation and Remediation Report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