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40"/>
        <w:jc w:val="center"/>
      </w:pPr>
      <w:r>
        <w:rPr>
          <w:b/>
          <w:color w:val="0B5C7A"/>
          <w:sz w:val="24"/>
        </w:rPr>
        <w:t>PROJECT IMPLEMENTATION REPORT</w:t>
      </w:r>
    </w:p>
    <w:p>
      <w:pPr>
        <w:spacing w:after="80"/>
        <w:jc w:val="center"/>
      </w:pPr>
      <w:r>
        <w:rPr>
          <w:i/>
          <w:color w:val="555F6B"/>
          <w:sz w:val="21"/>
        </w:rPr>
        <w:t>Code Walk-through, Execution Guide and Experimental Results</w:t>
      </w:r>
    </w:p>
    <w:p>
      <w:pPr>
        <w:spacing w:after="0" w:before="160"/>
        <w:jc w:val="center"/>
      </w:pPr>
      <w:r>
        <w:rPr>
          <w:b/>
          <w:color w:val="1B355E"/>
          <w:sz w:val="50"/>
        </w:rPr>
        <w:t>Customer Churn Prediction</w:t>
      </w:r>
    </w:p>
    <w:p>
      <w:pPr>
        <w:spacing w:after="0" w:before="0"/>
        <w:jc w:val="center"/>
      </w:pPr>
      <w:r>
        <w:rPr>
          <w:b/>
          <w:color w:val="1B355E"/>
          <w:sz w:val="50"/>
        </w:rPr>
        <w:t>and Retention Analytics</w:t>
      </w:r>
    </w:p>
    <w:p>
      <w:pPr>
        <w:spacing w:before="200" w:after="320"/>
        <w:jc w:val="center"/>
      </w:pPr>
      <w:r>
        <w:rPr>
          <w:i/>
          <w:color w:val="555F6B"/>
          <w:sz w:val="21"/>
        </w:rPr>
        <w:t>A Six-Phase Business-Oriented Analytics Pipeline</w:t>
        <w:br/>
        <w:t>Data Cleaning  •  Exploratory Analysis  •  Feature Engineering  •  Customer Segmentation  •  Predictive Modelling</w:t>
      </w:r>
    </w:p>
    <w:tbl>
      <w:tblPr>
        <w:tblStyle w:val="TableGrid"/>
        <w:tblW w:type="auto" w:w="0"/>
        <w:jc w:val="center"/>
        <w:tblLayout w:type="fixed"/>
        <w:tblLook w:firstColumn="1" w:firstRow="1" w:lastColumn="0" w:lastRow="0" w:noHBand="0" w:noVBand="1" w:val="04A0"/>
        <w:tblLayout w:type="fixed"/>
        <w:tblCellMar>
          <w:top w:w="44" w:type="dxa"/>
          <w:left w:w="90" w:type="dxa"/>
          <w:bottom w:w="44" w:type="dxa"/>
          <w:right w:w="80" w:type="dxa"/>
        </w:tblCellMar>
      </w:tblPr>
      <w:tblGrid>
        <w:gridCol w:w="2664"/>
        <w:gridCol w:w="6623"/>
      </w:tblGrid>
      <w:tr>
        <w:tc>
          <w:tcPr>
            <w:tcW w:type="dxa" w:w="2664"/>
            <w:shd w:val="clear" w:color="auto" w:fill="EEF2F7"/>
          </w:tcPr>
          <w:p>
            <w:pPr>
              <w:spacing w:after="40" w:before="40"/>
            </w:pPr>
            <w:r>
              <w:rPr>
                <w:b/>
                <w:color w:val="1B355E"/>
                <w:sz w:val="19"/>
              </w:rPr>
              <w:t>Document</w:t>
            </w:r>
          </w:p>
        </w:tc>
        <w:tc>
          <w:tcPr>
            <w:tcW w:type="dxa" w:w="6624"/>
          </w:tcPr>
          <w:p>
            <w:pPr>
              <w:spacing w:after="40" w:before="40"/>
            </w:pPr>
            <w:r>
              <w:rPr>
                <w:b w:val="0"/>
                <w:sz w:val="19"/>
              </w:rPr>
              <w:t>Implementation and Results Report</w:t>
            </w:r>
          </w:p>
        </w:tc>
      </w:tr>
      <w:tr>
        <w:tc>
          <w:tcPr>
            <w:tcW w:type="dxa" w:w="2664"/>
            <w:shd w:val="clear" w:color="auto" w:fill="EEF2F7"/>
          </w:tcPr>
          <w:p>
            <w:pPr>
              <w:spacing w:after="40" w:before="40"/>
            </w:pPr>
            <w:r>
              <w:rPr>
                <w:b/>
                <w:color w:val="1B355E"/>
                <w:sz w:val="19"/>
              </w:rPr>
              <w:t>Codebase reviewed</w:t>
            </w:r>
          </w:p>
        </w:tc>
        <w:tc>
          <w:tcPr>
            <w:tcW w:type="dxa" w:w="6624"/>
          </w:tcPr>
          <w:p>
            <w:pPr>
              <w:spacing w:after="40" w:before="40"/>
            </w:pPr>
            <w:r>
              <w:rPr>
                <w:b w:val="0"/>
                <w:sz w:val="19"/>
              </w:rPr>
              <w:t>churn_project / customer_churn</w:t>
            </w:r>
          </w:p>
        </w:tc>
      </w:tr>
      <w:tr>
        <w:tc>
          <w:tcPr>
            <w:tcW w:type="dxa" w:w="2664"/>
            <w:shd w:val="clear" w:color="auto" w:fill="EEF2F7"/>
          </w:tcPr>
          <w:p>
            <w:pPr>
              <w:spacing w:after="40" w:before="40"/>
            </w:pPr>
            <w:r>
              <w:rPr>
                <w:b/>
                <w:color w:val="1B355E"/>
                <w:sz w:val="19"/>
              </w:rPr>
              <w:t>Source scripts</w:t>
            </w:r>
          </w:p>
        </w:tc>
        <w:tc>
          <w:tcPr>
            <w:tcW w:type="dxa" w:w="6624"/>
          </w:tcPr>
          <w:p>
            <w:pPr>
              <w:spacing w:after="40" w:before="40"/>
            </w:pPr>
            <w:r>
              <w:rPr>
                <w:b w:val="0"/>
                <w:sz w:val="19"/>
              </w:rPr>
              <w:t>6 Python modules, 1 709 lines of code</w:t>
            </w:r>
          </w:p>
        </w:tc>
      </w:tr>
      <w:tr>
        <w:tc>
          <w:tcPr>
            <w:tcW w:type="dxa" w:w="2664"/>
            <w:shd w:val="clear" w:color="auto" w:fill="EEF2F7"/>
          </w:tcPr>
          <w:p>
            <w:pPr>
              <w:spacing w:after="40" w:before="40"/>
            </w:pPr>
            <w:r>
              <w:rPr>
                <w:b/>
                <w:color w:val="1B355E"/>
                <w:sz w:val="19"/>
              </w:rPr>
              <w:t>Dataset</w:t>
            </w:r>
          </w:p>
        </w:tc>
        <w:tc>
          <w:tcPr>
            <w:tcW w:type="dxa" w:w="6624"/>
          </w:tcPr>
          <w:p>
            <w:pPr>
              <w:spacing w:after="40" w:before="40"/>
            </w:pPr>
            <w:r>
              <w:rPr>
                <w:b w:val="0"/>
                <w:sz w:val="19"/>
              </w:rPr>
              <w:t>Telco Customer Churn — 7 043 records × 21 attributes</w:t>
            </w:r>
          </w:p>
        </w:tc>
      </w:tr>
      <w:tr>
        <w:tc>
          <w:tcPr>
            <w:tcW w:type="dxa" w:w="2664"/>
            <w:shd w:val="clear" w:color="auto" w:fill="EEF2F7"/>
          </w:tcPr>
          <w:p>
            <w:pPr>
              <w:spacing w:after="40" w:before="40"/>
            </w:pPr>
            <w:r>
              <w:rPr>
                <w:b/>
                <w:color w:val="1B355E"/>
                <w:sz w:val="19"/>
              </w:rPr>
              <w:t>Algorithms implemented</w:t>
            </w:r>
          </w:p>
        </w:tc>
        <w:tc>
          <w:tcPr>
            <w:tcW w:type="dxa" w:w="6624"/>
          </w:tcPr>
          <w:p>
            <w:pPr>
              <w:spacing w:after="40" w:before="40"/>
            </w:pPr>
            <w:r>
              <w:rPr>
                <w:b w:val="0"/>
                <w:sz w:val="19"/>
              </w:rPr>
              <w:t>Logistic Regression, Random Forest, Support Vector Machine, XGBoost (baseline and tuned), K-Means</w:t>
            </w:r>
          </w:p>
        </w:tc>
      </w:tr>
      <w:tr>
        <w:tc>
          <w:tcPr>
            <w:tcW w:type="dxa" w:w="2664"/>
            <w:shd w:val="clear" w:color="auto" w:fill="EEF2F7"/>
          </w:tcPr>
          <w:p>
            <w:pPr>
              <w:spacing w:after="40" w:before="40"/>
            </w:pPr>
            <w:r>
              <w:rPr>
                <w:b/>
                <w:color w:val="1B355E"/>
                <w:sz w:val="19"/>
              </w:rPr>
              <w:t>Best model</w:t>
            </w:r>
          </w:p>
        </w:tc>
        <w:tc>
          <w:tcPr>
            <w:tcW w:type="dxa" w:w="6624"/>
          </w:tcPr>
          <w:p>
            <w:pPr>
              <w:spacing w:after="40" w:before="40"/>
            </w:pPr>
            <w:r>
              <w:rPr>
                <w:b w:val="0"/>
                <w:sz w:val="19"/>
              </w:rPr>
              <w:t>Tuned XGBoost — test ROC-AUC 0.8349, recall 0.7766</w:t>
            </w:r>
          </w:p>
        </w:tc>
      </w:tr>
      <w:tr>
        <w:tc>
          <w:tcPr>
            <w:tcW w:type="dxa" w:w="2664"/>
            <w:shd w:val="clear" w:color="auto" w:fill="EEF2F7"/>
          </w:tcPr>
          <w:p>
            <w:pPr>
              <w:spacing w:after="40" w:before="40"/>
            </w:pPr>
            <w:r>
              <w:rPr>
                <w:b/>
                <w:color w:val="1B355E"/>
                <w:sz w:val="19"/>
              </w:rPr>
              <w:t>Generated artefacts</w:t>
            </w:r>
          </w:p>
        </w:tc>
        <w:tc>
          <w:tcPr>
            <w:tcW w:type="dxa" w:w="6624"/>
          </w:tcPr>
          <w:p>
            <w:pPr>
              <w:spacing w:after="40" w:before="40"/>
            </w:pPr>
            <w:r>
              <w:rPr>
                <w:b w:val="0"/>
                <w:sz w:val="19"/>
              </w:rPr>
              <w:t>3 derived datasets, 16 charts, 2 serialised models, 1 performance table</w:t>
            </w:r>
          </w:p>
        </w:tc>
      </w:tr>
      <w:tr>
        <w:tc>
          <w:tcPr>
            <w:tcW w:type="dxa" w:w="2664"/>
            <w:shd w:val="clear" w:color="auto" w:fill="EEF2F7"/>
          </w:tcPr>
          <w:p>
            <w:pPr>
              <w:spacing w:after="40" w:before="40"/>
            </w:pPr>
            <w:r>
              <w:rPr>
                <w:b/>
                <w:color w:val="1B355E"/>
                <w:sz w:val="19"/>
              </w:rPr>
              <w:t>Report date</w:t>
            </w:r>
          </w:p>
        </w:tc>
        <w:tc>
          <w:tcPr>
            <w:tcW w:type="dxa" w:w="6624"/>
          </w:tcPr>
          <w:p>
            <w:pPr>
              <w:spacing w:after="40" w:before="40"/>
            </w:pPr>
            <w:r>
              <w:rPr>
                <w:b w:val="0"/>
                <w:sz w:val="19"/>
              </w:rPr>
              <w:t>26 August 2026</w:t>
            </w:r>
          </w:p>
        </w:tc>
      </w:tr>
    </w:tbl>
    <w:p>
      <w:r>
        <w:br w:type="page"/>
      </w:r>
    </w:p>
    <w:p>
      <w:pPr>
        <w:keepNext/>
        <w:spacing w:before="0" w:after="160"/>
      </w:pPr>
      <w:r>
        <w:rPr>
          <w:rFonts w:ascii="Calibri" w:hAnsi="Calibri"/>
          <w:b/>
          <w:color w:val="1B355E"/>
          <w:sz w:val="30"/>
        </w:rPr>
        <w:t>Table of Contents</w:t>
      </w:r>
    </w:p>
    <w:p>
      <w:pPr>
        <w:spacing w:after="80"/>
        <w:ind w:left="403"/>
      </w:pPr>
      <w:r>
        <w:rPr>
          <w:b/>
          <w:color w:val="0B5C7A"/>
          <w:sz w:val="21"/>
        </w:rPr>
        <w:t xml:space="preserve">1   </w:t>
      </w:r>
      <w:r>
        <w:rPr>
          <w:sz w:val="21"/>
        </w:rPr>
        <w:t>Purpose and Scope of this Document</w:t>
      </w:r>
    </w:p>
    <w:p>
      <w:pPr>
        <w:spacing w:after="80"/>
        <w:ind w:left="403"/>
      </w:pPr>
      <w:r>
        <w:rPr>
          <w:b/>
          <w:color w:val="0B5C7A"/>
          <w:sz w:val="21"/>
        </w:rPr>
        <w:t xml:space="preserve">2   </w:t>
      </w:r>
      <w:r>
        <w:rPr>
          <w:sz w:val="21"/>
        </w:rPr>
        <w:t>Project Structure and File Inventory</w:t>
      </w:r>
    </w:p>
    <w:p>
      <w:pPr>
        <w:spacing w:after="80"/>
        <w:ind w:left="403"/>
      </w:pPr>
      <w:r>
        <w:rPr>
          <w:b/>
          <w:color w:val="0B5C7A"/>
          <w:sz w:val="21"/>
        </w:rPr>
        <w:t xml:space="preserve">3   </w:t>
      </w:r>
      <w:r>
        <w:rPr>
          <w:sz w:val="21"/>
        </w:rPr>
        <w:t>Environment, Dependencies and Configuration</w:t>
      </w:r>
    </w:p>
    <w:p>
      <w:pPr>
        <w:spacing w:after="80"/>
        <w:ind w:left="403"/>
      </w:pPr>
      <w:r>
        <w:rPr>
          <w:b/>
          <w:color w:val="0B5C7A"/>
          <w:sz w:val="21"/>
        </w:rPr>
        <w:t xml:space="preserve">4   </w:t>
      </w:r>
      <w:r>
        <w:rPr>
          <w:sz w:val="21"/>
        </w:rPr>
        <w:t>Dataset Description</w:t>
      </w:r>
    </w:p>
    <w:p>
      <w:pPr>
        <w:spacing w:after="80"/>
        <w:ind w:left="403"/>
      </w:pPr>
      <w:r>
        <w:rPr>
          <w:b/>
          <w:color w:val="0B5C7A"/>
          <w:sz w:val="21"/>
        </w:rPr>
        <w:t xml:space="preserve">5   </w:t>
      </w:r>
      <w:r>
        <w:rPr>
          <w:sz w:val="21"/>
        </w:rPr>
        <w:t>Implementation Architecture and Data Lineage</w:t>
      </w:r>
    </w:p>
    <w:p>
      <w:pPr>
        <w:spacing w:after="80"/>
        <w:ind w:left="403"/>
      </w:pPr>
      <w:r>
        <w:rPr>
          <w:b/>
          <w:color w:val="0B5C7A"/>
          <w:sz w:val="21"/>
        </w:rPr>
        <w:t xml:space="preserve">6   </w:t>
      </w:r>
      <w:r>
        <w:rPr>
          <w:sz w:val="21"/>
        </w:rPr>
        <w:t>Phase 1 — Data Collection and Understanding</w:t>
      </w:r>
    </w:p>
    <w:p>
      <w:pPr>
        <w:spacing w:after="80"/>
        <w:ind w:left="403"/>
      </w:pPr>
      <w:r>
        <w:rPr>
          <w:b/>
          <w:color w:val="0B5C7A"/>
          <w:sz w:val="21"/>
        </w:rPr>
        <w:t xml:space="preserve">7   </w:t>
      </w:r>
      <w:r>
        <w:rPr>
          <w:sz w:val="21"/>
        </w:rPr>
        <w:t>Phase 2 — Data Cleaning</w:t>
      </w:r>
    </w:p>
    <w:p>
      <w:pPr>
        <w:spacing w:after="80"/>
        <w:ind w:left="403"/>
      </w:pPr>
      <w:r>
        <w:rPr>
          <w:b/>
          <w:color w:val="0B5C7A"/>
          <w:sz w:val="21"/>
        </w:rPr>
        <w:t xml:space="preserve">8   </w:t>
      </w:r>
      <w:r>
        <w:rPr>
          <w:sz w:val="21"/>
        </w:rPr>
        <w:t>Phase 3 — Exploratory Data Analysis</w:t>
      </w:r>
    </w:p>
    <w:p>
      <w:pPr>
        <w:spacing w:after="80"/>
        <w:ind w:left="403"/>
      </w:pPr>
      <w:r>
        <w:rPr>
          <w:b/>
          <w:color w:val="0B5C7A"/>
          <w:sz w:val="21"/>
        </w:rPr>
        <w:t xml:space="preserve">9   </w:t>
      </w:r>
      <w:r>
        <w:rPr>
          <w:sz w:val="21"/>
        </w:rPr>
        <w:t>Phase 4 — Feature Engineering</w:t>
      </w:r>
    </w:p>
    <w:p>
      <w:pPr>
        <w:spacing w:after="80"/>
        <w:ind w:left="403"/>
      </w:pPr>
      <w:r>
        <w:rPr>
          <w:b/>
          <w:color w:val="0B5C7A"/>
          <w:sz w:val="21"/>
        </w:rPr>
        <w:t xml:space="preserve">10  </w:t>
      </w:r>
      <w:r>
        <w:rPr>
          <w:sz w:val="21"/>
        </w:rPr>
        <w:t>Phase 5 — Customer Segmentation</w:t>
      </w:r>
    </w:p>
    <w:p>
      <w:pPr>
        <w:spacing w:after="80"/>
        <w:ind w:left="403"/>
      </w:pPr>
      <w:r>
        <w:rPr>
          <w:b/>
          <w:color w:val="0B5C7A"/>
          <w:sz w:val="21"/>
        </w:rPr>
        <w:t xml:space="preserve">11  </w:t>
      </w:r>
      <w:r>
        <w:rPr>
          <w:sz w:val="21"/>
        </w:rPr>
        <w:t>Phase 6 — Model Development and Evaluation</w:t>
      </w:r>
    </w:p>
    <w:p>
      <w:pPr>
        <w:spacing w:after="80"/>
        <w:ind w:left="403"/>
      </w:pPr>
      <w:r>
        <w:rPr>
          <w:b/>
          <w:color w:val="0B5C7A"/>
          <w:sz w:val="21"/>
        </w:rPr>
        <w:t xml:space="preserve">12  </w:t>
      </w:r>
      <w:r>
        <w:rPr>
          <w:sz w:val="21"/>
        </w:rPr>
        <w:t>Consolidated Results and Discussion</w:t>
      </w:r>
    </w:p>
    <w:p>
      <w:pPr>
        <w:spacing w:after="80"/>
        <w:ind w:left="403"/>
      </w:pPr>
      <w:r>
        <w:rPr>
          <w:b/>
          <w:color w:val="0B5C7A"/>
          <w:sz w:val="21"/>
        </w:rPr>
        <w:t xml:space="preserve">13  </w:t>
      </w:r>
      <w:r>
        <w:rPr>
          <w:sz w:val="21"/>
        </w:rPr>
        <w:t>Business Interpretation and Revenue Impact</w:t>
      </w:r>
    </w:p>
    <w:p>
      <w:pPr>
        <w:spacing w:after="80"/>
        <w:ind w:left="403"/>
      </w:pPr>
      <w:r>
        <w:rPr>
          <w:b/>
          <w:color w:val="0B5C7A"/>
          <w:sz w:val="21"/>
        </w:rPr>
        <w:t xml:space="preserve">14  </w:t>
      </w:r>
      <w:r>
        <w:rPr>
          <w:sz w:val="21"/>
        </w:rPr>
        <w:t>Step-by-Step Configuration and Execution Guide</w:t>
      </w:r>
    </w:p>
    <w:p>
      <w:pPr>
        <w:spacing w:after="80"/>
        <w:ind w:left="403"/>
      </w:pPr>
      <w:r>
        <w:rPr>
          <w:b/>
          <w:color w:val="0B5C7A"/>
          <w:sz w:val="21"/>
        </w:rPr>
        <w:t xml:space="preserve">15  </w:t>
      </w:r>
      <w:r>
        <w:rPr>
          <w:sz w:val="21"/>
        </w:rPr>
        <w:t>Observations, Limitations and Recommended Corrections</w:t>
      </w:r>
    </w:p>
    <w:p>
      <w:pPr>
        <w:spacing w:after="80"/>
        <w:ind w:left="403"/>
      </w:pPr>
      <w:r>
        <w:rPr>
          <w:b/>
          <w:color w:val="0B5C7A"/>
          <w:sz w:val="21"/>
        </w:rPr>
        <w:t xml:space="preserve">16  </w:t>
      </w:r>
      <w:r>
        <w:rPr>
          <w:sz w:val="21"/>
        </w:rPr>
        <w:t>Conclusion</w:t>
      </w:r>
    </w:p>
    <w:p>
      <w:pPr>
        <w:spacing w:after="80"/>
        <w:ind w:left="403"/>
      </w:pPr>
      <w:r>
        <w:rPr>
          <w:b/>
          <w:color w:val="0B5C7A"/>
          <w:sz w:val="21"/>
        </w:rPr>
        <w:t xml:space="preserve">A   </w:t>
      </w:r>
      <w:r>
        <w:rPr>
          <w:sz w:val="21"/>
        </w:rPr>
        <w:t>Appendix A — Configuration Constant Reference</w:t>
      </w:r>
    </w:p>
    <w:p>
      <w:pPr>
        <w:spacing w:after="80"/>
        <w:ind w:left="403"/>
      </w:pPr>
      <w:r>
        <w:rPr>
          <w:b/>
          <w:color w:val="0B5C7A"/>
          <w:sz w:val="21"/>
        </w:rPr>
        <w:t xml:space="preserve">B   </w:t>
      </w:r>
      <w:r>
        <w:rPr>
          <w:sz w:val="21"/>
        </w:rPr>
        <w:t>Appendix B — Complete Artefact Inventory</w:t>
      </w:r>
    </w:p>
    <w:p>
      <w:pPr>
        <w:spacing w:after="160"/>
      </w:pPr>
    </w:p>
    <w:p>
      <w:pPr>
        <w:spacing w:after="120" w:before="0"/>
        <w:jc w:val="both"/>
      </w:pPr>
      <w:r>
        <w:rPr>
          <w:b w:val="0"/>
          <w:i/>
          <w:color w:val="555F6B"/>
          <w:sz w:val="19"/>
        </w:rPr>
        <w:t>This report documents an implementation that already exists and has already been executed. Every table, figure and numeric value reproduced in the following pages was read directly from the source files, the generated datasets, the performance table and the chart images stored inside the project folder. No result has been estimated, rounded up or reconstructed from expectation.</w:t>
      </w:r>
    </w:p>
    <w:p>
      <w:r>
        <w:br w:type="page"/>
      </w:r>
    </w:p>
    <w:p>
      <w:pPr>
        <w:spacing w:after="0"/>
      </w:pPr>
    </w:p>
    <w:p>
      <w:pPr>
        <w:keepNext/>
        <w:spacing w:before="80" w:after="40"/>
        <w:pBdr>
          <w:bottom w:val="single" w:sz="10" w:space="3" w:color="1B355E"/>
        </w:pBdr>
      </w:pPr>
      <w:r>
        <w:rPr>
          <w:rFonts w:ascii="Calibri" w:hAnsi="Calibri"/>
          <w:b/>
          <w:color w:val="1B355E"/>
          <w:sz w:val="30"/>
        </w:rPr>
        <w:t>1.  Purpose and Scope of this Document</w:t>
      </w:r>
    </w:p>
    <w:p>
      <w:pPr>
        <w:spacing w:after="40"/>
      </w:pPr>
    </w:p>
    <w:p>
      <w:pPr>
        <w:spacing w:after="120" w:before="0"/>
        <w:jc w:val="both"/>
      </w:pPr>
      <w:r>
        <w:rPr>
          <w:b w:val="0"/>
          <w:i w:val="0"/>
          <w:sz w:val="21"/>
        </w:rPr>
        <w:t>This document is the implementation record for the Customer Churn Prediction and Retention Analytics project. Where the project proposal described what the system was intended to do, this report describes what the delivered code actually does: which files exist, what each block of code computes, in what order the modules must be executed, which artefacts each stage writes to disk, and what numerical results the executed pipeline produced.</w:t>
      </w:r>
    </w:p>
    <w:p>
      <w:pPr>
        <w:keepNext/>
        <w:spacing w:before="240" w:after="80"/>
      </w:pPr>
      <w:r>
        <w:rPr>
          <w:rFonts w:ascii="Calibri" w:hAnsi="Calibri"/>
          <w:b/>
          <w:color w:val="1B355E"/>
          <w:sz w:val="25"/>
        </w:rPr>
        <w:t>1.1  Objectives of the report</w:t>
      </w:r>
    </w:p>
    <w:p>
      <w:pPr>
        <w:spacing w:after="80" w:line="264" w:lineRule="auto"/>
        <w:ind w:left="806" w:hanging="490"/>
        <w:jc w:val="both"/>
        <w:tabs>
          <w:tab w:val="left" w:pos="806"/>
        </w:tabs>
      </w:pPr>
      <w:r>
        <w:rPr>
          <w:b/>
          <w:color w:val="0B5C7A"/>
          <w:sz w:val="21"/>
        </w:rPr>
        <w:t>1.</w:t>
      </w:r>
      <w:r>
        <w:rPr>
          <w:sz w:val="21"/>
        </w:rPr>
        <w:tab/>
      </w:r>
      <w:r>
        <w:rPr>
          <w:b/>
          <w:sz w:val="21"/>
        </w:rPr>
        <w:t xml:space="preserve">Code documentation. </w:t>
      </w:r>
      <w:r>
        <w:rPr>
          <w:sz w:val="21"/>
        </w:rPr>
        <w:t>Explain every one of the six phase scripts at the level of individual code blocks, so that a reader can follow the transformation of a raw CSV into a serialised predictive model.</w:t>
      </w:r>
    </w:p>
    <w:p>
      <w:pPr>
        <w:spacing w:after="80" w:line="264" w:lineRule="auto"/>
        <w:ind w:left="806" w:hanging="490"/>
        <w:jc w:val="both"/>
        <w:tabs>
          <w:tab w:val="left" w:pos="806"/>
        </w:tabs>
      </w:pPr>
      <w:r>
        <w:rPr>
          <w:b/>
          <w:color w:val="0B5C7A"/>
          <w:sz w:val="21"/>
        </w:rPr>
        <w:t>2.</w:t>
      </w:r>
      <w:r>
        <w:rPr>
          <w:sz w:val="21"/>
        </w:rPr>
        <w:tab/>
      </w:r>
      <w:r>
        <w:rPr>
          <w:b/>
          <w:sz w:val="21"/>
        </w:rPr>
        <w:t xml:space="preserve">Reproducible execution. </w:t>
      </w:r>
      <w:r>
        <w:rPr>
          <w:sz w:val="21"/>
        </w:rPr>
        <w:t>Provide the exact environment, dependency versions, folder layout and command sequence required to reproduce the pipeline from a clean machine.</w:t>
      </w:r>
    </w:p>
    <w:p>
      <w:pPr>
        <w:spacing w:after="80" w:line="264" w:lineRule="auto"/>
        <w:ind w:left="806" w:hanging="490"/>
        <w:jc w:val="both"/>
        <w:tabs>
          <w:tab w:val="left" w:pos="806"/>
        </w:tabs>
      </w:pPr>
      <w:r>
        <w:rPr>
          <w:b/>
          <w:color w:val="0B5C7A"/>
          <w:sz w:val="21"/>
        </w:rPr>
        <w:t>3.</w:t>
      </w:r>
      <w:r>
        <w:rPr>
          <w:sz w:val="21"/>
        </w:rPr>
        <w:tab/>
      </w:r>
      <w:r>
        <w:rPr>
          <w:b/>
          <w:sz w:val="21"/>
        </w:rPr>
        <w:t xml:space="preserve">Results reporting. </w:t>
      </w:r>
      <w:r>
        <w:rPr>
          <w:sz w:val="21"/>
        </w:rPr>
        <w:t>Present the measured outputs of the executed pipeline — cleaning statistics, exploratory findings, cluster profiles, model-comparison metrics, the confusion matrix and the feature-importance ranking — together with all sixteen charts the code generated.</w:t>
      </w:r>
    </w:p>
    <w:p>
      <w:pPr>
        <w:spacing w:after="80" w:line="264" w:lineRule="auto"/>
        <w:ind w:left="806" w:hanging="490"/>
        <w:jc w:val="both"/>
        <w:tabs>
          <w:tab w:val="left" w:pos="806"/>
        </w:tabs>
      </w:pPr>
      <w:r>
        <w:rPr>
          <w:b/>
          <w:color w:val="0B5C7A"/>
          <w:sz w:val="21"/>
        </w:rPr>
        <w:t>4.</w:t>
      </w:r>
      <w:r>
        <w:rPr>
          <w:sz w:val="21"/>
        </w:rPr>
        <w:tab/>
      </w:r>
      <w:r>
        <w:rPr>
          <w:b/>
          <w:sz w:val="21"/>
        </w:rPr>
        <w:t xml:space="preserve">Technical review. </w:t>
      </w:r>
      <w:r>
        <w:rPr>
          <w:sz w:val="21"/>
        </w:rPr>
        <w:t>Record the defects, inconsistencies and unused outputs found while reading the code, and state precisely how each should be corrected.</w:t>
      </w:r>
    </w:p>
    <w:p>
      <w:pPr>
        <w:keepNext/>
        <w:spacing w:before="240" w:after="80"/>
      </w:pPr>
      <w:r>
        <w:rPr>
          <w:rFonts w:ascii="Calibri" w:hAnsi="Calibri"/>
          <w:b/>
          <w:color w:val="1B355E"/>
          <w:sz w:val="25"/>
        </w:rPr>
        <w:t>1.2  What this report covers</w:t>
      </w:r>
    </w:p>
    <w:p>
      <w:pPr>
        <w:spacing w:after="120" w:before="0"/>
        <w:jc w:val="both"/>
      </w:pPr>
      <w:r>
        <w:rPr>
          <w:b w:val="0"/>
          <w:i w:val="0"/>
          <w:sz w:val="21"/>
        </w:rPr>
        <w:t>The scope is the code held in the folder churn_project\customer_churn. That folder contains six executable Python modules totalling 1 709 lines, a data sub-folder holding the raw dataset and three derived datasets, a charts sub-folder holding sixteen generated figures, and a models sub-folder holding two serialised model objects.</w:t>
      </w:r>
    </w:p>
    <w:p>
      <w:pPr>
        <w:spacing w:after="120" w:before="0"/>
        <w:jc w:val="both"/>
      </w:pPr>
      <w:r>
        <w:rPr>
          <w:b w:val="0"/>
          <w:i w:val="0"/>
          <w:sz w:val="21"/>
        </w:rPr>
        <w:t>The report does not restate the literature survey, the problem statement or the comparative analysis of prior work; those belong to the project proposal report and are not repeated here. Neither does it modify the codebase. Where a correction is recommended, the recommendation is stated in Section 15 and the reasoning is given, but the source files as delivered remain the subject of the description.</w:t>
      </w:r>
    </w:p>
    <w:p>
      <w:pPr>
        <w:keepNext/>
        <w:spacing w:before="240" w:after="80"/>
      </w:pPr>
      <w:r>
        <w:rPr>
          <w:rFonts w:ascii="Calibri" w:hAnsi="Calibri"/>
          <w:b/>
          <w:color w:val="1B355E"/>
          <w:sz w:val="25"/>
        </w:rPr>
        <w:t>1.3  How to read the phase sections</w:t>
      </w:r>
    </w:p>
    <w:p>
      <w:pPr>
        <w:spacing w:after="120" w:before="0"/>
        <w:jc w:val="both"/>
      </w:pPr>
      <w:r>
        <w:rPr>
          <w:b w:val="0"/>
          <w:i w:val="0"/>
          <w:sz w:val="21"/>
        </w:rPr>
        <w:t>Sections 6 to 11 each follow the same fixed structure, so a reader can move between phases without relearning the layout:</w:t>
      </w:r>
    </w:p>
    <w:p>
      <w:pPr>
        <w:pStyle w:val="ListBullet"/>
        <w:spacing w:after="60" w:line="264" w:lineRule="auto"/>
        <w:ind w:left="547"/>
      </w:pPr>
      <w:r>
        <w:rPr>
          <w:b/>
          <w:sz w:val="21"/>
        </w:rPr>
        <w:t xml:space="preserve">Purpose — </w:t>
      </w:r>
      <w:r>
        <w:rPr>
          <w:sz w:val="21"/>
        </w:rPr>
        <w:t>the analytical question the phase answers.</w:t>
      </w:r>
    </w:p>
    <w:p>
      <w:pPr>
        <w:pStyle w:val="ListBullet"/>
        <w:spacing w:after="60" w:line="264" w:lineRule="auto"/>
        <w:ind w:left="547"/>
      </w:pPr>
      <w:r>
        <w:rPr>
          <w:b/>
          <w:sz w:val="21"/>
        </w:rPr>
        <w:t xml:space="preserve">Inputs and outputs — </w:t>
      </w:r>
      <w:r>
        <w:rPr>
          <w:sz w:val="21"/>
        </w:rPr>
        <w:t>the files consumed and produced.</w:t>
      </w:r>
    </w:p>
    <w:p>
      <w:pPr>
        <w:pStyle w:val="ListBullet"/>
        <w:spacing w:after="60" w:line="264" w:lineRule="auto"/>
        <w:ind w:left="547"/>
      </w:pPr>
      <w:r>
        <w:rPr>
          <w:b/>
          <w:sz w:val="21"/>
        </w:rPr>
        <w:t xml:space="preserve">Code walk-through — </w:t>
      </w:r>
      <w:r>
        <w:rPr>
          <w:sz w:val="21"/>
        </w:rPr>
        <w:t>the significant blocks, quoted from the source and explained.</w:t>
      </w:r>
    </w:p>
    <w:p>
      <w:pPr>
        <w:pStyle w:val="ListBullet"/>
        <w:spacing w:after="60" w:line="264" w:lineRule="auto"/>
        <w:ind w:left="547"/>
      </w:pPr>
      <w:r>
        <w:rPr>
          <w:b/>
          <w:sz w:val="21"/>
        </w:rPr>
        <w:t xml:space="preserve">Results — </w:t>
      </w:r>
      <w:r>
        <w:rPr>
          <w:sz w:val="21"/>
        </w:rPr>
        <w:t>the measured output of that phase, as tables and charts.</w:t>
      </w:r>
    </w:p>
    <w:p>
      <w:pPr>
        <w:pStyle w:val="ListBullet"/>
        <w:spacing w:after="60" w:line="264" w:lineRule="auto"/>
        <w:ind w:left="547"/>
      </w:pPr>
      <w:r>
        <w:rPr>
          <w:b/>
          <w:sz w:val="21"/>
        </w:rPr>
        <w:t xml:space="preserve">Interpretation — </w:t>
      </w:r>
      <w:r>
        <w:rPr>
          <w:sz w:val="21"/>
        </w:rPr>
        <w:t>what the numbers mean for the retention problem.</w:t>
      </w:r>
    </w:p>
    <w:p>
      <w:pPr>
        <w:spacing w:after="0"/>
      </w:pPr>
    </w:p>
    <w:p>
      <w:pPr>
        <w:keepNext/>
        <w:spacing w:before="80" w:after="40"/>
        <w:pBdr>
          <w:bottom w:val="single" w:sz="10" w:space="3" w:color="1B355E"/>
        </w:pBdr>
      </w:pPr>
      <w:r>
        <w:rPr>
          <w:rFonts w:ascii="Calibri" w:hAnsi="Calibri"/>
          <w:b/>
          <w:color w:val="1B355E"/>
          <w:sz w:val="30"/>
        </w:rPr>
        <w:t>2.  Project Structure and File Inventory</w:t>
      </w:r>
    </w:p>
    <w:p>
      <w:pPr>
        <w:spacing w:after="40"/>
      </w:pPr>
    </w:p>
    <w:p>
      <w:pPr>
        <w:spacing w:after="120" w:before="0"/>
        <w:jc w:val="both"/>
      </w:pPr>
      <w:r>
        <w:rPr>
          <w:b w:val="0"/>
          <w:i w:val="0"/>
          <w:sz w:val="21"/>
        </w:rPr>
        <w:t>The project follows a flat, phase-numbered layout. Scripts sit at the top level of the working directory and read from and write to three sibling folders. All paths inside the scripts are relative, which means every module must be executed with churn_project\customer_churn as the current working directory.</w:t>
      </w:r>
    </w:p>
    <w:p>
      <w:pPr>
        <w:keepNext/>
        <w:spacing w:before="240" w:after="80"/>
      </w:pPr>
      <w:r>
        <w:rPr>
          <w:rFonts w:ascii="Calibri" w:hAnsi="Calibri"/>
          <w:b/>
          <w:color w:val="1B355E"/>
          <w:sz w:val="25"/>
        </w:rPr>
        <w:t>2.1  Directory tree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churn_project/</w:t>
            </w:r>
          </w:p>
          <w:p>
            <w:pPr>
              <w:spacing w:after="0" w:before="0" w:line="240" w:lineRule="auto"/>
            </w:pPr>
            <w:r>
              <w:rPr>
                <w:rFonts w:ascii="Consolas" w:hAnsi="Consolas" w:eastAsia="Consolas"/>
                <w:color w:val="1A232E"/>
                <w:sz w:val="16"/>
              </w:rPr>
              <w:t>└── customer_churn/                     &lt;- working directory for all scripts</w:t>
            </w:r>
          </w:p>
          <w:p>
            <w:pPr>
              <w:spacing w:after="0" w:before="0" w:line="240" w:lineRule="auto"/>
            </w:pPr>
            <w:r>
              <w:rPr>
                <w:rFonts w:ascii="Consolas" w:hAnsi="Consolas" w:eastAsia="Consolas"/>
                <w:color w:val="1A232E"/>
                <w:sz w:val="16"/>
              </w:rPr>
              <w:t xml:space="preserve">    │</w:t>
            </w:r>
          </w:p>
          <w:p>
            <w:pPr>
              <w:spacing w:after="0" w:before="0" w:line="240" w:lineRule="auto"/>
            </w:pPr>
            <w:r>
              <w:rPr>
                <w:rFonts w:ascii="Consolas" w:hAnsi="Consolas" w:eastAsia="Consolas"/>
                <w:color w:val="1A232E"/>
                <w:sz w:val="16"/>
              </w:rPr>
              <w:t xml:space="preserve">    ├── phase1_data_understanding.py       97 lines   data profiling</w:t>
            </w:r>
          </w:p>
          <w:p>
            <w:pPr>
              <w:spacing w:after="0" w:before="0" w:line="240" w:lineRule="auto"/>
            </w:pPr>
            <w:r>
              <w:rPr>
                <w:rFonts w:ascii="Consolas" w:hAnsi="Consolas" w:eastAsia="Consolas"/>
                <w:color w:val="1A232E"/>
                <w:sz w:val="16"/>
              </w:rPr>
              <w:t xml:space="preserve">    ├── phase2_data_cleaning.py           160 lines   cleaning and validation</w:t>
            </w:r>
          </w:p>
          <w:p>
            <w:pPr>
              <w:spacing w:after="0" w:before="0" w:line="240" w:lineRule="auto"/>
            </w:pPr>
            <w:r>
              <w:rPr>
                <w:rFonts w:ascii="Consolas" w:hAnsi="Consolas" w:eastAsia="Consolas"/>
                <w:color w:val="1A232E"/>
                <w:sz w:val="16"/>
              </w:rPr>
              <w:t xml:space="preserve">    ├── phase3_eda.py                     317 lines   exploratory analysis</w:t>
            </w:r>
          </w:p>
          <w:p>
            <w:pPr>
              <w:spacing w:after="0" w:before="0" w:line="240" w:lineRule="auto"/>
            </w:pPr>
            <w:r>
              <w:rPr>
                <w:rFonts w:ascii="Consolas" w:hAnsi="Consolas" w:eastAsia="Consolas"/>
                <w:color w:val="1A232E"/>
                <w:sz w:val="16"/>
              </w:rPr>
              <w:t xml:space="preserve">    ├── phase4_feature_engineering.py     235 lines   feature construction</w:t>
            </w:r>
          </w:p>
          <w:p>
            <w:pPr>
              <w:spacing w:after="0" w:before="0" w:line="240" w:lineRule="auto"/>
            </w:pPr>
            <w:r>
              <w:rPr>
                <w:rFonts w:ascii="Consolas" w:hAnsi="Consolas" w:eastAsia="Consolas"/>
                <w:color w:val="1A232E"/>
                <w:sz w:val="16"/>
              </w:rPr>
              <w:t xml:space="preserve">    ├── phase5_customer_segmentation.py   361 lines   K-Means segmentation</w:t>
            </w:r>
          </w:p>
          <w:p>
            <w:pPr>
              <w:spacing w:after="0" w:before="0" w:line="240" w:lineRule="auto"/>
            </w:pPr>
            <w:r>
              <w:rPr>
                <w:rFonts w:ascii="Consolas" w:hAnsi="Consolas" w:eastAsia="Consolas"/>
                <w:color w:val="1A232E"/>
                <w:sz w:val="16"/>
              </w:rPr>
              <w:t xml:space="preserve">    ├── phase6_model_development.py       539 lines   modelling and evaluation</w:t>
            </w:r>
          </w:p>
          <w:p>
            <w:pPr>
              <w:spacing w:after="0" w:before="0" w:line="240" w:lineRule="auto"/>
            </w:pPr>
            <w:r>
              <w:rPr>
                <w:rFonts w:ascii="Consolas" w:hAnsi="Consolas" w:eastAsia="Consolas"/>
                <w:color w:val="1A232E"/>
                <w:sz w:val="16"/>
              </w:rPr>
              <w:t xml:space="preserve">    │</w:t>
            </w:r>
          </w:p>
          <w:p>
            <w:pPr>
              <w:spacing w:after="0" w:before="0" w:line="240" w:lineRule="auto"/>
            </w:pPr>
            <w:r>
              <w:rPr>
                <w:rFonts w:ascii="Consolas" w:hAnsi="Consolas" w:eastAsia="Consolas"/>
                <w:color w:val="1A232E"/>
                <w:sz w:val="16"/>
              </w:rPr>
              <w:t xml:space="preserve">    ├── data/</w:t>
            </w:r>
          </w:p>
          <w:p>
            <w:pPr>
              <w:spacing w:after="0" w:before="0" w:line="240" w:lineRule="auto"/>
            </w:pPr>
            <w:r>
              <w:rPr>
                <w:rFonts w:ascii="Consolas" w:hAnsi="Consolas" w:eastAsia="Consolas"/>
                <w:color w:val="1A232E"/>
                <w:sz w:val="16"/>
              </w:rPr>
              <w:t xml:space="preserve">    │   ├── Customer-Churn.csv                  raw input, 7 043 x 21</w:t>
            </w:r>
          </w:p>
          <w:p>
            <w:pPr>
              <w:spacing w:after="0" w:before="0" w:line="240" w:lineRule="auto"/>
            </w:pPr>
            <w:r>
              <w:rPr>
                <w:rFonts w:ascii="Consolas" w:hAnsi="Consolas" w:eastAsia="Consolas"/>
                <w:color w:val="1A232E"/>
                <w:sz w:val="16"/>
              </w:rPr>
              <w:t xml:space="preserve">    │   ├── Customer-Churn-Cleaned.csv          phase 2 output, 7 043 x 21</w:t>
            </w:r>
          </w:p>
          <w:p>
            <w:pPr>
              <w:spacing w:after="0" w:before="0" w:line="240" w:lineRule="auto"/>
            </w:pPr>
            <w:r>
              <w:rPr>
                <w:rFonts w:ascii="Consolas" w:hAnsi="Consolas" w:eastAsia="Consolas"/>
                <w:color w:val="1A232E"/>
                <w:sz w:val="16"/>
              </w:rPr>
              <w:t xml:space="preserve">    │   ├── Customer-Churn-Model-Ready.csv      phase 4 output, 7 043 x 36</w:t>
            </w:r>
          </w:p>
          <w:p>
            <w:pPr>
              <w:spacing w:after="0" w:before="0" w:line="240" w:lineRule="auto"/>
            </w:pPr>
            <w:r>
              <w:rPr>
                <w:rFonts w:ascii="Consolas" w:hAnsi="Consolas" w:eastAsia="Consolas"/>
                <w:color w:val="1A232E"/>
                <w:sz w:val="16"/>
              </w:rPr>
              <w:t xml:space="preserve">    │   ├── Customer-Churn-Segmented.csv        phase 5 output, 7 043 x 25</w:t>
            </w:r>
          </w:p>
          <w:p>
            <w:pPr>
              <w:spacing w:after="0" w:before="0" w:line="240" w:lineRule="auto"/>
            </w:pPr>
            <w:r>
              <w:rPr>
                <w:rFonts w:ascii="Consolas" w:hAnsi="Consolas" w:eastAsia="Consolas"/>
                <w:color w:val="1A232E"/>
                <w:sz w:val="16"/>
              </w:rPr>
              <w:t xml:space="preserve">    │   └── phase6_model_performance.csv        phase 6 metric table</w:t>
            </w:r>
          </w:p>
          <w:p>
            <w:pPr>
              <w:spacing w:after="0" w:before="0" w:line="240" w:lineRule="auto"/>
            </w:pPr>
            <w:r>
              <w:rPr>
                <w:rFonts w:ascii="Consolas" w:hAnsi="Consolas" w:eastAsia="Consolas"/>
                <w:color w:val="1A232E"/>
                <w:sz w:val="16"/>
              </w:rPr>
              <w:t xml:space="preserve">    │</w:t>
            </w:r>
          </w:p>
          <w:p>
            <w:pPr>
              <w:spacing w:after="0" w:before="0" w:line="240" w:lineRule="auto"/>
            </w:pPr>
            <w:r>
              <w:rPr>
                <w:rFonts w:ascii="Consolas" w:hAnsi="Consolas" w:eastAsia="Consolas"/>
                <w:color w:val="1A232E"/>
                <w:sz w:val="16"/>
              </w:rPr>
              <w:t xml:space="preserve">    ├── charts/                                 16 generated PNG figures</w:t>
            </w:r>
          </w:p>
          <w:p>
            <w:pPr>
              <w:spacing w:after="0" w:before="0" w:line="240" w:lineRule="auto"/>
            </w:pPr>
            <w:r>
              <w:rPr>
                <w:rFonts w:ascii="Consolas" w:hAnsi="Consolas" w:eastAsia="Consolas"/>
                <w:color w:val="1A232E"/>
                <w:sz w:val="16"/>
              </w:rPr>
              <w:t xml:space="preserve">    │   ├── phase3_*.png                        9 exploratory charts</w:t>
            </w:r>
          </w:p>
          <w:p>
            <w:pPr>
              <w:spacing w:after="0" w:before="0" w:line="240" w:lineRule="auto"/>
            </w:pPr>
            <w:r>
              <w:rPr>
                <w:rFonts w:ascii="Consolas" w:hAnsi="Consolas" w:eastAsia="Consolas"/>
                <w:color w:val="1A232E"/>
                <w:sz w:val="16"/>
              </w:rPr>
              <w:t xml:space="preserve">    │   ├── phase5_*.png                        4 segmentation charts</w:t>
            </w:r>
          </w:p>
          <w:p>
            <w:pPr>
              <w:spacing w:after="0" w:before="0" w:line="240" w:lineRule="auto"/>
            </w:pPr>
            <w:r>
              <w:rPr>
                <w:rFonts w:ascii="Consolas" w:hAnsi="Consolas" w:eastAsia="Consolas"/>
                <w:color w:val="1A232E"/>
                <w:sz w:val="16"/>
              </w:rPr>
              <w:t xml:space="preserve">    │   └── phase6_*.png                        3 evaluation charts</w:t>
            </w:r>
          </w:p>
          <w:p>
            <w:pPr>
              <w:spacing w:after="0" w:before="0" w:line="240" w:lineRule="auto"/>
            </w:pPr>
            <w:r>
              <w:rPr>
                <w:rFonts w:ascii="Consolas" w:hAnsi="Consolas" w:eastAsia="Consolas"/>
                <w:color w:val="1A232E"/>
                <w:sz w:val="16"/>
              </w:rPr>
              <w:t xml:space="preserve">    │</w:t>
            </w:r>
          </w:p>
          <w:p>
            <w:pPr>
              <w:spacing w:after="0" w:before="0" w:line="240" w:lineRule="auto"/>
            </w:pPr>
            <w:r>
              <w:rPr>
                <w:rFonts w:ascii="Consolas" w:hAnsi="Consolas" w:eastAsia="Consolas"/>
                <w:color w:val="1A232E"/>
                <w:sz w:val="16"/>
              </w:rPr>
              <w:t xml:space="preserve">    └── models/</w:t>
            </w:r>
          </w:p>
          <w:p>
            <w:pPr>
              <w:spacing w:after="0" w:before="0" w:line="240" w:lineRule="auto"/>
            </w:pPr>
            <w:r>
              <w:rPr>
                <w:rFonts w:ascii="Consolas" w:hAnsi="Consolas" w:eastAsia="Consolas"/>
                <w:color w:val="1A232E"/>
                <w:sz w:val="16"/>
              </w:rPr>
              <w:t xml:space="preserve">        ├── best_churn_model.joblib             238 KB, fitted Pipeline</w:t>
            </w:r>
          </w:p>
          <w:p>
            <w:pPr>
              <w:spacing w:after="0" w:before="0" w:line="240" w:lineRule="auto"/>
            </w:pPr>
            <w:r>
              <w:rPr>
                <w:rFonts w:ascii="Consolas" w:hAnsi="Consolas" w:eastAsia="Consolas"/>
                <w:color w:val="1A232E"/>
                <w:sz w:val="16"/>
              </w:rPr>
              <w:t xml:space="preserve">        └── enhanced_churn_model.joblib         625 KB, see Section 15.6</w:t>
            </w:r>
          </w:p>
        </w:tc>
      </w:tr>
    </w:tbl>
    <w:p>
      <w:pPr>
        <w:spacing w:before="60" w:after="180"/>
        <w:jc w:val="center"/>
      </w:pPr>
      <w:r>
        <w:rPr>
          <w:i/>
          <w:color w:val="555F6B"/>
          <w:sz w:val="17"/>
        </w:rPr>
        <w:t>Listing 1: Directory layout of the delivered codebase.</w:t>
      </w:r>
    </w:p>
    <w:p>
      <w:pPr>
        <w:keepNext/>
        <w:spacing w:before="240" w:after="80"/>
      </w:pPr>
      <w:r>
        <w:rPr>
          <w:rFonts w:ascii="Calibri" w:hAnsi="Calibri"/>
          <w:b/>
          <w:color w:val="1B355E"/>
          <w:sz w:val="25"/>
        </w:rPr>
        <w:t>2.2  Module inventory</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476"/>
        <w:gridCol w:w="604"/>
        <w:gridCol w:w="1699"/>
        <w:gridCol w:w="2476"/>
        <w:gridCol w:w="2059"/>
      </w:tblGrid>
      <w:tr>
        <w:tc>
          <w:tcPr>
            <w:tcW w:type="dxa" w:w="2477"/>
            <w:shd w:val="clear" w:color="auto" w:fill="1B355E"/>
          </w:tcPr>
          <w:p>
            <w:pPr>
              <w:spacing w:after="20" w:before="20"/>
              <w:jc w:val="center"/>
            </w:pPr>
            <w:r>
              <w:rPr>
                <w:b/>
                <w:color w:val="FFFFFF"/>
                <w:sz w:val="17"/>
              </w:rPr>
              <w:t>Module</w:t>
            </w:r>
          </w:p>
        </w:tc>
        <w:tc>
          <w:tcPr>
            <w:tcW w:type="dxa" w:w="605"/>
            <w:shd w:val="clear" w:color="auto" w:fill="1B355E"/>
          </w:tcPr>
          <w:p>
            <w:pPr>
              <w:spacing w:after="20" w:before="20"/>
              <w:jc w:val="center"/>
            </w:pPr>
            <w:r>
              <w:rPr>
                <w:b/>
                <w:color w:val="FFFFFF"/>
                <w:sz w:val="17"/>
              </w:rPr>
              <w:t>LOC</w:t>
            </w:r>
          </w:p>
        </w:tc>
        <w:tc>
          <w:tcPr>
            <w:tcW w:type="dxa" w:w="1699"/>
            <w:shd w:val="clear" w:color="auto" w:fill="1B355E"/>
          </w:tcPr>
          <w:p>
            <w:pPr>
              <w:spacing w:after="20" w:before="20"/>
              <w:jc w:val="center"/>
            </w:pPr>
            <w:r>
              <w:rPr>
                <w:b/>
                <w:color w:val="FFFFFF"/>
                <w:sz w:val="17"/>
              </w:rPr>
              <w:t>Reads</w:t>
            </w:r>
          </w:p>
        </w:tc>
        <w:tc>
          <w:tcPr>
            <w:tcW w:type="dxa" w:w="2477"/>
            <w:shd w:val="clear" w:color="auto" w:fill="1B355E"/>
          </w:tcPr>
          <w:p>
            <w:pPr>
              <w:spacing w:after="20" w:before="20"/>
              <w:jc w:val="center"/>
            </w:pPr>
            <w:r>
              <w:rPr>
                <w:b/>
                <w:color w:val="FFFFFF"/>
                <w:sz w:val="17"/>
              </w:rPr>
              <w:t>Writes</w:t>
            </w:r>
          </w:p>
        </w:tc>
        <w:tc>
          <w:tcPr>
            <w:tcW w:type="dxa" w:w="2059"/>
            <w:shd w:val="clear" w:color="auto" w:fill="1B355E"/>
          </w:tcPr>
          <w:p>
            <w:pPr>
              <w:spacing w:after="20" w:before="20"/>
              <w:jc w:val="center"/>
            </w:pPr>
            <w:r>
              <w:rPr>
                <w:b/>
                <w:color w:val="FFFFFF"/>
                <w:sz w:val="17"/>
              </w:rPr>
              <w:t>Key libraries</w:t>
            </w:r>
          </w:p>
        </w:tc>
      </w:tr>
      <w:tr>
        <w:tc>
          <w:tcPr>
            <w:tcW w:type="dxa" w:w="2477"/>
          </w:tcPr>
          <w:p>
            <w:pPr>
              <w:spacing w:after="20" w:before="20" w:line="254" w:lineRule="auto"/>
              <w:jc w:val="left"/>
            </w:pPr>
            <w:r>
              <w:rPr>
                <w:rFonts w:ascii="Consolas" w:hAnsi="Consolas" w:eastAsia="Consolas"/>
                <w:color w:val="8A2C1F"/>
                <w:sz w:val="15"/>
              </w:rPr>
              <w:t>phase1_data_understanding.py</w:t>
            </w:r>
          </w:p>
        </w:tc>
        <w:tc>
          <w:tcPr>
            <w:tcW w:type="dxa" w:w="605"/>
          </w:tcPr>
          <w:p>
            <w:pPr>
              <w:spacing w:after="20" w:before="20" w:line="254" w:lineRule="auto"/>
              <w:jc w:val="center"/>
            </w:pPr>
            <w:r>
              <w:rPr>
                <w:sz w:val="16"/>
              </w:rPr>
              <w:t>97</w:t>
            </w:r>
          </w:p>
        </w:tc>
        <w:tc>
          <w:tcPr>
            <w:tcW w:type="dxa" w:w="1699"/>
          </w:tcPr>
          <w:p>
            <w:pPr>
              <w:spacing w:after="20" w:before="20" w:line="254" w:lineRule="auto"/>
              <w:jc w:val="center"/>
            </w:pPr>
            <w:r>
              <w:rPr>
                <w:rFonts w:ascii="Consolas" w:hAnsi="Consolas" w:eastAsia="Consolas"/>
                <w:color w:val="8A2C1F"/>
                <w:sz w:val="15"/>
              </w:rPr>
              <w:t>Customer-Churn.csv</w:t>
            </w:r>
          </w:p>
        </w:tc>
        <w:tc>
          <w:tcPr>
            <w:tcW w:type="dxa" w:w="2477"/>
          </w:tcPr>
          <w:p>
            <w:pPr>
              <w:spacing w:after="20" w:before="20" w:line="254" w:lineRule="auto"/>
              <w:jc w:val="center"/>
            </w:pPr>
            <w:r>
              <w:rPr>
                <w:sz w:val="16"/>
              </w:rPr>
              <w:t>console only</w:t>
            </w:r>
          </w:p>
        </w:tc>
        <w:tc>
          <w:tcPr>
            <w:tcW w:type="dxa" w:w="2059"/>
          </w:tcPr>
          <w:p>
            <w:pPr>
              <w:spacing w:after="20" w:before="20" w:line="254" w:lineRule="auto"/>
              <w:jc w:val="center"/>
            </w:pPr>
            <w:r>
              <w:rPr>
                <w:sz w:val="16"/>
              </w:rPr>
              <w:t>pandas</w:t>
            </w:r>
          </w:p>
        </w:tc>
      </w:tr>
      <w:tr>
        <w:tc>
          <w:tcPr>
            <w:tcW w:type="dxa" w:w="2477"/>
            <w:shd w:val="clear" w:color="auto" w:fill="F2F5F9"/>
          </w:tcPr>
          <w:p>
            <w:pPr>
              <w:spacing w:after="20" w:before="20" w:line="254" w:lineRule="auto"/>
              <w:jc w:val="left"/>
            </w:pPr>
            <w:r>
              <w:rPr>
                <w:rFonts w:ascii="Consolas" w:hAnsi="Consolas" w:eastAsia="Consolas"/>
                <w:color w:val="8A2C1F"/>
                <w:sz w:val="15"/>
              </w:rPr>
              <w:t>phase2_data_cleaning.py</w:t>
            </w:r>
          </w:p>
        </w:tc>
        <w:tc>
          <w:tcPr>
            <w:tcW w:type="dxa" w:w="605"/>
            <w:shd w:val="clear" w:color="auto" w:fill="F2F5F9"/>
          </w:tcPr>
          <w:p>
            <w:pPr>
              <w:spacing w:after="20" w:before="20" w:line="254" w:lineRule="auto"/>
              <w:jc w:val="center"/>
            </w:pPr>
            <w:r>
              <w:rPr>
                <w:sz w:val="16"/>
              </w:rPr>
              <w:t>160</w:t>
            </w:r>
          </w:p>
        </w:tc>
        <w:tc>
          <w:tcPr>
            <w:tcW w:type="dxa" w:w="1699"/>
            <w:shd w:val="clear" w:color="auto" w:fill="F2F5F9"/>
          </w:tcPr>
          <w:p>
            <w:pPr>
              <w:spacing w:after="20" w:before="20" w:line="254" w:lineRule="auto"/>
              <w:jc w:val="center"/>
            </w:pPr>
            <w:r>
              <w:rPr>
                <w:rFonts w:ascii="Consolas" w:hAnsi="Consolas" w:eastAsia="Consolas"/>
                <w:color w:val="8A2C1F"/>
                <w:sz w:val="15"/>
              </w:rPr>
              <w:t>Customer-Churn.csv</w:t>
            </w:r>
          </w:p>
        </w:tc>
        <w:tc>
          <w:tcPr>
            <w:tcW w:type="dxa" w:w="2477"/>
            <w:shd w:val="clear" w:color="auto" w:fill="F2F5F9"/>
          </w:tcPr>
          <w:p>
            <w:pPr>
              <w:spacing w:after="20" w:before="20" w:line="254" w:lineRule="auto"/>
              <w:jc w:val="left"/>
            </w:pPr>
            <w:r>
              <w:rPr>
                <w:rFonts w:ascii="Consolas" w:hAnsi="Consolas" w:eastAsia="Consolas"/>
                <w:color w:val="8A2C1F"/>
                <w:sz w:val="15"/>
              </w:rPr>
              <w:t>Customer-Churn-Cleaned.csv</w:t>
            </w:r>
          </w:p>
        </w:tc>
        <w:tc>
          <w:tcPr>
            <w:tcW w:type="dxa" w:w="2059"/>
            <w:shd w:val="clear" w:color="auto" w:fill="F2F5F9"/>
          </w:tcPr>
          <w:p>
            <w:pPr>
              <w:spacing w:after="20" w:before="20" w:line="254" w:lineRule="auto"/>
              <w:jc w:val="center"/>
            </w:pPr>
            <w:r>
              <w:rPr>
                <w:sz w:val="16"/>
              </w:rPr>
              <w:t>pandas</w:t>
            </w:r>
          </w:p>
        </w:tc>
      </w:tr>
      <w:tr>
        <w:tc>
          <w:tcPr>
            <w:tcW w:type="dxa" w:w="2477"/>
          </w:tcPr>
          <w:p>
            <w:pPr>
              <w:spacing w:after="20" w:before="20" w:line="254" w:lineRule="auto"/>
              <w:jc w:val="left"/>
            </w:pPr>
            <w:r>
              <w:rPr>
                <w:rFonts w:ascii="Consolas" w:hAnsi="Consolas" w:eastAsia="Consolas"/>
                <w:color w:val="8A2C1F"/>
                <w:sz w:val="15"/>
              </w:rPr>
              <w:t>phase3_eda.py</w:t>
            </w:r>
          </w:p>
        </w:tc>
        <w:tc>
          <w:tcPr>
            <w:tcW w:type="dxa" w:w="605"/>
          </w:tcPr>
          <w:p>
            <w:pPr>
              <w:spacing w:after="20" w:before="20" w:line="254" w:lineRule="auto"/>
              <w:jc w:val="center"/>
            </w:pPr>
            <w:r>
              <w:rPr>
                <w:sz w:val="16"/>
              </w:rPr>
              <w:t>317</w:t>
            </w:r>
          </w:p>
        </w:tc>
        <w:tc>
          <w:tcPr>
            <w:tcW w:type="dxa" w:w="1699"/>
          </w:tcPr>
          <w:p>
            <w:pPr>
              <w:spacing w:after="20" w:before="20" w:line="254" w:lineRule="auto"/>
              <w:jc w:val="left"/>
            </w:pPr>
            <w:r>
              <w:rPr>
                <w:rFonts w:ascii="Consolas" w:hAnsi="Consolas" w:eastAsia="Consolas"/>
                <w:color w:val="8A2C1F"/>
                <w:sz w:val="15"/>
              </w:rPr>
              <w:t>Customer-Churn-Cleaned.csv</w:t>
            </w:r>
          </w:p>
        </w:tc>
        <w:tc>
          <w:tcPr>
            <w:tcW w:type="dxa" w:w="2477"/>
          </w:tcPr>
          <w:p>
            <w:pPr>
              <w:spacing w:after="20" w:before="20" w:line="254" w:lineRule="auto"/>
              <w:jc w:val="center"/>
            </w:pPr>
            <w:r>
              <w:rPr>
                <w:sz w:val="16"/>
              </w:rPr>
              <w:t>9 charts</w:t>
            </w:r>
          </w:p>
        </w:tc>
        <w:tc>
          <w:tcPr>
            <w:tcW w:type="dxa" w:w="2059"/>
          </w:tcPr>
          <w:p>
            <w:pPr>
              <w:spacing w:after="20" w:before="20" w:line="254" w:lineRule="auto"/>
              <w:jc w:val="left"/>
            </w:pPr>
            <w:r>
              <w:rPr>
                <w:sz w:val="16"/>
              </w:rPr>
              <w:t>pandas, matplotlib, seaborn</w:t>
            </w:r>
          </w:p>
        </w:tc>
      </w:tr>
      <w:tr>
        <w:tc>
          <w:tcPr>
            <w:tcW w:type="dxa" w:w="2477"/>
            <w:shd w:val="clear" w:color="auto" w:fill="F2F5F9"/>
          </w:tcPr>
          <w:p>
            <w:pPr>
              <w:spacing w:after="20" w:before="20" w:line="254" w:lineRule="auto"/>
              <w:jc w:val="left"/>
            </w:pPr>
            <w:r>
              <w:rPr>
                <w:rFonts w:ascii="Consolas" w:hAnsi="Consolas" w:eastAsia="Consolas"/>
                <w:color w:val="8A2C1F"/>
                <w:sz w:val="15"/>
              </w:rPr>
              <w:t>phase4_feature_engineering.py</w:t>
            </w:r>
          </w:p>
        </w:tc>
        <w:tc>
          <w:tcPr>
            <w:tcW w:type="dxa" w:w="605"/>
            <w:shd w:val="clear" w:color="auto" w:fill="F2F5F9"/>
          </w:tcPr>
          <w:p>
            <w:pPr>
              <w:spacing w:after="20" w:before="20" w:line="254" w:lineRule="auto"/>
              <w:jc w:val="center"/>
            </w:pPr>
            <w:r>
              <w:rPr>
                <w:sz w:val="16"/>
              </w:rPr>
              <w:t>235</w:t>
            </w:r>
          </w:p>
        </w:tc>
        <w:tc>
          <w:tcPr>
            <w:tcW w:type="dxa" w:w="1699"/>
            <w:shd w:val="clear" w:color="auto" w:fill="F2F5F9"/>
          </w:tcPr>
          <w:p>
            <w:pPr>
              <w:spacing w:after="20" w:before="20" w:line="254" w:lineRule="auto"/>
              <w:jc w:val="left"/>
            </w:pPr>
            <w:r>
              <w:rPr>
                <w:rFonts w:ascii="Consolas" w:hAnsi="Consolas" w:eastAsia="Consolas"/>
                <w:color w:val="8A2C1F"/>
                <w:sz w:val="15"/>
              </w:rPr>
              <w:t>Customer-Churn-Cleaned.csv</w:t>
            </w:r>
          </w:p>
        </w:tc>
        <w:tc>
          <w:tcPr>
            <w:tcW w:type="dxa" w:w="2477"/>
            <w:shd w:val="clear" w:color="auto" w:fill="F2F5F9"/>
          </w:tcPr>
          <w:p>
            <w:pPr>
              <w:spacing w:after="20" w:before="20" w:line="254" w:lineRule="auto"/>
              <w:jc w:val="left"/>
            </w:pPr>
            <w:r>
              <w:rPr>
                <w:rFonts w:ascii="Consolas" w:hAnsi="Consolas" w:eastAsia="Consolas"/>
                <w:color w:val="8A2C1F"/>
                <w:sz w:val="15"/>
              </w:rPr>
              <w:t>Customer-Churn-Model-Ready.csv</w:t>
            </w:r>
          </w:p>
        </w:tc>
        <w:tc>
          <w:tcPr>
            <w:tcW w:type="dxa" w:w="2059"/>
            <w:shd w:val="clear" w:color="auto" w:fill="F2F5F9"/>
          </w:tcPr>
          <w:p>
            <w:pPr>
              <w:spacing w:after="20" w:before="20" w:line="254" w:lineRule="auto"/>
              <w:jc w:val="center"/>
            </w:pPr>
            <w:r>
              <w:rPr>
                <w:sz w:val="16"/>
              </w:rPr>
              <w:t>pandas, scikit-learn</w:t>
            </w:r>
          </w:p>
        </w:tc>
      </w:tr>
      <w:tr>
        <w:tc>
          <w:tcPr>
            <w:tcW w:type="dxa" w:w="2477"/>
          </w:tcPr>
          <w:p>
            <w:pPr>
              <w:spacing w:after="20" w:before="20" w:line="254" w:lineRule="auto"/>
              <w:jc w:val="left"/>
            </w:pPr>
            <w:r>
              <w:rPr>
                <w:rFonts w:ascii="Consolas" w:hAnsi="Consolas" w:eastAsia="Consolas"/>
                <w:color w:val="8A2C1F"/>
                <w:sz w:val="15"/>
              </w:rPr>
              <w:t>phase5_customer_segmentation.py</w:t>
            </w:r>
          </w:p>
        </w:tc>
        <w:tc>
          <w:tcPr>
            <w:tcW w:type="dxa" w:w="605"/>
          </w:tcPr>
          <w:p>
            <w:pPr>
              <w:spacing w:after="20" w:before="20" w:line="254" w:lineRule="auto"/>
              <w:jc w:val="center"/>
            </w:pPr>
            <w:r>
              <w:rPr>
                <w:sz w:val="16"/>
              </w:rPr>
              <w:t>361</w:t>
            </w:r>
          </w:p>
        </w:tc>
        <w:tc>
          <w:tcPr>
            <w:tcW w:type="dxa" w:w="1699"/>
          </w:tcPr>
          <w:p>
            <w:pPr>
              <w:spacing w:after="20" w:before="20" w:line="254" w:lineRule="auto"/>
              <w:jc w:val="left"/>
            </w:pPr>
            <w:r>
              <w:rPr>
                <w:rFonts w:ascii="Consolas" w:hAnsi="Consolas" w:eastAsia="Consolas"/>
                <w:color w:val="8A2C1F"/>
                <w:sz w:val="15"/>
              </w:rPr>
              <w:t>Customer-Churn-Cleaned.csv</w:t>
            </w:r>
          </w:p>
        </w:tc>
        <w:tc>
          <w:tcPr>
            <w:tcW w:type="dxa" w:w="2477"/>
          </w:tcPr>
          <w:p>
            <w:pPr>
              <w:spacing w:after="20" w:before="20" w:line="254" w:lineRule="auto"/>
              <w:jc w:val="left"/>
            </w:pPr>
            <w:r>
              <w:rPr>
                <w:rFonts w:ascii="Consolas" w:hAnsi="Consolas" w:eastAsia="Consolas"/>
                <w:color w:val="8A2C1F"/>
                <w:sz w:val="15"/>
              </w:rPr>
              <w:t>Customer-Churn-Segmented.csv</w:t>
            </w:r>
            <w:r>
              <w:rPr>
                <w:sz w:val="16"/>
              </w:rPr>
              <w:t>, 4 charts</w:t>
            </w:r>
          </w:p>
        </w:tc>
        <w:tc>
          <w:tcPr>
            <w:tcW w:type="dxa" w:w="2059"/>
          </w:tcPr>
          <w:p>
            <w:pPr>
              <w:spacing w:after="20" w:before="20" w:line="254" w:lineRule="auto"/>
              <w:jc w:val="center"/>
            </w:pPr>
            <w:r>
              <w:rPr>
                <w:sz w:val="16"/>
              </w:rPr>
              <w:t>scikit-learn, seaborn</w:t>
            </w:r>
          </w:p>
        </w:tc>
      </w:tr>
      <w:tr>
        <w:tc>
          <w:tcPr>
            <w:tcW w:type="dxa" w:w="2477"/>
            <w:shd w:val="clear" w:color="auto" w:fill="F2F5F9"/>
          </w:tcPr>
          <w:p>
            <w:pPr>
              <w:spacing w:after="20" w:before="20" w:line="254" w:lineRule="auto"/>
              <w:jc w:val="left"/>
            </w:pPr>
            <w:r>
              <w:rPr>
                <w:rFonts w:ascii="Consolas" w:hAnsi="Consolas" w:eastAsia="Consolas"/>
                <w:color w:val="8A2C1F"/>
                <w:sz w:val="15"/>
              </w:rPr>
              <w:t>phase6_model_development.py</w:t>
            </w:r>
          </w:p>
        </w:tc>
        <w:tc>
          <w:tcPr>
            <w:tcW w:type="dxa" w:w="605"/>
            <w:shd w:val="clear" w:color="auto" w:fill="F2F5F9"/>
          </w:tcPr>
          <w:p>
            <w:pPr>
              <w:spacing w:after="20" w:before="20" w:line="254" w:lineRule="auto"/>
              <w:jc w:val="center"/>
            </w:pPr>
            <w:r>
              <w:rPr>
                <w:sz w:val="16"/>
              </w:rPr>
              <w:t>539</w:t>
            </w:r>
          </w:p>
        </w:tc>
        <w:tc>
          <w:tcPr>
            <w:tcW w:type="dxa" w:w="1699"/>
            <w:shd w:val="clear" w:color="auto" w:fill="F2F5F9"/>
          </w:tcPr>
          <w:p>
            <w:pPr>
              <w:spacing w:after="20" w:before="20" w:line="254" w:lineRule="auto"/>
              <w:jc w:val="left"/>
            </w:pPr>
            <w:r>
              <w:rPr>
                <w:rFonts w:ascii="Consolas" w:hAnsi="Consolas" w:eastAsia="Consolas"/>
                <w:color w:val="8A2C1F"/>
                <w:sz w:val="15"/>
              </w:rPr>
              <w:t>Customer-Churn-Segmented.csv</w:t>
            </w:r>
          </w:p>
        </w:tc>
        <w:tc>
          <w:tcPr>
            <w:tcW w:type="dxa" w:w="2477"/>
            <w:shd w:val="clear" w:color="auto" w:fill="F2F5F9"/>
          </w:tcPr>
          <w:p>
            <w:pPr>
              <w:spacing w:after="20" w:before="20" w:line="254" w:lineRule="auto"/>
              <w:jc w:val="left"/>
            </w:pPr>
            <w:r>
              <w:rPr>
                <w:rFonts w:ascii="Consolas" w:hAnsi="Consolas" w:eastAsia="Consolas"/>
                <w:color w:val="8A2C1F"/>
                <w:sz w:val="15"/>
              </w:rPr>
              <w:t>best_churn_model.joblib</w:t>
            </w:r>
            <w:r>
              <w:rPr>
                <w:sz w:val="16"/>
              </w:rPr>
              <w:t>, metric CSV, 3 charts</w:t>
            </w:r>
          </w:p>
        </w:tc>
        <w:tc>
          <w:tcPr>
            <w:tcW w:type="dxa" w:w="2059"/>
            <w:shd w:val="clear" w:color="auto" w:fill="F2F5F9"/>
          </w:tcPr>
          <w:p>
            <w:pPr>
              <w:spacing w:after="20" w:before="20" w:line="254" w:lineRule="auto"/>
              <w:jc w:val="left"/>
            </w:pPr>
            <w:r>
              <w:rPr>
                <w:sz w:val="16"/>
              </w:rPr>
              <w:t>scikit-learn, xgboost, joblib</w:t>
            </w:r>
          </w:p>
        </w:tc>
      </w:tr>
    </w:tbl>
    <w:p>
      <w:pPr>
        <w:spacing w:before="80" w:after="200"/>
        <w:jc w:val="center"/>
      </w:pPr>
      <w:r>
        <w:rPr>
          <w:i/>
          <w:color w:val="555F6B"/>
          <w:sz w:val="17"/>
        </w:rPr>
        <w:t>Table 1: Module inventory showing size, file dependencies and principal libraries.</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FFF6E5"/>
          </w:tcPr>
          <w:p>
            <w:pPr>
              <w:spacing w:after="40"/>
            </w:pPr>
            <w:r>
              <w:rPr>
                <w:b/>
                <w:color w:val="8A5A10"/>
                <w:sz w:val="19"/>
              </w:rPr>
              <w:t>Execution order is mandatory.</w:t>
            </w:r>
          </w:p>
          <w:p>
            <w:pPr>
              <w:spacing w:after="0"/>
              <w:jc w:val="both"/>
            </w:pPr>
            <w:r>
              <w:rPr>
                <w:sz w:val="19"/>
              </w:rPr>
              <w:t>Each script reads a file that the previous script wrote. Running phase 6 before phase 5 raises FileNotFoundError, because Customer-Churn-Segmented.csv will not exist. The one exception is phase 1, which only profiles the raw file and can be run at any time. Phases 3, 4 and 5 all read the same cleaned file and are therefore independent of one another, but all three require phase 2 to have completed.</w:t>
            </w:r>
          </w:p>
        </w:tc>
      </w:tr>
    </w:tbl>
    <w:p>
      <w:pPr>
        <w:spacing w:after="120"/>
      </w:pPr>
    </w:p>
    <w:p>
      <w:r>
        <w:br w:type="page"/>
      </w:r>
    </w:p>
    <w:p>
      <w:pPr>
        <w:spacing w:after="0"/>
      </w:pPr>
    </w:p>
    <w:p>
      <w:pPr>
        <w:keepNext/>
        <w:spacing w:before="80" w:after="40"/>
        <w:pBdr>
          <w:bottom w:val="single" w:sz="10" w:space="3" w:color="1B355E"/>
        </w:pBdr>
      </w:pPr>
      <w:r>
        <w:rPr>
          <w:rFonts w:ascii="Calibri" w:hAnsi="Calibri"/>
          <w:b/>
          <w:color w:val="1B355E"/>
          <w:sz w:val="30"/>
        </w:rPr>
        <w:t>3.  Environment, Dependencies and Configuration</w:t>
      </w:r>
    </w:p>
    <w:p>
      <w:pPr>
        <w:spacing w:after="40"/>
      </w:pPr>
    </w:p>
    <w:p>
      <w:pPr>
        <w:keepNext/>
        <w:spacing w:before="240" w:after="80"/>
      </w:pPr>
      <w:r>
        <w:rPr>
          <w:rFonts w:ascii="Calibri" w:hAnsi="Calibri"/>
          <w:b/>
          <w:color w:val="1B355E"/>
          <w:sz w:val="25"/>
        </w:rPr>
        <w:t>3.1  Verified runtime environment</w:t>
      </w:r>
    </w:p>
    <w:p>
      <w:pPr>
        <w:spacing w:after="120" w:before="0"/>
        <w:jc w:val="both"/>
      </w:pPr>
      <w:r>
        <w:rPr>
          <w:b w:val="0"/>
          <w:i w:val="0"/>
          <w:sz w:val="21"/>
        </w:rPr>
        <w:t>The versions below were read from the interpreter used to validate this report. They represent a configuration in which the analytical phases execute correctly.</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728"/>
        <w:gridCol w:w="2232"/>
        <w:gridCol w:w="1785"/>
        <w:gridCol w:w="3571"/>
      </w:tblGrid>
      <w:tr>
        <w:tc>
          <w:tcPr>
            <w:tcW w:type="dxa" w:w="1728"/>
            <w:shd w:val="clear" w:color="auto" w:fill="1B355E"/>
          </w:tcPr>
          <w:p>
            <w:pPr>
              <w:spacing w:after="20" w:before="20"/>
              <w:jc w:val="center"/>
            </w:pPr>
            <w:r>
              <w:rPr>
                <w:b/>
                <w:color w:val="FFFFFF"/>
                <w:sz w:val="17"/>
              </w:rPr>
              <w:t>Component</w:t>
            </w:r>
          </w:p>
        </w:tc>
        <w:tc>
          <w:tcPr>
            <w:tcW w:type="dxa" w:w="2232"/>
            <w:shd w:val="clear" w:color="auto" w:fill="1B355E"/>
          </w:tcPr>
          <w:p>
            <w:pPr>
              <w:spacing w:after="20" w:before="20"/>
              <w:jc w:val="center"/>
            </w:pPr>
            <w:r>
              <w:rPr>
                <w:b/>
                <w:color w:val="FFFFFF"/>
                <w:sz w:val="17"/>
              </w:rPr>
              <w:t>Verified version</w:t>
            </w:r>
          </w:p>
        </w:tc>
        <w:tc>
          <w:tcPr>
            <w:tcW w:type="dxa" w:w="1786"/>
            <w:shd w:val="clear" w:color="auto" w:fill="1B355E"/>
          </w:tcPr>
          <w:p>
            <w:pPr>
              <w:spacing w:after="20" w:before="20"/>
              <w:jc w:val="center"/>
            </w:pPr>
            <w:r>
              <w:rPr>
                <w:b/>
                <w:color w:val="FFFFFF"/>
                <w:sz w:val="17"/>
              </w:rPr>
              <w:t>Used by</w:t>
            </w:r>
          </w:p>
        </w:tc>
        <w:tc>
          <w:tcPr>
            <w:tcW w:type="dxa" w:w="3571"/>
            <w:shd w:val="clear" w:color="auto" w:fill="1B355E"/>
          </w:tcPr>
          <w:p>
            <w:pPr>
              <w:spacing w:after="20" w:before="20"/>
              <w:jc w:val="center"/>
            </w:pPr>
            <w:r>
              <w:rPr>
                <w:b/>
                <w:color w:val="FFFFFF"/>
                <w:sz w:val="17"/>
              </w:rPr>
              <w:t>Notes</w:t>
            </w:r>
          </w:p>
        </w:tc>
      </w:tr>
      <w:tr>
        <w:tc>
          <w:tcPr>
            <w:tcW w:type="dxa" w:w="1728"/>
          </w:tcPr>
          <w:p>
            <w:pPr>
              <w:spacing w:after="20" w:before="20" w:line="254" w:lineRule="auto"/>
              <w:jc w:val="left"/>
            </w:pPr>
            <w:r>
              <w:rPr>
                <w:sz w:val="16"/>
              </w:rPr>
              <w:t>Python</w:t>
            </w:r>
          </w:p>
        </w:tc>
        <w:tc>
          <w:tcPr>
            <w:tcW w:type="dxa" w:w="2232"/>
          </w:tcPr>
          <w:p>
            <w:pPr>
              <w:spacing w:after="20" w:before="20" w:line="254" w:lineRule="auto"/>
              <w:jc w:val="center"/>
            </w:pPr>
            <w:r>
              <w:rPr>
                <w:sz w:val="16"/>
              </w:rPr>
              <w:t>3.13.13</w:t>
            </w:r>
          </w:p>
        </w:tc>
        <w:tc>
          <w:tcPr>
            <w:tcW w:type="dxa" w:w="1786"/>
          </w:tcPr>
          <w:p>
            <w:pPr>
              <w:spacing w:after="20" w:before="20" w:line="254" w:lineRule="auto"/>
              <w:jc w:val="center"/>
            </w:pPr>
            <w:r>
              <w:rPr>
                <w:sz w:val="16"/>
              </w:rPr>
              <w:t>all phases</w:t>
            </w:r>
          </w:p>
        </w:tc>
        <w:tc>
          <w:tcPr>
            <w:tcW w:type="dxa" w:w="3571"/>
          </w:tcPr>
          <w:p>
            <w:pPr>
              <w:spacing w:after="20" w:before="20" w:line="254" w:lineRule="auto"/>
              <w:jc w:val="center"/>
            </w:pPr>
            <w:r>
              <w:rPr>
                <w:sz w:val="16"/>
              </w:rPr>
              <w:t>64-bit CPython</w:t>
            </w:r>
          </w:p>
        </w:tc>
      </w:tr>
      <w:tr>
        <w:tc>
          <w:tcPr>
            <w:tcW w:type="dxa" w:w="1728"/>
            <w:shd w:val="clear" w:color="auto" w:fill="F2F5F9"/>
          </w:tcPr>
          <w:p>
            <w:pPr>
              <w:spacing w:after="20" w:before="20" w:line="254" w:lineRule="auto"/>
              <w:jc w:val="left"/>
            </w:pPr>
            <w:r>
              <w:rPr>
                <w:sz w:val="16"/>
              </w:rPr>
              <w:t>pandas</w:t>
            </w:r>
          </w:p>
        </w:tc>
        <w:tc>
          <w:tcPr>
            <w:tcW w:type="dxa" w:w="2232"/>
            <w:shd w:val="clear" w:color="auto" w:fill="F2F5F9"/>
          </w:tcPr>
          <w:p>
            <w:pPr>
              <w:spacing w:after="20" w:before="20" w:line="254" w:lineRule="auto"/>
              <w:jc w:val="center"/>
            </w:pPr>
            <w:r>
              <w:rPr>
                <w:sz w:val="16"/>
              </w:rPr>
              <w:t>3.0.3</w:t>
            </w:r>
          </w:p>
        </w:tc>
        <w:tc>
          <w:tcPr>
            <w:tcW w:type="dxa" w:w="1786"/>
            <w:shd w:val="clear" w:color="auto" w:fill="F2F5F9"/>
          </w:tcPr>
          <w:p>
            <w:pPr>
              <w:spacing w:after="20" w:before="20" w:line="254" w:lineRule="auto"/>
              <w:jc w:val="center"/>
            </w:pPr>
            <w:r>
              <w:rPr>
                <w:sz w:val="16"/>
              </w:rPr>
              <w:t>all phases</w:t>
            </w:r>
          </w:p>
        </w:tc>
        <w:tc>
          <w:tcPr>
            <w:tcW w:type="dxa" w:w="3571"/>
            <w:shd w:val="clear" w:color="auto" w:fill="F2F5F9"/>
          </w:tcPr>
          <w:p>
            <w:pPr>
              <w:spacing w:after="20" w:before="20" w:line="254" w:lineRule="auto"/>
              <w:jc w:val="left"/>
            </w:pPr>
            <w:r>
              <w:rPr>
                <w:sz w:val="16"/>
              </w:rPr>
              <w:t>data frames, grouping, one-hot encoding</w:t>
            </w:r>
          </w:p>
        </w:tc>
      </w:tr>
      <w:tr>
        <w:tc>
          <w:tcPr>
            <w:tcW w:type="dxa" w:w="1728"/>
          </w:tcPr>
          <w:p>
            <w:pPr>
              <w:spacing w:after="20" w:before="20" w:line="254" w:lineRule="auto"/>
              <w:jc w:val="left"/>
            </w:pPr>
            <w:r>
              <w:rPr>
                <w:sz w:val="16"/>
              </w:rPr>
              <w:t>NumPy</w:t>
            </w:r>
          </w:p>
        </w:tc>
        <w:tc>
          <w:tcPr>
            <w:tcW w:type="dxa" w:w="2232"/>
          </w:tcPr>
          <w:p>
            <w:pPr>
              <w:spacing w:after="20" w:before="20" w:line="254" w:lineRule="auto"/>
              <w:jc w:val="center"/>
            </w:pPr>
            <w:r>
              <w:rPr>
                <w:sz w:val="16"/>
              </w:rPr>
              <w:t>2.4.6</w:t>
            </w:r>
          </w:p>
        </w:tc>
        <w:tc>
          <w:tcPr>
            <w:tcW w:type="dxa" w:w="1786"/>
          </w:tcPr>
          <w:p>
            <w:pPr>
              <w:spacing w:after="20" w:before="20" w:line="254" w:lineRule="auto"/>
              <w:jc w:val="center"/>
            </w:pPr>
            <w:r>
              <w:rPr>
                <w:sz w:val="16"/>
              </w:rPr>
              <w:t>phases 5, 6</w:t>
            </w:r>
          </w:p>
        </w:tc>
        <w:tc>
          <w:tcPr>
            <w:tcW w:type="dxa" w:w="3571"/>
          </w:tcPr>
          <w:p>
            <w:pPr>
              <w:spacing w:after="20" w:before="20" w:line="254" w:lineRule="auto"/>
              <w:jc w:val="center"/>
            </w:pPr>
            <w:r>
              <w:rPr>
                <w:sz w:val="16"/>
              </w:rPr>
              <w:t>array backend</w:t>
            </w:r>
          </w:p>
        </w:tc>
      </w:tr>
      <w:tr>
        <w:tc>
          <w:tcPr>
            <w:tcW w:type="dxa" w:w="1728"/>
            <w:shd w:val="clear" w:color="auto" w:fill="F2F5F9"/>
          </w:tcPr>
          <w:p>
            <w:pPr>
              <w:spacing w:after="20" w:before="20" w:line="254" w:lineRule="auto"/>
              <w:jc w:val="left"/>
            </w:pPr>
            <w:r>
              <w:rPr>
                <w:sz w:val="16"/>
              </w:rPr>
              <w:t>scikit-learn</w:t>
            </w:r>
          </w:p>
        </w:tc>
        <w:tc>
          <w:tcPr>
            <w:tcW w:type="dxa" w:w="2232"/>
            <w:shd w:val="clear" w:color="auto" w:fill="F2F5F9"/>
          </w:tcPr>
          <w:p>
            <w:pPr>
              <w:spacing w:after="20" w:before="20" w:line="254" w:lineRule="auto"/>
              <w:jc w:val="center"/>
            </w:pPr>
            <w:r>
              <w:rPr>
                <w:sz w:val="16"/>
              </w:rPr>
              <w:t>1.9.0</w:t>
            </w:r>
          </w:p>
        </w:tc>
        <w:tc>
          <w:tcPr>
            <w:tcW w:type="dxa" w:w="1786"/>
            <w:shd w:val="clear" w:color="auto" w:fill="F2F5F9"/>
          </w:tcPr>
          <w:p>
            <w:pPr>
              <w:spacing w:after="20" w:before="20" w:line="254" w:lineRule="auto"/>
              <w:jc w:val="center"/>
            </w:pPr>
            <w:r>
              <w:rPr>
                <w:sz w:val="16"/>
              </w:rPr>
              <w:t>phases 4, 5, 6</w:t>
            </w:r>
          </w:p>
        </w:tc>
        <w:tc>
          <w:tcPr>
            <w:tcW w:type="dxa" w:w="3571"/>
            <w:shd w:val="clear" w:color="auto" w:fill="F2F5F9"/>
          </w:tcPr>
          <w:p>
            <w:pPr>
              <w:spacing w:after="20" w:before="20" w:line="254" w:lineRule="auto"/>
              <w:jc w:val="left"/>
            </w:pPr>
            <w:r>
              <w:rPr>
                <w:sz w:val="16"/>
              </w:rPr>
              <w:t>scaling, K-Means, pipelines, metrics</w:t>
            </w:r>
          </w:p>
        </w:tc>
      </w:tr>
      <w:tr>
        <w:tc>
          <w:tcPr>
            <w:tcW w:type="dxa" w:w="1728"/>
          </w:tcPr>
          <w:p>
            <w:pPr>
              <w:spacing w:after="20" w:before="20" w:line="254" w:lineRule="auto"/>
              <w:jc w:val="left"/>
            </w:pPr>
            <w:r>
              <w:rPr>
                <w:sz w:val="16"/>
              </w:rPr>
              <w:t>XGBoost</w:t>
            </w:r>
          </w:p>
        </w:tc>
        <w:tc>
          <w:tcPr>
            <w:tcW w:type="dxa" w:w="2232"/>
          </w:tcPr>
          <w:p>
            <w:pPr>
              <w:spacing w:after="20" w:before="20" w:line="254" w:lineRule="auto"/>
              <w:jc w:val="center"/>
            </w:pPr>
            <w:r>
              <w:rPr>
                <w:sz w:val="16"/>
              </w:rPr>
              <w:t>required by phase 6</w:t>
            </w:r>
          </w:p>
        </w:tc>
        <w:tc>
          <w:tcPr>
            <w:tcW w:type="dxa" w:w="1786"/>
          </w:tcPr>
          <w:p>
            <w:pPr>
              <w:spacing w:after="20" w:before="20" w:line="254" w:lineRule="auto"/>
              <w:jc w:val="center"/>
            </w:pPr>
            <w:r>
              <w:rPr>
                <w:sz w:val="16"/>
              </w:rPr>
              <w:t>phase 6</w:t>
            </w:r>
          </w:p>
        </w:tc>
        <w:tc>
          <w:tcPr>
            <w:tcW w:type="dxa" w:w="3571"/>
          </w:tcPr>
          <w:p>
            <w:pPr>
              <w:spacing w:after="20" w:before="20" w:line="254" w:lineRule="auto"/>
              <w:jc w:val="left"/>
            </w:pPr>
            <w:r>
              <w:rPr>
                <w:b/>
                <w:sz w:val="16"/>
              </w:rPr>
              <w:t>not installed in the verified interpreter</w:t>
            </w:r>
          </w:p>
        </w:tc>
      </w:tr>
      <w:tr>
        <w:tc>
          <w:tcPr>
            <w:tcW w:type="dxa" w:w="1728"/>
            <w:shd w:val="clear" w:color="auto" w:fill="F2F5F9"/>
          </w:tcPr>
          <w:p>
            <w:pPr>
              <w:spacing w:after="20" w:before="20" w:line="254" w:lineRule="auto"/>
              <w:jc w:val="left"/>
            </w:pPr>
            <w:r>
              <w:rPr>
                <w:sz w:val="16"/>
              </w:rPr>
              <w:t>matplotlib</w:t>
            </w:r>
          </w:p>
        </w:tc>
        <w:tc>
          <w:tcPr>
            <w:tcW w:type="dxa" w:w="2232"/>
            <w:shd w:val="clear" w:color="auto" w:fill="F2F5F9"/>
          </w:tcPr>
          <w:p>
            <w:pPr>
              <w:spacing w:after="20" w:before="20" w:line="254" w:lineRule="auto"/>
              <w:jc w:val="center"/>
            </w:pPr>
            <w:r>
              <w:rPr>
                <w:sz w:val="16"/>
              </w:rPr>
              <w:t>3.10.9</w:t>
            </w:r>
          </w:p>
        </w:tc>
        <w:tc>
          <w:tcPr>
            <w:tcW w:type="dxa" w:w="1786"/>
            <w:shd w:val="clear" w:color="auto" w:fill="F2F5F9"/>
          </w:tcPr>
          <w:p>
            <w:pPr>
              <w:spacing w:after="20" w:before="20" w:line="254" w:lineRule="auto"/>
              <w:jc w:val="center"/>
            </w:pPr>
            <w:r>
              <w:rPr>
                <w:sz w:val="16"/>
              </w:rPr>
              <w:t>phases 3, 5, 6</w:t>
            </w:r>
          </w:p>
        </w:tc>
        <w:tc>
          <w:tcPr>
            <w:tcW w:type="dxa" w:w="3571"/>
            <w:shd w:val="clear" w:color="auto" w:fill="F2F5F9"/>
          </w:tcPr>
          <w:p>
            <w:pPr>
              <w:spacing w:after="20" w:before="20" w:line="254" w:lineRule="auto"/>
              <w:jc w:val="center"/>
            </w:pPr>
            <w:r>
              <w:rPr>
                <w:sz w:val="16"/>
              </w:rPr>
              <w:t>figure rendering</w:t>
            </w:r>
          </w:p>
        </w:tc>
      </w:tr>
      <w:tr>
        <w:tc>
          <w:tcPr>
            <w:tcW w:type="dxa" w:w="1728"/>
          </w:tcPr>
          <w:p>
            <w:pPr>
              <w:spacing w:after="20" w:before="20" w:line="254" w:lineRule="auto"/>
              <w:jc w:val="left"/>
            </w:pPr>
            <w:r>
              <w:rPr>
                <w:sz w:val="16"/>
              </w:rPr>
              <w:t>seaborn</w:t>
            </w:r>
          </w:p>
        </w:tc>
        <w:tc>
          <w:tcPr>
            <w:tcW w:type="dxa" w:w="2232"/>
          </w:tcPr>
          <w:p>
            <w:pPr>
              <w:spacing w:after="20" w:before="20" w:line="254" w:lineRule="auto"/>
              <w:jc w:val="center"/>
            </w:pPr>
            <w:r>
              <w:rPr>
                <w:sz w:val="16"/>
              </w:rPr>
              <w:t>0.13.2</w:t>
            </w:r>
          </w:p>
        </w:tc>
        <w:tc>
          <w:tcPr>
            <w:tcW w:type="dxa" w:w="1786"/>
          </w:tcPr>
          <w:p>
            <w:pPr>
              <w:spacing w:after="20" w:before="20" w:line="254" w:lineRule="auto"/>
              <w:jc w:val="center"/>
            </w:pPr>
            <w:r>
              <w:rPr>
                <w:sz w:val="16"/>
              </w:rPr>
              <w:t>phases 3, 5, 6</w:t>
            </w:r>
          </w:p>
        </w:tc>
        <w:tc>
          <w:tcPr>
            <w:tcW w:type="dxa" w:w="3571"/>
          </w:tcPr>
          <w:p>
            <w:pPr>
              <w:spacing w:after="20" w:before="20" w:line="254" w:lineRule="auto"/>
              <w:jc w:val="left"/>
            </w:pPr>
            <w:r>
              <w:rPr>
                <w:sz w:val="16"/>
              </w:rPr>
              <w:t>statistical plot styling</w:t>
            </w:r>
          </w:p>
        </w:tc>
      </w:tr>
      <w:tr>
        <w:tc>
          <w:tcPr>
            <w:tcW w:type="dxa" w:w="1728"/>
            <w:shd w:val="clear" w:color="auto" w:fill="F2F5F9"/>
          </w:tcPr>
          <w:p>
            <w:pPr>
              <w:spacing w:after="20" w:before="20" w:line="254" w:lineRule="auto"/>
              <w:jc w:val="left"/>
            </w:pPr>
            <w:r>
              <w:rPr>
                <w:sz w:val="16"/>
              </w:rPr>
              <w:t>joblib</w:t>
            </w:r>
          </w:p>
        </w:tc>
        <w:tc>
          <w:tcPr>
            <w:tcW w:type="dxa" w:w="2232"/>
            <w:shd w:val="clear" w:color="auto" w:fill="F2F5F9"/>
          </w:tcPr>
          <w:p>
            <w:pPr>
              <w:spacing w:after="20" w:before="20" w:line="254" w:lineRule="auto"/>
              <w:jc w:val="left"/>
            </w:pPr>
            <w:r>
              <w:rPr>
                <w:sz w:val="16"/>
              </w:rPr>
              <w:t>bundled with scikit-learn</w:t>
            </w:r>
          </w:p>
        </w:tc>
        <w:tc>
          <w:tcPr>
            <w:tcW w:type="dxa" w:w="1786"/>
            <w:shd w:val="clear" w:color="auto" w:fill="F2F5F9"/>
          </w:tcPr>
          <w:p>
            <w:pPr>
              <w:spacing w:after="20" w:before="20" w:line="254" w:lineRule="auto"/>
              <w:jc w:val="center"/>
            </w:pPr>
            <w:r>
              <w:rPr>
                <w:sz w:val="16"/>
              </w:rPr>
              <w:t>phase 6</w:t>
            </w:r>
          </w:p>
        </w:tc>
        <w:tc>
          <w:tcPr>
            <w:tcW w:type="dxa" w:w="3571"/>
            <w:shd w:val="clear" w:color="auto" w:fill="F2F5F9"/>
          </w:tcPr>
          <w:p>
            <w:pPr>
              <w:spacing w:after="20" w:before="20" w:line="254" w:lineRule="auto"/>
              <w:jc w:val="center"/>
            </w:pPr>
            <w:r>
              <w:rPr>
                <w:sz w:val="16"/>
              </w:rPr>
              <w:t>model serialisation</w:t>
            </w:r>
          </w:p>
        </w:tc>
      </w:tr>
    </w:tbl>
    <w:p>
      <w:pPr>
        <w:spacing w:before="80" w:after="200"/>
        <w:jc w:val="center"/>
      </w:pPr>
      <w:r>
        <w:rPr>
          <w:i/>
          <w:color w:val="555F6B"/>
          <w:sz w:val="17"/>
        </w:rPr>
        <w:t>Table 2: Verified runtime environment and the phases that depend on each component.</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FFF6E5"/>
          </w:tcPr>
          <w:p>
            <w:pPr>
              <w:spacing w:after="40"/>
            </w:pPr>
            <w:r>
              <w:rPr>
                <w:b/>
                <w:color w:val="8A5A10"/>
                <w:sz w:val="19"/>
              </w:rPr>
              <w:t>Two environment issues must be resolved before phase 6 will run.</w:t>
            </w:r>
          </w:p>
          <w:p>
            <w:pPr>
              <w:spacing w:after="0"/>
              <w:jc w:val="both"/>
            </w:pPr>
            <w:r>
              <w:rPr>
                <w:sz w:val="19"/>
              </w:rPr>
              <w:t>First, xgboost is not present in the interpreter that was used to verify this report, so phase6_model_development.py aborts at import with ModuleNotFoundError: No module named 'xgboost'. Second, the two .joblib files in models/ were pickled under scikit-learn 1.8.0 and raise InconsistentVersionWarning when loaded under 1.9.0. Neither affects the results already recorded in this report, which were produced on the machine where the pipeline was originally executed, but both must be fixed for a clean re-run. Section 14.2 gives the installation commands.</w:t>
            </w:r>
          </w:p>
        </w:tc>
      </w:tr>
    </w:tbl>
    <w:p>
      <w:pPr>
        <w:spacing w:after="120"/>
      </w:pPr>
    </w:p>
    <w:p>
      <w:pPr>
        <w:keepNext/>
        <w:spacing w:before="240" w:after="80"/>
      </w:pPr>
      <w:r>
        <w:rPr>
          <w:rFonts w:ascii="Calibri" w:hAnsi="Calibri"/>
          <w:b/>
          <w:color w:val="1B355E"/>
          <w:sz w:val="25"/>
        </w:rPr>
        <w:t>3.2  Dependency installation</w:t>
      </w:r>
    </w:p>
    <w:p>
      <w:pPr>
        <w:spacing w:after="120" w:before="0"/>
        <w:jc w:val="both"/>
      </w:pPr>
      <w:r>
        <w:rPr>
          <w:b w:val="0"/>
          <w:i w:val="0"/>
          <w:sz w:val="21"/>
        </w:rPr>
        <w:t>A virtual environment is strongly recommended, both to pin the scikit-learn version against which the saved models were pickled and to keep the XGBoost build isolated.</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REM ---- from the project root, in Windows PowerShell or Command Prompt ----</w:t>
            </w:r>
          </w:p>
          <w:p>
            <w:pPr>
              <w:spacing w:after="0" w:before="0" w:line="240" w:lineRule="auto"/>
            </w:pPr>
            <w:r>
              <w:rPr>
                <w:rFonts w:ascii="Consolas" w:hAnsi="Consolas" w:eastAsia="Consolas"/>
                <w:color w:val="1A232E"/>
                <w:sz w:val="16"/>
              </w:rPr>
              <w:t>cd "C:\Users\user\Desktop\Customer churn prediction\churn_project\customer_churn"</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python -m venv .venv</w:t>
            </w:r>
          </w:p>
          <w:p>
            <w:pPr>
              <w:spacing w:after="0" w:before="0" w:line="240" w:lineRule="auto"/>
            </w:pPr>
            <w:r>
              <w:rPr>
                <w:rFonts w:ascii="Consolas" w:hAnsi="Consolas" w:eastAsia="Consolas"/>
                <w:color w:val="1A232E"/>
                <w:sz w:val="16"/>
              </w:rPr>
              <w:t>.venv\Scripts\activate</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python -m pip install --upgrade pip</w:t>
            </w:r>
          </w:p>
          <w:p>
            <w:pPr>
              <w:spacing w:after="0" w:before="0" w:line="240" w:lineRule="auto"/>
            </w:pPr>
            <w:r>
              <w:rPr>
                <w:rFonts w:ascii="Consolas" w:hAnsi="Consolas" w:eastAsia="Consolas"/>
                <w:color w:val="1A232E"/>
                <w:sz w:val="16"/>
              </w:rPr>
              <w:t>python -m pip install pandas numpy scikit-learn matplotlib seaborn xgboost joblib</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REM ---- confirm the imports resolve before running any phase ----</w:t>
            </w:r>
          </w:p>
          <w:p>
            <w:pPr>
              <w:spacing w:after="0" w:before="0" w:line="240" w:lineRule="auto"/>
            </w:pPr>
            <w:r>
              <w:rPr>
                <w:rFonts w:ascii="Consolas" w:hAnsi="Consolas" w:eastAsia="Consolas"/>
                <w:color w:val="1A232E"/>
                <w:sz w:val="16"/>
              </w:rPr>
              <w:t>python -c "import pandas, numpy, sklearn, matplotlib, seaborn, xgboost, joblib; print('ok')"</w:t>
            </w:r>
          </w:p>
        </w:tc>
      </w:tr>
    </w:tbl>
    <w:p>
      <w:pPr>
        <w:spacing w:before="60" w:after="180"/>
        <w:jc w:val="center"/>
      </w:pPr>
      <w:r>
        <w:rPr>
          <w:i/>
          <w:color w:val="555F6B"/>
          <w:sz w:val="17"/>
        </w:rPr>
        <w:t>Listing 2: Creating an isolated environment and installing every dependency.</w:t>
      </w:r>
    </w:p>
    <w:p>
      <w:pPr>
        <w:keepNext/>
        <w:spacing w:before="240" w:after="80"/>
      </w:pPr>
      <w:r>
        <w:rPr>
          <w:rFonts w:ascii="Calibri" w:hAnsi="Calibri"/>
          <w:b/>
          <w:color w:val="1B355E"/>
          <w:sz w:val="25"/>
        </w:rPr>
        <w:t>3.3  Configuration constants</w:t>
      </w:r>
    </w:p>
    <w:p>
      <w:pPr>
        <w:spacing w:after="120" w:before="0"/>
        <w:jc w:val="both"/>
      </w:pPr>
      <w:r>
        <w:rPr>
          <w:b w:val="0"/>
          <w:i w:val="0"/>
          <w:sz w:val="21"/>
        </w:rPr>
        <w:t>Each script declares its configuration as module-level constants immediately after the imports. There is no shared configuration file, so a path or hyper-parameter change must be applied in each script that uses it. The full constant reference is given in Appendix A; the constants that most affect the results are these: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655"/>
        <w:gridCol w:w="892"/>
        <w:gridCol w:w="1296"/>
        <w:gridCol w:w="5472"/>
      </w:tblGrid>
      <w:tr>
        <w:tc>
          <w:tcPr>
            <w:tcW w:type="dxa" w:w="1656"/>
            <w:shd w:val="clear" w:color="auto" w:fill="1B355E"/>
          </w:tcPr>
          <w:p>
            <w:pPr>
              <w:spacing w:after="20" w:before="20"/>
              <w:jc w:val="center"/>
            </w:pPr>
            <w:r>
              <w:rPr>
                <w:b/>
                <w:color w:val="FFFFFF"/>
                <w:sz w:val="17"/>
              </w:rPr>
              <w:t>Constant</w:t>
            </w:r>
          </w:p>
        </w:tc>
        <w:tc>
          <w:tcPr>
            <w:tcW w:type="dxa" w:w="893"/>
            <w:shd w:val="clear" w:color="auto" w:fill="1B355E"/>
          </w:tcPr>
          <w:p>
            <w:pPr>
              <w:spacing w:after="20" w:before="20"/>
              <w:jc w:val="center"/>
            </w:pPr>
            <w:r>
              <w:rPr>
                <w:b/>
                <w:color w:val="FFFFFF"/>
                <w:sz w:val="17"/>
              </w:rPr>
              <w:t>Value</w:t>
            </w:r>
          </w:p>
        </w:tc>
        <w:tc>
          <w:tcPr>
            <w:tcW w:type="dxa" w:w="1296"/>
            <w:shd w:val="clear" w:color="auto" w:fill="1B355E"/>
          </w:tcPr>
          <w:p>
            <w:pPr>
              <w:spacing w:after="20" w:before="20"/>
              <w:jc w:val="center"/>
            </w:pPr>
            <w:r>
              <w:rPr>
                <w:b/>
                <w:color w:val="FFFFFF"/>
                <w:sz w:val="17"/>
              </w:rPr>
              <w:t>Declared in</w:t>
            </w:r>
          </w:p>
        </w:tc>
        <w:tc>
          <w:tcPr>
            <w:tcW w:type="dxa" w:w="5472"/>
            <w:shd w:val="clear" w:color="auto" w:fill="1B355E"/>
          </w:tcPr>
          <w:p>
            <w:pPr>
              <w:spacing w:after="20" w:before="20"/>
              <w:jc w:val="center"/>
            </w:pPr>
            <w:r>
              <w:rPr>
                <w:b/>
                <w:color w:val="FFFFFF"/>
                <w:sz w:val="17"/>
              </w:rPr>
              <w:t>Effect on the pipeline</w:t>
            </w:r>
          </w:p>
        </w:tc>
      </w:tr>
      <w:tr>
        <w:tc>
          <w:tcPr>
            <w:tcW w:type="dxa" w:w="1656"/>
          </w:tcPr>
          <w:p>
            <w:pPr>
              <w:spacing w:after="20" w:before="20" w:line="254" w:lineRule="auto"/>
              <w:jc w:val="left"/>
            </w:pPr>
            <w:r>
              <w:rPr>
                <w:rFonts w:ascii="Consolas" w:hAnsi="Consolas" w:eastAsia="Consolas"/>
                <w:color w:val="8A2C1F"/>
                <w:sz w:val="15"/>
              </w:rPr>
              <w:t>RANDOM_STATE</w:t>
            </w:r>
          </w:p>
        </w:tc>
        <w:tc>
          <w:tcPr>
            <w:tcW w:type="dxa" w:w="893"/>
          </w:tcPr>
          <w:p>
            <w:pPr>
              <w:spacing w:after="20" w:before="20" w:line="254" w:lineRule="auto"/>
              <w:jc w:val="center"/>
            </w:pPr>
            <w:r>
              <w:rPr>
                <w:rFonts w:ascii="Consolas" w:hAnsi="Consolas" w:eastAsia="Consolas"/>
                <w:color w:val="8A2C1F"/>
                <w:sz w:val="15"/>
              </w:rPr>
              <w:t>42</w:t>
            </w:r>
          </w:p>
        </w:tc>
        <w:tc>
          <w:tcPr>
            <w:tcW w:type="dxa" w:w="1296"/>
          </w:tcPr>
          <w:p>
            <w:pPr>
              <w:spacing w:after="20" w:before="20" w:line="254" w:lineRule="auto"/>
              <w:jc w:val="center"/>
            </w:pPr>
            <w:r>
              <w:rPr>
                <w:sz w:val="16"/>
              </w:rPr>
              <w:t>phases 5, 6</w:t>
            </w:r>
          </w:p>
        </w:tc>
        <w:tc>
          <w:tcPr>
            <w:tcW w:type="dxa" w:w="5472"/>
          </w:tcPr>
          <w:p>
            <w:pPr>
              <w:spacing w:after="20" w:before="20" w:line="254" w:lineRule="auto"/>
              <w:jc w:val="left"/>
            </w:pPr>
            <w:r>
              <w:rPr>
                <w:sz w:val="16"/>
              </w:rPr>
              <w:t>fixes the K-Means initialisation, the train-test split and every model seed, making the whole run reproducible</w:t>
            </w:r>
          </w:p>
        </w:tc>
      </w:tr>
      <w:tr>
        <w:tc>
          <w:tcPr>
            <w:tcW w:type="dxa" w:w="1656"/>
            <w:shd w:val="clear" w:color="auto" w:fill="F2F5F9"/>
          </w:tcPr>
          <w:p>
            <w:pPr>
              <w:spacing w:after="20" w:before="20" w:line="254" w:lineRule="auto"/>
              <w:jc w:val="left"/>
            </w:pPr>
            <w:r>
              <w:rPr>
                <w:rFonts w:ascii="Consolas" w:hAnsi="Consolas" w:eastAsia="Consolas"/>
                <w:color w:val="8A2C1F"/>
                <w:sz w:val="15"/>
              </w:rPr>
              <w:t>OPTIMAL_K</w:t>
            </w:r>
          </w:p>
        </w:tc>
        <w:tc>
          <w:tcPr>
            <w:tcW w:type="dxa" w:w="893"/>
            <w:shd w:val="clear" w:color="auto" w:fill="F2F5F9"/>
          </w:tcPr>
          <w:p>
            <w:pPr>
              <w:spacing w:after="20" w:before="20" w:line="254" w:lineRule="auto"/>
              <w:jc w:val="center"/>
            </w:pPr>
            <w:r>
              <w:rPr>
                <w:rFonts w:ascii="Consolas" w:hAnsi="Consolas" w:eastAsia="Consolas"/>
                <w:color w:val="8A2C1F"/>
                <w:sz w:val="15"/>
              </w:rPr>
              <w:t>4</w:t>
            </w:r>
          </w:p>
        </w:tc>
        <w:tc>
          <w:tcPr>
            <w:tcW w:type="dxa" w:w="1296"/>
            <w:shd w:val="clear" w:color="auto" w:fill="F2F5F9"/>
          </w:tcPr>
          <w:p>
            <w:pPr>
              <w:spacing w:after="20" w:before="20" w:line="254" w:lineRule="auto"/>
              <w:jc w:val="center"/>
            </w:pPr>
            <w:r>
              <w:rPr>
                <w:sz w:val="16"/>
              </w:rPr>
              <w:t>phase 5</w:t>
            </w:r>
          </w:p>
        </w:tc>
        <w:tc>
          <w:tcPr>
            <w:tcW w:type="dxa" w:w="5472"/>
            <w:shd w:val="clear" w:color="auto" w:fill="F2F5F9"/>
          </w:tcPr>
          <w:p>
            <w:pPr>
              <w:spacing w:after="20" w:before="20" w:line="254" w:lineRule="auto"/>
              <w:jc w:val="left"/>
            </w:pPr>
            <w:r>
              <w:rPr>
                <w:sz w:val="16"/>
              </w:rPr>
              <w:t>number of customer segments produced; also fixes the reference line drawn on the elbow and silhouette charts</w:t>
            </w:r>
          </w:p>
        </w:tc>
      </w:tr>
      <w:tr>
        <w:tc>
          <w:tcPr>
            <w:tcW w:type="dxa" w:w="1656"/>
          </w:tcPr>
          <w:p>
            <w:pPr>
              <w:spacing w:after="20" w:before="20" w:line="254" w:lineRule="auto"/>
              <w:jc w:val="left"/>
            </w:pPr>
            <w:r>
              <w:rPr>
                <w:rFonts w:ascii="Consolas" w:hAnsi="Consolas" w:eastAsia="Consolas"/>
                <w:color w:val="8A2C1F"/>
                <w:sz w:val="15"/>
              </w:rPr>
              <w:t>TEST_SIZE</w:t>
            </w:r>
          </w:p>
        </w:tc>
        <w:tc>
          <w:tcPr>
            <w:tcW w:type="dxa" w:w="893"/>
          </w:tcPr>
          <w:p>
            <w:pPr>
              <w:spacing w:after="20" w:before="20" w:line="254" w:lineRule="auto"/>
              <w:jc w:val="center"/>
            </w:pPr>
            <w:r>
              <w:rPr>
                <w:rFonts w:ascii="Consolas" w:hAnsi="Consolas" w:eastAsia="Consolas"/>
                <w:color w:val="8A2C1F"/>
                <w:sz w:val="15"/>
              </w:rPr>
              <w:t>0.05</w:t>
            </w:r>
          </w:p>
        </w:tc>
        <w:tc>
          <w:tcPr>
            <w:tcW w:type="dxa" w:w="1296"/>
          </w:tcPr>
          <w:p>
            <w:pPr>
              <w:spacing w:after="20" w:before="20" w:line="254" w:lineRule="auto"/>
              <w:jc w:val="center"/>
            </w:pPr>
            <w:r>
              <w:rPr>
                <w:sz w:val="16"/>
              </w:rPr>
              <w:t>phase 6</w:t>
            </w:r>
          </w:p>
        </w:tc>
        <w:tc>
          <w:tcPr>
            <w:tcW w:type="dxa" w:w="5472"/>
          </w:tcPr>
          <w:p>
            <w:pPr>
              <w:spacing w:after="20" w:before="20" w:line="254" w:lineRule="auto"/>
              <w:jc w:val="left"/>
            </w:pPr>
            <w:r>
              <w:rPr>
                <w:b/>
                <w:sz w:val="16"/>
              </w:rPr>
              <w:t>holds out only 353 of 7 043 records</w:t>
            </w:r>
            <w:r>
              <w:rPr>
                <w:sz w:val="16"/>
              </w:rPr>
              <w:t>; see Section 15.1</w:t>
            </w:r>
          </w:p>
        </w:tc>
      </w:tr>
      <w:tr>
        <w:tc>
          <w:tcPr>
            <w:tcW w:type="dxa" w:w="1656"/>
            <w:shd w:val="clear" w:color="auto" w:fill="F2F5F9"/>
          </w:tcPr>
          <w:p>
            <w:pPr>
              <w:spacing w:after="20" w:before="20" w:line="254" w:lineRule="auto"/>
              <w:jc w:val="left"/>
            </w:pPr>
            <w:r>
              <w:rPr>
                <w:rFonts w:ascii="Consolas" w:hAnsi="Consolas" w:eastAsia="Consolas"/>
                <w:color w:val="8A2C1F"/>
                <w:sz w:val="15"/>
              </w:rPr>
              <w:t>CV_FOLDS</w:t>
            </w:r>
          </w:p>
        </w:tc>
        <w:tc>
          <w:tcPr>
            <w:tcW w:type="dxa" w:w="893"/>
            <w:shd w:val="clear" w:color="auto" w:fill="F2F5F9"/>
          </w:tcPr>
          <w:p>
            <w:pPr>
              <w:spacing w:after="20" w:before="20" w:line="254" w:lineRule="auto"/>
              <w:jc w:val="center"/>
            </w:pPr>
            <w:r>
              <w:rPr>
                <w:rFonts w:ascii="Consolas" w:hAnsi="Consolas" w:eastAsia="Consolas"/>
                <w:color w:val="8A2C1F"/>
                <w:sz w:val="15"/>
              </w:rPr>
              <w:t>5</w:t>
            </w:r>
          </w:p>
        </w:tc>
        <w:tc>
          <w:tcPr>
            <w:tcW w:type="dxa" w:w="1296"/>
            <w:shd w:val="clear" w:color="auto" w:fill="F2F5F9"/>
          </w:tcPr>
          <w:p>
            <w:pPr>
              <w:spacing w:after="20" w:before="20" w:line="254" w:lineRule="auto"/>
              <w:jc w:val="center"/>
            </w:pPr>
            <w:r>
              <w:rPr>
                <w:sz w:val="16"/>
              </w:rPr>
              <w:t>phase 6</w:t>
            </w:r>
          </w:p>
        </w:tc>
        <w:tc>
          <w:tcPr>
            <w:tcW w:type="dxa" w:w="5472"/>
            <w:shd w:val="clear" w:color="auto" w:fill="F2F5F9"/>
          </w:tcPr>
          <w:p>
            <w:pPr>
              <w:spacing w:after="20" w:before="20" w:line="254" w:lineRule="auto"/>
              <w:jc w:val="left"/>
            </w:pPr>
            <w:r>
              <w:rPr>
                <w:sz w:val="16"/>
              </w:rPr>
              <w:t>stratified folds used for model selection on the training partition</w:t>
            </w:r>
          </w:p>
        </w:tc>
      </w:tr>
      <w:tr>
        <w:tc>
          <w:tcPr>
            <w:tcW w:type="dxa" w:w="1656"/>
          </w:tcPr>
          <w:p>
            <w:pPr>
              <w:spacing w:after="20" w:before="20" w:line="254" w:lineRule="auto"/>
              <w:jc w:val="left"/>
            </w:pPr>
            <w:r>
              <w:rPr>
                <w:rFonts w:ascii="Consolas" w:hAnsi="Consolas" w:eastAsia="Consolas"/>
                <w:color w:val="8A2C1F"/>
                <w:sz w:val="15"/>
              </w:rPr>
              <w:t>TARGET_COLUMN</w:t>
            </w:r>
          </w:p>
        </w:tc>
        <w:tc>
          <w:tcPr>
            <w:tcW w:type="dxa" w:w="893"/>
          </w:tcPr>
          <w:p>
            <w:pPr>
              <w:spacing w:after="20" w:before="20" w:line="254" w:lineRule="auto"/>
              <w:jc w:val="center"/>
            </w:pPr>
            <w:r>
              <w:rPr>
                <w:rFonts w:ascii="Consolas" w:hAnsi="Consolas" w:eastAsia="Consolas"/>
                <w:color w:val="8A2C1F"/>
                <w:sz w:val="15"/>
              </w:rPr>
              <w:t>"Churn"</w:t>
            </w:r>
          </w:p>
        </w:tc>
        <w:tc>
          <w:tcPr>
            <w:tcW w:type="dxa" w:w="1296"/>
          </w:tcPr>
          <w:p>
            <w:pPr>
              <w:spacing w:after="20" w:before="20" w:line="254" w:lineRule="auto"/>
              <w:jc w:val="center"/>
            </w:pPr>
            <w:r>
              <w:rPr>
                <w:sz w:val="16"/>
              </w:rPr>
              <w:t>phases 1, 2, 4</w:t>
            </w:r>
          </w:p>
        </w:tc>
        <w:tc>
          <w:tcPr>
            <w:tcW w:type="dxa" w:w="5472"/>
          </w:tcPr>
          <w:p>
            <w:pPr>
              <w:spacing w:after="20" w:before="20" w:line="254" w:lineRule="auto"/>
              <w:jc w:val="left"/>
            </w:pPr>
            <w:r>
              <w:rPr>
                <w:sz w:val="16"/>
              </w:rPr>
              <w:t>the label column, mapped to ChurnFlag with Yes = 1 and No = 0</w:t>
            </w:r>
          </w:p>
        </w:tc>
      </w:tr>
      <w:tr>
        <w:tc>
          <w:tcPr>
            <w:tcW w:type="dxa" w:w="1656"/>
            <w:shd w:val="clear" w:color="auto" w:fill="F2F5F9"/>
          </w:tcPr>
          <w:p>
            <w:pPr>
              <w:spacing w:after="20" w:before="20" w:line="254" w:lineRule="auto"/>
              <w:jc w:val="left"/>
            </w:pPr>
            <w:r>
              <w:rPr>
                <w:rFonts w:ascii="Consolas" w:hAnsi="Consolas" w:eastAsia="Consolas"/>
                <w:color w:val="8A2C1F"/>
                <w:sz w:val="15"/>
              </w:rPr>
              <w:t>ID_COLUMN</w:t>
            </w:r>
          </w:p>
        </w:tc>
        <w:tc>
          <w:tcPr>
            <w:tcW w:type="dxa" w:w="893"/>
            <w:shd w:val="clear" w:color="auto" w:fill="F2F5F9"/>
          </w:tcPr>
          <w:p>
            <w:pPr>
              <w:spacing w:after="20" w:before="20" w:line="254" w:lineRule="auto"/>
              <w:jc w:val="center"/>
            </w:pPr>
            <w:r>
              <w:rPr>
                <w:rFonts w:ascii="Consolas" w:hAnsi="Consolas" w:eastAsia="Consolas"/>
                <w:color w:val="8A2C1F"/>
                <w:sz w:val="15"/>
              </w:rPr>
              <w:t>"customerID"</w:t>
            </w:r>
          </w:p>
        </w:tc>
        <w:tc>
          <w:tcPr>
            <w:tcW w:type="dxa" w:w="1296"/>
            <w:shd w:val="clear" w:color="auto" w:fill="F2F5F9"/>
          </w:tcPr>
          <w:p>
            <w:pPr>
              <w:spacing w:after="20" w:before="20" w:line="254" w:lineRule="auto"/>
              <w:jc w:val="center"/>
            </w:pPr>
            <w:r>
              <w:rPr>
                <w:sz w:val="16"/>
              </w:rPr>
              <w:t>phases 1, 2, 4</w:t>
            </w:r>
          </w:p>
        </w:tc>
        <w:tc>
          <w:tcPr>
            <w:tcW w:type="dxa" w:w="5472"/>
            <w:shd w:val="clear" w:color="auto" w:fill="F2F5F9"/>
          </w:tcPr>
          <w:p>
            <w:pPr>
              <w:spacing w:after="20" w:before="20" w:line="254" w:lineRule="auto"/>
              <w:jc w:val="left"/>
            </w:pPr>
            <w:r>
              <w:rPr>
                <w:sz w:val="16"/>
              </w:rPr>
              <w:t>identifier excluded from every model matrix</w:t>
            </w:r>
          </w:p>
        </w:tc>
      </w:tr>
    </w:tbl>
    <w:p>
      <w:pPr>
        <w:spacing w:before="80" w:after="200"/>
        <w:jc w:val="center"/>
      </w:pPr>
      <w:r>
        <w:rPr>
          <w:i/>
          <w:color w:val="555F6B"/>
          <w:sz w:val="17"/>
        </w:rPr>
        <w:t>Table 3: The configuration constants with the largest influence on the reported results.</w:t>
      </w:r>
    </w:p>
    <w:p>
      <w:r>
        <w:br w:type="page"/>
      </w:r>
    </w:p>
    <w:p>
      <w:pPr>
        <w:spacing w:after="0"/>
      </w:pPr>
    </w:p>
    <w:p>
      <w:pPr>
        <w:keepNext/>
        <w:spacing w:before="80" w:after="40"/>
        <w:pBdr>
          <w:bottom w:val="single" w:sz="10" w:space="3" w:color="1B355E"/>
        </w:pBdr>
      </w:pPr>
      <w:r>
        <w:rPr>
          <w:rFonts w:ascii="Calibri" w:hAnsi="Calibri"/>
          <w:b/>
          <w:color w:val="1B355E"/>
          <w:sz w:val="30"/>
        </w:rPr>
        <w:t>4.  Dataset Description</w:t>
      </w:r>
    </w:p>
    <w:p>
      <w:pPr>
        <w:spacing w:after="40"/>
      </w:pPr>
    </w:p>
    <w:p>
      <w:pPr>
        <w:spacing w:after="120" w:before="0"/>
        <w:jc w:val="both"/>
      </w:pPr>
      <w:r>
        <w:rPr>
          <w:b w:val="0"/>
          <w:i w:val="0"/>
          <w:sz w:val="21"/>
        </w:rPr>
        <w:t>The pipeline is built on the Telco Customer Churn dataset, a widely used public benchmark for subscription-retention modelling. The file supplied with the project holds 7 043 customer records described by 21 attributes: one identifier, nineteen predictors and one binary target.</w:t>
      </w:r>
    </w:p>
    <w:p>
      <w:pPr>
        <w:keepNext/>
        <w:spacing w:before="240" w:after="80"/>
      </w:pPr>
      <w:r>
        <w:rPr>
          <w:rFonts w:ascii="Calibri" w:hAnsi="Calibri"/>
          <w:b/>
          <w:color w:val="1B355E"/>
          <w:sz w:val="25"/>
        </w:rPr>
        <w:t>4.1  Attribute schema</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468"/>
        <w:gridCol w:w="3484"/>
        <w:gridCol w:w="1483"/>
        <w:gridCol w:w="2880"/>
      </w:tblGrid>
      <w:tr>
        <w:tc>
          <w:tcPr>
            <w:tcW w:type="dxa" w:w="1469"/>
            <w:shd w:val="clear" w:color="auto" w:fill="1B355E"/>
          </w:tcPr>
          <w:p>
            <w:pPr>
              <w:spacing w:after="20" w:before="20"/>
              <w:jc w:val="center"/>
            </w:pPr>
            <w:r>
              <w:rPr>
                <w:b/>
                <w:color w:val="FFFFFF"/>
                <w:sz w:val="17"/>
              </w:rPr>
              <w:t>Group</w:t>
            </w:r>
          </w:p>
        </w:tc>
        <w:tc>
          <w:tcPr>
            <w:tcW w:type="dxa" w:w="3485"/>
            <w:shd w:val="clear" w:color="auto" w:fill="1B355E"/>
          </w:tcPr>
          <w:p>
            <w:pPr>
              <w:spacing w:after="20" w:before="20"/>
              <w:jc w:val="center"/>
            </w:pPr>
            <w:r>
              <w:rPr>
                <w:b/>
                <w:color w:val="FFFFFF"/>
                <w:sz w:val="17"/>
              </w:rPr>
              <w:t>Attributes</w:t>
            </w:r>
          </w:p>
        </w:tc>
        <w:tc>
          <w:tcPr>
            <w:tcW w:type="dxa" w:w="1483"/>
            <w:shd w:val="clear" w:color="auto" w:fill="1B355E"/>
          </w:tcPr>
          <w:p>
            <w:pPr>
              <w:spacing w:after="20" w:before="20"/>
              <w:jc w:val="center"/>
            </w:pPr>
            <w:r>
              <w:rPr>
                <w:b/>
                <w:color w:val="FFFFFF"/>
                <w:sz w:val="17"/>
              </w:rPr>
              <w:t>Type</w:t>
            </w:r>
          </w:p>
        </w:tc>
        <w:tc>
          <w:tcPr>
            <w:tcW w:type="dxa" w:w="2880"/>
            <w:shd w:val="clear" w:color="auto" w:fill="1B355E"/>
          </w:tcPr>
          <w:p>
            <w:pPr>
              <w:spacing w:after="20" w:before="20"/>
              <w:jc w:val="center"/>
            </w:pPr>
            <w:r>
              <w:rPr>
                <w:b/>
                <w:color w:val="FFFFFF"/>
                <w:sz w:val="17"/>
              </w:rPr>
              <w:t>Role</w:t>
            </w:r>
          </w:p>
        </w:tc>
      </w:tr>
      <w:tr>
        <w:tc>
          <w:tcPr>
            <w:tcW w:type="dxa" w:w="1469"/>
          </w:tcPr>
          <w:p>
            <w:pPr>
              <w:spacing w:after="20" w:before="20" w:line="254" w:lineRule="auto"/>
              <w:jc w:val="left"/>
            </w:pPr>
            <w:r>
              <w:rPr>
                <w:sz w:val="16"/>
              </w:rPr>
              <w:t>Identifier</w:t>
            </w:r>
          </w:p>
        </w:tc>
        <w:tc>
          <w:tcPr>
            <w:tcW w:type="dxa" w:w="3485"/>
          </w:tcPr>
          <w:p>
            <w:pPr>
              <w:spacing w:after="20" w:before="20" w:line="254" w:lineRule="auto"/>
              <w:jc w:val="center"/>
            </w:pPr>
            <w:r>
              <w:rPr>
                <w:rFonts w:ascii="Consolas" w:hAnsi="Consolas" w:eastAsia="Consolas"/>
                <w:color w:val="8A2C1F"/>
                <w:sz w:val="15"/>
              </w:rPr>
              <w:t>customerID</w:t>
            </w:r>
          </w:p>
        </w:tc>
        <w:tc>
          <w:tcPr>
            <w:tcW w:type="dxa" w:w="1483"/>
          </w:tcPr>
          <w:p>
            <w:pPr>
              <w:spacing w:after="20" w:before="20" w:line="254" w:lineRule="auto"/>
              <w:jc w:val="center"/>
            </w:pPr>
            <w:r>
              <w:rPr>
                <w:sz w:val="16"/>
              </w:rPr>
              <w:t>string</w:t>
            </w:r>
          </w:p>
        </w:tc>
        <w:tc>
          <w:tcPr>
            <w:tcW w:type="dxa" w:w="2880"/>
          </w:tcPr>
          <w:p>
            <w:pPr>
              <w:spacing w:after="20" w:before="20" w:line="254" w:lineRule="auto"/>
              <w:jc w:val="left"/>
            </w:pPr>
            <w:r>
              <w:rPr>
                <w:sz w:val="16"/>
              </w:rPr>
              <w:t>excluded from modelling</w:t>
            </w:r>
          </w:p>
        </w:tc>
      </w:tr>
      <w:tr>
        <w:tc>
          <w:tcPr>
            <w:tcW w:type="dxa" w:w="1469"/>
            <w:shd w:val="clear" w:color="auto" w:fill="F2F5F9"/>
          </w:tcPr>
          <w:p>
            <w:pPr>
              <w:spacing w:after="20" w:before="20" w:line="254" w:lineRule="auto"/>
              <w:jc w:val="left"/>
            </w:pPr>
            <w:r>
              <w:rPr>
                <w:sz w:val="16"/>
              </w:rPr>
              <w:t>Demographic</w:t>
            </w:r>
          </w:p>
        </w:tc>
        <w:tc>
          <w:tcPr>
            <w:tcW w:type="dxa" w:w="3485"/>
            <w:shd w:val="clear" w:color="auto" w:fill="F2F5F9"/>
          </w:tcPr>
          <w:p>
            <w:pPr>
              <w:spacing w:after="20" w:before="20" w:line="254" w:lineRule="auto"/>
              <w:jc w:val="left"/>
            </w:pPr>
            <w:r>
              <w:rPr>
                <w:rFonts w:ascii="Consolas" w:hAnsi="Consolas" w:eastAsia="Consolas"/>
                <w:color w:val="8A2C1F"/>
                <w:sz w:val="15"/>
              </w:rPr>
              <w:t>gender</w:t>
            </w:r>
            <w:r>
              <w:rPr>
                <w:sz w:val="16"/>
              </w:rPr>
              <w:t xml:space="preserve">, </w:t>
            </w:r>
            <w:r>
              <w:rPr>
                <w:rFonts w:ascii="Consolas" w:hAnsi="Consolas" w:eastAsia="Consolas"/>
                <w:color w:val="8A2C1F"/>
                <w:sz w:val="15"/>
              </w:rPr>
              <w:t>SeniorCitizen</w:t>
            </w:r>
            <w:r>
              <w:rPr>
                <w:sz w:val="16"/>
              </w:rPr>
              <w:t xml:space="preserve">, </w:t>
            </w:r>
            <w:r>
              <w:rPr>
                <w:rFonts w:ascii="Consolas" w:hAnsi="Consolas" w:eastAsia="Consolas"/>
                <w:color w:val="8A2C1F"/>
                <w:sz w:val="15"/>
              </w:rPr>
              <w:t>Partner</w:t>
            </w:r>
            <w:r>
              <w:rPr>
                <w:sz w:val="16"/>
              </w:rPr>
              <w:t xml:space="preserve">, </w:t>
            </w:r>
            <w:r>
              <w:rPr>
                <w:rFonts w:ascii="Consolas" w:hAnsi="Consolas" w:eastAsia="Consolas"/>
                <w:color w:val="8A2C1F"/>
                <w:sz w:val="15"/>
              </w:rPr>
              <w:t>Dependents</w:t>
            </w:r>
          </w:p>
        </w:tc>
        <w:tc>
          <w:tcPr>
            <w:tcW w:type="dxa" w:w="1483"/>
            <w:shd w:val="clear" w:color="auto" w:fill="F2F5F9"/>
          </w:tcPr>
          <w:p>
            <w:pPr>
              <w:spacing w:after="20" w:before="20" w:line="254" w:lineRule="auto"/>
              <w:jc w:val="center"/>
            </w:pPr>
            <w:r>
              <w:rPr>
                <w:sz w:val="16"/>
              </w:rPr>
              <w:t>categorical / binary</w:t>
            </w:r>
          </w:p>
        </w:tc>
        <w:tc>
          <w:tcPr>
            <w:tcW w:type="dxa" w:w="2880"/>
            <w:shd w:val="clear" w:color="auto" w:fill="F2F5F9"/>
          </w:tcPr>
          <w:p>
            <w:pPr>
              <w:spacing w:after="20" w:before="20" w:line="254" w:lineRule="auto"/>
              <w:jc w:val="center"/>
            </w:pPr>
            <w:r>
              <w:rPr>
                <w:sz w:val="16"/>
              </w:rPr>
              <w:t>who the customer is</w:t>
            </w:r>
          </w:p>
        </w:tc>
      </w:tr>
      <w:tr>
        <w:tc>
          <w:tcPr>
            <w:tcW w:type="dxa" w:w="1469"/>
          </w:tcPr>
          <w:p>
            <w:pPr>
              <w:spacing w:after="20" w:before="20" w:line="254" w:lineRule="auto"/>
              <w:jc w:val="left"/>
            </w:pPr>
            <w:r>
              <w:rPr>
                <w:sz w:val="16"/>
              </w:rPr>
              <w:t>Account</w:t>
            </w:r>
          </w:p>
        </w:tc>
        <w:tc>
          <w:tcPr>
            <w:tcW w:type="dxa" w:w="3485"/>
          </w:tcPr>
          <w:p>
            <w:pPr>
              <w:spacing w:after="20" w:before="20" w:line="254" w:lineRule="auto"/>
              <w:jc w:val="left"/>
            </w:pPr>
            <w:r>
              <w:rPr>
                <w:rFonts w:ascii="Consolas" w:hAnsi="Consolas" w:eastAsia="Consolas"/>
                <w:color w:val="8A2C1F"/>
                <w:sz w:val="15"/>
              </w:rPr>
              <w:t>tenure</w:t>
            </w:r>
            <w:r>
              <w:rPr>
                <w:sz w:val="16"/>
              </w:rPr>
              <w:t xml:space="preserve">, </w:t>
            </w:r>
            <w:r>
              <w:rPr>
                <w:rFonts w:ascii="Consolas" w:hAnsi="Consolas" w:eastAsia="Consolas"/>
                <w:color w:val="8A2C1F"/>
                <w:sz w:val="15"/>
              </w:rPr>
              <w:t>Contract</w:t>
            </w:r>
            <w:r>
              <w:rPr>
                <w:sz w:val="16"/>
              </w:rPr>
              <w:t xml:space="preserve">, </w:t>
            </w:r>
            <w:r>
              <w:rPr>
                <w:rFonts w:ascii="Consolas" w:hAnsi="Consolas" w:eastAsia="Consolas"/>
                <w:color w:val="8A2C1F"/>
                <w:sz w:val="15"/>
              </w:rPr>
              <w:t>PaperlessBilling</w:t>
            </w:r>
            <w:r>
              <w:rPr>
                <w:sz w:val="16"/>
              </w:rPr>
              <w:t xml:space="preserve">, </w:t>
            </w:r>
            <w:r>
              <w:rPr>
                <w:rFonts w:ascii="Consolas" w:hAnsi="Consolas" w:eastAsia="Consolas"/>
                <w:color w:val="8A2C1F"/>
                <w:sz w:val="15"/>
              </w:rPr>
              <w:t>PaymentMethod</w:t>
            </w:r>
          </w:p>
        </w:tc>
        <w:tc>
          <w:tcPr>
            <w:tcW w:type="dxa" w:w="1483"/>
          </w:tcPr>
          <w:p>
            <w:pPr>
              <w:spacing w:after="20" w:before="20" w:line="254" w:lineRule="auto"/>
              <w:jc w:val="center"/>
            </w:pPr>
            <w:r>
              <w:rPr>
                <w:sz w:val="16"/>
              </w:rPr>
              <w:t>mixed</w:t>
            </w:r>
          </w:p>
        </w:tc>
        <w:tc>
          <w:tcPr>
            <w:tcW w:type="dxa" w:w="2880"/>
          </w:tcPr>
          <w:p>
            <w:pPr>
              <w:spacing w:after="20" w:before="20" w:line="254" w:lineRule="auto"/>
              <w:jc w:val="left"/>
            </w:pPr>
            <w:r>
              <w:rPr>
                <w:sz w:val="16"/>
              </w:rPr>
              <w:t>commercial relationship and billing behaviour</w:t>
            </w:r>
          </w:p>
        </w:tc>
      </w:tr>
      <w:tr>
        <w:tc>
          <w:tcPr>
            <w:tcW w:type="dxa" w:w="1469"/>
            <w:shd w:val="clear" w:color="auto" w:fill="F2F5F9"/>
          </w:tcPr>
          <w:p>
            <w:pPr>
              <w:spacing w:after="20" w:before="20" w:line="254" w:lineRule="auto"/>
              <w:jc w:val="left"/>
            </w:pPr>
            <w:r>
              <w:rPr>
                <w:sz w:val="16"/>
              </w:rPr>
              <w:t>Core service</w:t>
            </w:r>
          </w:p>
        </w:tc>
        <w:tc>
          <w:tcPr>
            <w:tcW w:type="dxa" w:w="3485"/>
            <w:shd w:val="clear" w:color="auto" w:fill="F2F5F9"/>
          </w:tcPr>
          <w:p>
            <w:pPr>
              <w:spacing w:after="20" w:before="20" w:line="254" w:lineRule="auto"/>
              <w:jc w:val="left"/>
            </w:pPr>
            <w:r>
              <w:rPr>
                <w:rFonts w:ascii="Consolas" w:hAnsi="Consolas" w:eastAsia="Consolas"/>
                <w:color w:val="8A2C1F"/>
                <w:sz w:val="15"/>
              </w:rPr>
              <w:t>PhoneService</w:t>
            </w:r>
            <w:r>
              <w:rPr>
                <w:sz w:val="16"/>
              </w:rPr>
              <w:t xml:space="preserve">, </w:t>
            </w:r>
            <w:r>
              <w:rPr>
                <w:rFonts w:ascii="Consolas" w:hAnsi="Consolas" w:eastAsia="Consolas"/>
                <w:color w:val="8A2C1F"/>
                <w:sz w:val="15"/>
              </w:rPr>
              <w:t>MultipleLines</w:t>
            </w:r>
            <w:r>
              <w:rPr>
                <w:sz w:val="16"/>
              </w:rPr>
              <w:t xml:space="preserve">, </w:t>
            </w:r>
            <w:r>
              <w:rPr>
                <w:rFonts w:ascii="Consolas" w:hAnsi="Consolas" w:eastAsia="Consolas"/>
                <w:color w:val="8A2C1F"/>
                <w:sz w:val="15"/>
              </w:rPr>
              <w:t>InternetService</w:t>
            </w:r>
          </w:p>
        </w:tc>
        <w:tc>
          <w:tcPr>
            <w:tcW w:type="dxa" w:w="1483"/>
            <w:shd w:val="clear" w:color="auto" w:fill="F2F5F9"/>
          </w:tcPr>
          <w:p>
            <w:pPr>
              <w:spacing w:after="20" w:before="20" w:line="254" w:lineRule="auto"/>
              <w:jc w:val="center"/>
            </w:pPr>
            <w:r>
              <w:rPr>
                <w:sz w:val="16"/>
              </w:rPr>
              <w:t>categorical</w:t>
            </w:r>
          </w:p>
        </w:tc>
        <w:tc>
          <w:tcPr>
            <w:tcW w:type="dxa" w:w="2880"/>
            <w:shd w:val="clear" w:color="auto" w:fill="F2F5F9"/>
          </w:tcPr>
          <w:p>
            <w:pPr>
              <w:spacing w:after="20" w:before="20" w:line="254" w:lineRule="auto"/>
              <w:jc w:val="left"/>
            </w:pPr>
            <w:r>
              <w:rPr>
                <w:sz w:val="16"/>
              </w:rPr>
              <w:t>primary products subscribed</w:t>
            </w:r>
          </w:p>
        </w:tc>
      </w:tr>
      <w:tr>
        <w:tc>
          <w:tcPr>
            <w:tcW w:type="dxa" w:w="1469"/>
          </w:tcPr>
          <w:p>
            <w:pPr>
              <w:spacing w:after="20" w:before="20" w:line="254" w:lineRule="auto"/>
              <w:jc w:val="left"/>
            </w:pPr>
            <w:r>
              <w:rPr>
                <w:sz w:val="16"/>
              </w:rPr>
              <w:t>Add-on service</w:t>
            </w:r>
          </w:p>
        </w:tc>
        <w:tc>
          <w:tcPr>
            <w:tcW w:type="dxa" w:w="3485"/>
          </w:tcPr>
          <w:p>
            <w:pPr>
              <w:spacing w:after="20" w:before="20" w:line="254" w:lineRule="auto"/>
              <w:jc w:val="left"/>
            </w:pPr>
            <w:r>
              <w:rPr>
                <w:rFonts w:ascii="Consolas" w:hAnsi="Consolas" w:eastAsia="Consolas"/>
                <w:color w:val="8A2C1F"/>
                <w:sz w:val="15"/>
              </w:rPr>
              <w:t>OnlineSecurity</w:t>
            </w:r>
            <w:r>
              <w:rPr>
                <w:sz w:val="16"/>
              </w:rPr>
              <w:t xml:space="preserve">, </w:t>
            </w:r>
            <w:r>
              <w:rPr>
                <w:rFonts w:ascii="Consolas" w:hAnsi="Consolas" w:eastAsia="Consolas"/>
                <w:color w:val="8A2C1F"/>
                <w:sz w:val="15"/>
              </w:rPr>
              <w:t>OnlineBackup</w:t>
            </w:r>
            <w:r>
              <w:rPr>
                <w:sz w:val="16"/>
              </w:rPr>
              <w:t xml:space="preserve">, </w:t>
            </w:r>
            <w:r>
              <w:rPr>
                <w:rFonts w:ascii="Consolas" w:hAnsi="Consolas" w:eastAsia="Consolas"/>
                <w:color w:val="8A2C1F"/>
                <w:sz w:val="15"/>
              </w:rPr>
              <w:t>DeviceProtection</w:t>
            </w:r>
            <w:r>
              <w:rPr>
                <w:sz w:val="16"/>
              </w:rPr>
              <w:t xml:space="preserve">, </w:t>
            </w:r>
            <w:r>
              <w:rPr>
                <w:rFonts w:ascii="Consolas" w:hAnsi="Consolas" w:eastAsia="Consolas"/>
                <w:color w:val="8A2C1F"/>
                <w:sz w:val="15"/>
              </w:rPr>
              <w:t>TechSupport</w:t>
            </w:r>
            <w:r>
              <w:rPr>
                <w:sz w:val="16"/>
              </w:rPr>
              <w:t xml:space="preserve">, </w:t>
            </w:r>
            <w:r>
              <w:rPr>
                <w:rFonts w:ascii="Consolas" w:hAnsi="Consolas" w:eastAsia="Consolas"/>
                <w:color w:val="8A2C1F"/>
                <w:sz w:val="15"/>
              </w:rPr>
              <w:t>StreamingTV</w:t>
            </w:r>
            <w:r>
              <w:rPr>
                <w:sz w:val="16"/>
              </w:rPr>
              <w:t xml:space="preserve">, </w:t>
            </w:r>
            <w:r>
              <w:rPr>
                <w:rFonts w:ascii="Consolas" w:hAnsi="Consolas" w:eastAsia="Consolas"/>
                <w:color w:val="8A2C1F"/>
                <w:sz w:val="15"/>
              </w:rPr>
              <w:t>StreamingMovies</w:t>
            </w:r>
          </w:p>
        </w:tc>
        <w:tc>
          <w:tcPr>
            <w:tcW w:type="dxa" w:w="1483"/>
          </w:tcPr>
          <w:p>
            <w:pPr>
              <w:spacing w:after="20" w:before="20" w:line="254" w:lineRule="auto"/>
              <w:jc w:val="center"/>
            </w:pPr>
            <w:r>
              <w:rPr>
                <w:sz w:val="16"/>
              </w:rPr>
              <w:t>categorical</w:t>
            </w:r>
          </w:p>
        </w:tc>
        <w:tc>
          <w:tcPr>
            <w:tcW w:type="dxa" w:w="2880"/>
          </w:tcPr>
          <w:p>
            <w:pPr>
              <w:spacing w:after="20" w:before="20" w:line="254" w:lineRule="auto"/>
              <w:jc w:val="left"/>
            </w:pPr>
            <w:r>
              <w:rPr>
                <w:sz w:val="16"/>
              </w:rPr>
              <w:t>value-added product adoption</w:t>
            </w:r>
          </w:p>
        </w:tc>
      </w:tr>
      <w:tr>
        <w:tc>
          <w:tcPr>
            <w:tcW w:type="dxa" w:w="1469"/>
            <w:shd w:val="clear" w:color="auto" w:fill="F2F5F9"/>
          </w:tcPr>
          <w:p>
            <w:pPr>
              <w:spacing w:after="20" w:before="20" w:line="254" w:lineRule="auto"/>
              <w:jc w:val="left"/>
            </w:pPr>
            <w:r>
              <w:rPr>
                <w:sz w:val="16"/>
              </w:rPr>
              <w:t>Financial</w:t>
            </w:r>
          </w:p>
        </w:tc>
        <w:tc>
          <w:tcPr>
            <w:tcW w:type="dxa" w:w="3485"/>
            <w:shd w:val="clear" w:color="auto" w:fill="F2F5F9"/>
          </w:tcPr>
          <w:p>
            <w:pPr>
              <w:spacing w:after="20" w:before="20" w:line="254" w:lineRule="auto"/>
              <w:jc w:val="left"/>
            </w:pPr>
            <w:r>
              <w:rPr>
                <w:rFonts w:ascii="Consolas" w:hAnsi="Consolas" w:eastAsia="Consolas"/>
                <w:color w:val="8A2C1F"/>
                <w:sz w:val="15"/>
              </w:rPr>
              <w:t>MonthlyCharges</w:t>
            </w:r>
            <w:r>
              <w:rPr>
                <w:sz w:val="16"/>
              </w:rPr>
              <w:t xml:space="preserve">, </w:t>
            </w:r>
            <w:r>
              <w:rPr>
                <w:rFonts w:ascii="Consolas" w:hAnsi="Consolas" w:eastAsia="Consolas"/>
                <w:color w:val="8A2C1F"/>
                <w:sz w:val="15"/>
              </w:rPr>
              <w:t>TotalCharges</w:t>
            </w:r>
          </w:p>
        </w:tc>
        <w:tc>
          <w:tcPr>
            <w:tcW w:type="dxa" w:w="1483"/>
            <w:shd w:val="clear" w:color="auto" w:fill="F2F5F9"/>
          </w:tcPr>
          <w:p>
            <w:pPr>
              <w:spacing w:after="20" w:before="20" w:line="254" w:lineRule="auto"/>
              <w:jc w:val="center"/>
            </w:pPr>
            <w:r>
              <w:rPr>
                <w:sz w:val="16"/>
              </w:rPr>
              <w:t>numeric</w:t>
            </w:r>
          </w:p>
        </w:tc>
        <w:tc>
          <w:tcPr>
            <w:tcW w:type="dxa" w:w="2880"/>
            <w:shd w:val="clear" w:color="auto" w:fill="F2F5F9"/>
          </w:tcPr>
          <w:p>
            <w:pPr>
              <w:spacing w:after="20" w:before="20" w:line="254" w:lineRule="auto"/>
              <w:jc w:val="left"/>
            </w:pPr>
            <w:r>
              <w:rPr>
                <w:sz w:val="16"/>
              </w:rPr>
              <w:t>recurring and lifetime revenue</w:t>
            </w:r>
          </w:p>
        </w:tc>
      </w:tr>
      <w:tr>
        <w:tc>
          <w:tcPr>
            <w:tcW w:type="dxa" w:w="1469"/>
          </w:tcPr>
          <w:p>
            <w:pPr>
              <w:spacing w:after="20" w:before="20" w:line="254" w:lineRule="auto"/>
              <w:jc w:val="left"/>
            </w:pPr>
            <w:r>
              <w:rPr>
                <w:sz w:val="16"/>
              </w:rPr>
              <w:t>Target</w:t>
            </w:r>
          </w:p>
        </w:tc>
        <w:tc>
          <w:tcPr>
            <w:tcW w:type="dxa" w:w="3485"/>
          </w:tcPr>
          <w:p>
            <w:pPr>
              <w:spacing w:after="20" w:before="20" w:line="254" w:lineRule="auto"/>
              <w:jc w:val="center"/>
            </w:pPr>
            <w:r>
              <w:rPr>
                <w:rFonts w:ascii="Consolas" w:hAnsi="Consolas" w:eastAsia="Consolas"/>
                <w:color w:val="8A2C1F"/>
                <w:sz w:val="15"/>
              </w:rPr>
              <w:t>Churn</w:t>
            </w:r>
          </w:p>
        </w:tc>
        <w:tc>
          <w:tcPr>
            <w:tcW w:type="dxa" w:w="1483"/>
          </w:tcPr>
          <w:p>
            <w:pPr>
              <w:spacing w:after="20" w:before="20" w:line="254" w:lineRule="auto"/>
              <w:jc w:val="center"/>
            </w:pPr>
            <w:r>
              <w:rPr>
                <w:sz w:val="16"/>
              </w:rPr>
              <w:t>binary</w:t>
            </w:r>
          </w:p>
        </w:tc>
        <w:tc>
          <w:tcPr>
            <w:tcW w:type="dxa" w:w="2880"/>
          </w:tcPr>
          <w:p>
            <w:pPr>
              <w:spacing w:after="20" w:before="20" w:line="254" w:lineRule="auto"/>
              <w:jc w:val="left"/>
            </w:pPr>
            <w:r>
              <w:rPr>
                <w:sz w:val="16"/>
              </w:rPr>
              <w:t>Yes = customer left, No = customer retained</w:t>
            </w:r>
          </w:p>
        </w:tc>
      </w:tr>
    </w:tbl>
    <w:p>
      <w:pPr>
        <w:spacing w:before="80" w:after="200"/>
        <w:jc w:val="center"/>
      </w:pPr>
      <w:r>
        <w:rPr>
          <w:i/>
          <w:color w:val="555F6B"/>
          <w:sz w:val="17"/>
        </w:rPr>
        <w:t>Table 4: Attribute schema of the source dataset, grouped by analytical role.</w:t>
      </w:r>
    </w:p>
    <w:p>
      <w:pPr>
        <w:keepNext/>
        <w:spacing w:before="240" w:after="80"/>
      </w:pPr>
      <w:r>
        <w:rPr>
          <w:rFonts w:ascii="Calibri" w:hAnsi="Calibri"/>
          <w:b/>
          <w:color w:val="1B355E"/>
          <w:sz w:val="25"/>
        </w:rPr>
        <w:t>4.2  Target distribution and baseline</w:t>
      </w:r>
    </w:p>
    <w:p>
      <w:pPr>
        <w:spacing w:after="120" w:before="0"/>
        <w:jc w:val="both"/>
      </w:pPr>
      <w:r>
        <w:rPr>
          <w:b w:val="0"/>
          <w:i w:val="0"/>
          <w:sz w:val="21"/>
        </w:rPr>
        <w:t>The class balance measured directly from the raw file establishes the baseline against which every model must be judged.</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232"/>
        <w:gridCol w:w="1655"/>
        <w:gridCol w:w="1512"/>
        <w:gridCol w:w="3916"/>
      </w:tblGrid>
      <w:tr>
        <w:tc>
          <w:tcPr>
            <w:tcW w:type="dxa" w:w="2232"/>
            <w:shd w:val="clear" w:color="auto" w:fill="1B355E"/>
          </w:tcPr>
          <w:p>
            <w:pPr>
              <w:spacing w:after="20" w:before="20"/>
              <w:jc w:val="center"/>
            </w:pPr>
            <w:r>
              <w:rPr>
                <w:b/>
                <w:color w:val="FFFFFF"/>
                <w:sz w:val="17"/>
              </w:rPr>
              <w:t>Class</w:t>
            </w:r>
          </w:p>
        </w:tc>
        <w:tc>
          <w:tcPr>
            <w:tcW w:type="dxa" w:w="1656"/>
            <w:shd w:val="clear" w:color="auto" w:fill="1B355E"/>
          </w:tcPr>
          <w:p>
            <w:pPr>
              <w:spacing w:after="20" w:before="20"/>
              <w:jc w:val="center"/>
            </w:pPr>
            <w:r>
              <w:rPr>
                <w:b/>
                <w:color w:val="FFFFFF"/>
                <w:sz w:val="17"/>
              </w:rPr>
              <w:t>Records</w:t>
            </w:r>
          </w:p>
        </w:tc>
        <w:tc>
          <w:tcPr>
            <w:tcW w:type="dxa" w:w="1512"/>
            <w:shd w:val="clear" w:color="auto" w:fill="1B355E"/>
          </w:tcPr>
          <w:p>
            <w:pPr>
              <w:spacing w:after="20" w:before="20"/>
              <w:jc w:val="center"/>
            </w:pPr>
            <w:r>
              <w:rPr>
                <w:b/>
                <w:color w:val="FFFFFF"/>
                <w:sz w:val="17"/>
              </w:rPr>
              <w:t>Share</w:t>
            </w:r>
          </w:p>
        </w:tc>
        <w:tc>
          <w:tcPr>
            <w:tcW w:type="dxa" w:w="3917"/>
            <w:shd w:val="clear" w:color="auto" w:fill="1B355E"/>
          </w:tcPr>
          <w:p>
            <w:pPr>
              <w:spacing w:after="20" w:before="20"/>
              <w:jc w:val="center"/>
            </w:pPr>
            <w:r>
              <w:rPr>
                <w:b/>
                <w:color w:val="FFFFFF"/>
                <w:sz w:val="17"/>
              </w:rPr>
              <w:t>Meaning</w:t>
            </w:r>
          </w:p>
        </w:tc>
      </w:tr>
      <w:tr>
        <w:tc>
          <w:tcPr>
            <w:tcW w:type="dxa" w:w="2232"/>
          </w:tcPr>
          <w:p>
            <w:pPr>
              <w:spacing w:after="20" w:before="20" w:line="254" w:lineRule="auto"/>
              <w:jc w:val="left"/>
            </w:pPr>
            <w:r>
              <w:rPr>
                <w:sz w:val="18"/>
              </w:rPr>
              <w:t>No (retained)</w:t>
            </w:r>
          </w:p>
        </w:tc>
        <w:tc>
          <w:tcPr>
            <w:tcW w:type="dxa" w:w="1656"/>
          </w:tcPr>
          <w:p>
            <w:pPr>
              <w:spacing w:after="20" w:before="20" w:line="254" w:lineRule="auto"/>
              <w:jc w:val="center"/>
            </w:pPr>
            <w:r>
              <w:rPr>
                <w:sz w:val="18"/>
              </w:rPr>
              <w:t>5 174</w:t>
            </w:r>
          </w:p>
        </w:tc>
        <w:tc>
          <w:tcPr>
            <w:tcW w:type="dxa" w:w="1512"/>
          </w:tcPr>
          <w:p>
            <w:pPr>
              <w:spacing w:after="20" w:before="20" w:line="254" w:lineRule="auto"/>
              <w:jc w:val="center"/>
            </w:pPr>
            <w:r>
              <w:rPr>
                <w:sz w:val="18"/>
              </w:rPr>
              <w:t>73.46 %</w:t>
            </w:r>
          </w:p>
        </w:tc>
        <w:tc>
          <w:tcPr>
            <w:tcW w:type="dxa" w:w="3917"/>
          </w:tcPr>
          <w:p>
            <w:pPr>
              <w:spacing w:after="20" w:before="20" w:line="254" w:lineRule="auto"/>
              <w:jc w:val="left"/>
            </w:pPr>
            <w:r>
              <w:rPr>
                <w:sz w:val="18"/>
              </w:rPr>
              <w:t>customer still active at observation</w:t>
            </w:r>
          </w:p>
        </w:tc>
      </w:tr>
      <w:tr>
        <w:tc>
          <w:tcPr>
            <w:tcW w:type="dxa" w:w="2232"/>
            <w:shd w:val="clear" w:color="auto" w:fill="F2F5F9"/>
          </w:tcPr>
          <w:p>
            <w:pPr>
              <w:spacing w:after="20" w:before="20" w:line="254" w:lineRule="auto"/>
              <w:jc w:val="left"/>
            </w:pPr>
            <w:r>
              <w:rPr>
                <w:b/>
                <w:sz w:val="18"/>
              </w:rPr>
              <w:t>Yes (churned)</w:t>
            </w:r>
          </w:p>
        </w:tc>
        <w:tc>
          <w:tcPr>
            <w:tcW w:type="dxa" w:w="1656"/>
            <w:shd w:val="clear" w:color="auto" w:fill="F2F5F9"/>
          </w:tcPr>
          <w:p>
            <w:pPr>
              <w:spacing w:after="20" w:before="20" w:line="254" w:lineRule="auto"/>
              <w:jc w:val="center"/>
            </w:pPr>
            <w:r>
              <w:rPr>
                <w:b/>
                <w:sz w:val="18"/>
              </w:rPr>
              <w:t>1 869</w:t>
            </w:r>
          </w:p>
        </w:tc>
        <w:tc>
          <w:tcPr>
            <w:tcW w:type="dxa" w:w="1512"/>
            <w:shd w:val="clear" w:color="auto" w:fill="F2F5F9"/>
          </w:tcPr>
          <w:p>
            <w:pPr>
              <w:spacing w:after="20" w:before="20" w:line="254" w:lineRule="auto"/>
              <w:jc w:val="center"/>
            </w:pPr>
            <w:r>
              <w:rPr>
                <w:b/>
                <w:sz w:val="18"/>
              </w:rPr>
              <w:t>26.54 %</w:t>
            </w:r>
          </w:p>
        </w:tc>
        <w:tc>
          <w:tcPr>
            <w:tcW w:type="dxa" w:w="3917"/>
            <w:shd w:val="clear" w:color="auto" w:fill="F2F5F9"/>
          </w:tcPr>
          <w:p>
            <w:pPr>
              <w:spacing w:after="20" w:before="20" w:line="254" w:lineRule="auto"/>
              <w:jc w:val="left"/>
            </w:pPr>
            <w:r>
              <w:rPr>
                <w:b/>
                <w:sz w:val="18"/>
              </w:rPr>
              <w:t>customer terminated the service</w:t>
            </w:r>
          </w:p>
        </w:tc>
      </w:tr>
      <w:tr>
        <w:tc>
          <w:tcPr>
            <w:tcW w:type="dxa" w:w="2232"/>
          </w:tcPr>
          <w:p>
            <w:pPr>
              <w:spacing w:after="20" w:before="20" w:line="254" w:lineRule="auto"/>
              <w:jc w:val="left"/>
            </w:pPr>
            <w:r>
              <w:rPr>
                <w:sz w:val="18"/>
              </w:rPr>
              <w:t>Total</w:t>
            </w:r>
          </w:p>
        </w:tc>
        <w:tc>
          <w:tcPr>
            <w:tcW w:type="dxa" w:w="1656"/>
          </w:tcPr>
          <w:p>
            <w:pPr>
              <w:spacing w:after="20" w:before="20" w:line="254" w:lineRule="auto"/>
              <w:jc w:val="center"/>
            </w:pPr>
            <w:r>
              <w:rPr>
                <w:sz w:val="18"/>
              </w:rPr>
              <w:t>7 043</w:t>
            </w:r>
          </w:p>
        </w:tc>
        <w:tc>
          <w:tcPr>
            <w:tcW w:type="dxa" w:w="1512"/>
          </w:tcPr>
          <w:p>
            <w:pPr>
              <w:spacing w:after="20" w:before="20" w:line="254" w:lineRule="auto"/>
              <w:jc w:val="center"/>
            </w:pPr>
            <w:r>
              <w:rPr>
                <w:sz w:val="18"/>
              </w:rPr>
              <w:t>100.00 %</w:t>
            </w:r>
          </w:p>
        </w:tc>
        <w:tc>
          <w:tcPr>
            <w:tcW w:type="dxa" w:w="3917"/>
          </w:tcPr>
          <w:p>
            <w:pPr>
              <w:spacing w:after="20" w:before="20" w:line="254" w:lineRule="auto"/>
              <w:jc w:val="center"/>
            </w:pPr>
            <w:r>
              <w:rPr>
                <w:sz w:val="18"/>
              </w:rPr>
              <w:t>complete customer base</w:t>
            </w:r>
          </w:p>
        </w:tc>
      </w:tr>
    </w:tbl>
    <w:p>
      <w:pPr>
        <w:spacing w:before="80" w:after="200"/>
        <w:jc w:val="center"/>
      </w:pPr>
      <w:r>
        <w:rPr>
          <w:i/>
          <w:color w:val="555F6B"/>
          <w:sz w:val="17"/>
        </w:rPr>
        <w:t>Table 5: Class distribution of the target variable, measured on the raw dataset.</w:t>
      </w:r>
    </w:p>
    <w:p>
      <w:pPr>
        <w:spacing w:after="120"/>
        <w:jc w:val="both"/>
      </w:pPr>
      <w:r>
        <w:rPr>
          <w:sz w:val="21"/>
        </w:rPr>
        <w:t xml:space="preserve">The 26.54 % positive rate is the figure that makes accuracy a misleading metric for this problem. A model that predicted </w:t>
      </w:r>
      <w:r>
        <w:rPr>
          <w:i/>
          <w:sz w:val="21"/>
        </w:rPr>
        <w:t>"no churn" for every customer</w:t>
      </w:r>
      <w:r>
        <w:rPr>
          <w:sz w:val="21"/>
        </w:rPr>
        <w:t xml:space="preserve"> would score 73.46 % accuracy while identifying not one leaving customer. This is why phase 6 selects models on ROC-AUC rather than accuracy, and why every classifier in the study is instantiated with </w:t>
      </w:r>
      <w:r>
        <w:rPr>
          <w:rFonts w:ascii="Consolas" w:hAnsi="Consolas"/>
          <w:color w:val="8A2C1F"/>
          <w:sz w:val="19"/>
        </w:rPr>
        <w:t>class_weight="balanced"</w:t>
      </w:r>
      <w:r>
        <w:rPr>
          <w:sz w:val="21"/>
        </w:rPr>
        <w:t xml:space="preserve"> or an equivalent </w:t>
      </w:r>
      <w:r>
        <w:rPr>
          <w:rFonts w:ascii="Consolas" w:hAnsi="Consolas"/>
          <w:color w:val="8A2C1F"/>
          <w:sz w:val="19"/>
        </w:rPr>
        <w:t>scale_pos_weight</w:t>
      </w:r>
      <w:r>
        <w:rPr>
          <w:sz w:val="21"/>
        </w:rPr>
        <w:t xml:space="preserve"> correction.</w:t>
      </w:r>
    </w:p>
    <w:p>
      <w:pPr>
        <w:keepNext/>
        <w:spacing w:before="240" w:after="80"/>
      </w:pPr>
      <w:r>
        <w:rPr>
          <w:rFonts w:ascii="Calibri" w:hAnsi="Calibri"/>
          <w:b/>
          <w:color w:val="1B355E"/>
          <w:sz w:val="25"/>
        </w:rPr>
        <w:t>4.3  Data-quality issues present in the raw file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332"/>
        <w:gridCol w:w="1512"/>
        <w:gridCol w:w="1267"/>
        <w:gridCol w:w="4204"/>
      </w:tblGrid>
      <w:tr>
        <w:tc>
          <w:tcPr>
            <w:tcW w:type="dxa" w:w="2333"/>
            <w:shd w:val="clear" w:color="auto" w:fill="1B355E"/>
          </w:tcPr>
          <w:p>
            <w:pPr>
              <w:spacing w:after="20" w:before="20"/>
              <w:jc w:val="center"/>
            </w:pPr>
            <w:r>
              <w:rPr>
                <w:b/>
                <w:color w:val="FFFFFF"/>
                <w:sz w:val="17"/>
              </w:rPr>
              <w:t>Issue</w:t>
            </w:r>
          </w:p>
        </w:tc>
        <w:tc>
          <w:tcPr>
            <w:tcW w:type="dxa" w:w="1512"/>
            <w:shd w:val="clear" w:color="auto" w:fill="1B355E"/>
          </w:tcPr>
          <w:p>
            <w:pPr>
              <w:spacing w:after="20" w:before="20"/>
              <w:jc w:val="center"/>
            </w:pPr>
            <w:r>
              <w:rPr>
                <w:b/>
                <w:color w:val="FFFFFF"/>
                <w:sz w:val="17"/>
              </w:rPr>
              <w:t>Extent</w:t>
            </w:r>
          </w:p>
        </w:tc>
        <w:tc>
          <w:tcPr>
            <w:tcW w:type="dxa" w:w="1267"/>
            <w:shd w:val="clear" w:color="auto" w:fill="1B355E"/>
          </w:tcPr>
          <w:p>
            <w:pPr>
              <w:spacing w:after="20" w:before="20"/>
              <w:jc w:val="center"/>
            </w:pPr>
            <w:r>
              <w:rPr>
                <w:b/>
                <w:color w:val="FFFFFF"/>
                <w:sz w:val="17"/>
              </w:rPr>
              <w:t>Detected in</w:t>
            </w:r>
          </w:p>
        </w:tc>
        <w:tc>
          <w:tcPr>
            <w:tcW w:type="dxa" w:w="4205"/>
            <w:shd w:val="clear" w:color="auto" w:fill="1B355E"/>
          </w:tcPr>
          <w:p>
            <w:pPr>
              <w:spacing w:after="20" w:before="20"/>
              <w:jc w:val="center"/>
            </w:pPr>
            <w:r>
              <w:rPr>
                <w:b/>
                <w:color w:val="FFFFFF"/>
                <w:sz w:val="17"/>
              </w:rPr>
              <w:t>Resolution</w:t>
            </w:r>
          </w:p>
        </w:tc>
      </w:tr>
      <w:tr>
        <w:tc>
          <w:tcPr>
            <w:tcW w:type="dxa" w:w="2333"/>
          </w:tcPr>
          <w:p>
            <w:pPr>
              <w:spacing w:after="20" w:before="20" w:line="254" w:lineRule="auto"/>
              <w:jc w:val="left"/>
            </w:pPr>
            <w:r>
              <w:rPr>
                <w:rFonts w:ascii="Consolas" w:hAnsi="Consolas" w:eastAsia="Consolas"/>
                <w:color w:val="8A2C1F"/>
                <w:sz w:val="15"/>
              </w:rPr>
              <w:t>TotalCharges</w:t>
            </w:r>
            <w:r>
              <w:rPr>
                <w:sz w:val="16"/>
              </w:rPr>
              <w:t xml:space="preserve"> stored as text</w:t>
            </w:r>
          </w:p>
        </w:tc>
        <w:tc>
          <w:tcPr>
            <w:tcW w:type="dxa" w:w="1512"/>
          </w:tcPr>
          <w:p>
            <w:pPr>
              <w:spacing w:after="20" w:before="20" w:line="254" w:lineRule="auto"/>
              <w:jc w:val="center"/>
            </w:pPr>
            <w:r>
              <w:rPr>
                <w:sz w:val="16"/>
              </w:rPr>
              <w:t>all 7 043 rows</w:t>
            </w:r>
          </w:p>
        </w:tc>
        <w:tc>
          <w:tcPr>
            <w:tcW w:type="dxa" w:w="1267"/>
          </w:tcPr>
          <w:p>
            <w:pPr>
              <w:spacing w:after="20" w:before="20" w:line="254" w:lineRule="auto"/>
              <w:jc w:val="center"/>
            </w:pPr>
            <w:r>
              <w:rPr>
                <w:sz w:val="16"/>
              </w:rPr>
              <w:t>phase 1</w:t>
            </w:r>
          </w:p>
        </w:tc>
        <w:tc>
          <w:tcPr>
            <w:tcW w:type="dxa" w:w="4205"/>
          </w:tcPr>
          <w:p>
            <w:pPr>
              <w:spacing w:after="20" w:before="20" w:line="254" w:lineRule="auto"/>
              <w:jc w:val="left"/>
            </w:pPr>
            <w:r>
              <w:rPr>
                <w:sz w:val="16"/>
              </w:rPr>
              <w:t xml:space="preserve">cast with </w:t>
            </w:r>
            <w:r>
              <w:rPr>
                <w:rFonts w:ascii="Consolas" w:hAnsi="Consolas" w:eastAsia="Consolas"/>
                <w:color w:val="8A2C1F"/>
                <w:sz w:val="15"/>
              </w:rPr>
              <w:t>pd.to_numeric(errors="coerce")</w:t>
            </w:r>
          </w:p>
        </w:tc>
      </w:tr>
      <w:tr>
        <w:tc>
          <w:tcPr>
            <w:tcW w:type="dxa" w:w="2333"/>
            <w:shd w:val="clear" w:color="auto" w:fill="F2F5F9"/>
          </w:tcPr>
          <w:p>
            <w:pPr>
              <w:spacing w:after="20" w:before="20" w:line="254" w:lineRule="auto"/>
              <w:jc w:val="left"/>
            </w:pPr>
            <w:r>
              <w:rPr>
                <w:sz w:val="16"/>
              </w:rPr>
              <w:t xml:space="preserve">Blank </w:t>
            </w:r>
            <w:r>
              <w:rPr>
                <w:rFonts w:ascii="Consolas" w:hAnsi="Consolas" w:eastAsia="Consolas"/>
                <w:color w:val="8A2C1F"/>
                <w:sz w:val="15"/>
              </w:rPr>
              <w:t>TotalCharges</w:t>
            </w:r>
          </w:p>
        </w:tc>
        <w:tc>
          <w:tcPr>
            <w:tcW w:type="dxa" w:w="1512"/>
            <w:shd w:val="clear" w:color="auto" w:fill="F2F5F9"/>
          </w:tcPr>
          <w:p>
            <w:pPr>
              <w:spacing w:after="20" w:before="20" w:line="254" w:lineRule="auto"/>
              <w:jc w:val="center"/>
            </w:pPr>
            <w:r>
              <w:rPr>
                <w:sz w:val="16"/>
              </w:rPr>
              <w:t>11 rows</w:t>
            </w:r>
          </w:p>
        </w:tc>
        <w:tc>
          <w:tcPr>
            <w:tcW w:type="dxa" w:w="1267"/>
            <w:shd w:val="clear" w:color="auto" w:fill="F2F5F9"/>
          </w:tcPr>
          <w:p>
            <w:pPr>
              <w:spacing w:after="20" w:before="20" w:line="254" w:lineRule="auto"/>
              <w:jc w:val="center"/>
            </w:pPr>
            <w:r>
              <w:rPr>
                <w:sz w:val="16"/>
              </w:rPr>
              <w:t>phase 1</w:t>
            </w:r>
          </w:p>
        </w:tc>
        <w:tc>
          <w:tcPr>
            <w:tcW w:type="dxa" w:w="4205"/>
            <w:shd w:val="clear" w:color="auto" w:fill="F2F5F9"/>
          </w:tcPr>
          <w:p>
            <w:pPr>
              <w:spacing w:after="20" w:before="20" w:line="254" w:lineRule="auto"/>
              <w:jc w:val="left"/>
            </w:pPr>
            <w:r>
              <w:rPr>
                <w:sz w:val="16"/>
              </w:rPr>
              <w:t xml:space="preserve">all 11 have </w:t>
            </w:r>
            <w:r>
              <w:rPr>
                <w:rFonts w:ascii="Consolas" w:hAnsi="Consolas" w:eastAsia="Consolas"/>
                <w:color w:val="8A2C1F"/>
                <w:sz w:val="15"/>
              </w:rPr>
              <w:t>tenure = 0</w:t>
            </w:r>
            <w:r>
              <w:rPr>
                <w:sz w:val="16"/>
              </w:rPr>
              <w:t>; set to 0.0</w:t>
            </w:r>
          </w:p>
        </w:tc>
      </w:tr>
      <w:tr>
        <w:tc>
          <w:tcPr>
            <w:tcW w:type="dxa" w:w="2333"/>
          </w:tcPr>
          <w:p>
            <w:pPr>
              <w:spacing w:after="20" w:before="20" w:line="254" w:lineRule="auto"/>
              <w:jc w:val="left"/>
            </w:pPr>
            <w:r>
              <w:rPr>
                <w:sz w:val="16"/>
              </w:rPr>
              <w:t>Redundant service labels</w:t>
            </w:r>
          </w:p>
        </w:tc>
        <w:tc>
          <w:tcPr>
            <w:tcW w:type="dxa" w:w="1512"/>
          </w:tcPr>
          <w:p>
            <w:pPr>
              <w:spacing w:after="20" w:before="20" w:line="254" w:lineRule="auto"/>
              <w:jc w:val="center"/>
            </w:pPr>
            <w:r>
              <w:rPr>
                <w:sz w:val="16"/>
              </w:rPr>
              <w:t>7 columns</w:t>
            </w:r>
          </w:p>
        </w:tc>
        <w:tc>
          <w:tcPr>
            <w:tcW w:type="dxa" w:w="1267"/>
          </w:tcPr>
          <w:p>
            <w:pPr>
              <w:spacing w:after="20" w:before="20" w:line="254" w:lineRule="auto"/>
              <w:jc w:val="center"/>
            </w:pPr>
            <w:r>
              <w:rPr>
                <w:sz w:val="16"/>
              </w:rPr>
              <w:t>phase 2</w:t>
            </w:r>
          </w:p>
        </w:tc>
        <w:tc>
          <w:tcPr>
            <w:tcW w:type="dxa" w:w="4205"/>
          </w:tcPr>
          <w:p>
            <w:pPr>
              <w:spacing w:after="20" w:before="20" w:line="254" w:lineRule="auto"/>
              <w:jc w:val="left"/>
            </w:pPr>
            <w:r>
              <w:rPr>
                <w:sz w:val="16"/>
              </w:rPr>
              <w:t>"No internet service" and "No phone service" folded into "No"</w:t>
            </w:r>
          </w:p>
        </w:tc>
      </w:tr>
      <w:tr>
        <w:tc>
          <w:tcPr>
            <w:tcW w:type="dxa" w:w="2333"/>
            <w:shd w:val="clear" w:color="auto" w:fill="F2F5F9"/>
          </w:tcPr>
          <w:p>
            <w:pPr>
              <w:spacing w:after="20" w:before="20" w:line="254" w:lineRule="auto"/>
              <w:jc w:val="left"/>
            </w:pPr>
            <w:r>
              <w:rPr>
                <w:sz w:val="16"/>
              </w:rPr>
              <w:t>Duplicate records</w:t>
            </w:r>
          </w:p>
        </w:tc>
        <w:tc>
          <w:tcPr>
            <w:tcW w:type="dxa" w:w="1512"/>
            <w:shd w:val="clear" w:color="auto" w:fill="F2F5F9"/>
          </w:tcPr>
          <w:p>
            <w:pPr>
              <w:spacing w:after="20" w:before="20" w:line="254" w:lineRule="auto"/>
              <w:jc w:val="center"/>
            </w:pPr>
            <w:r>
              <w:rPr>
                <w:sz w:val="16"/>
              </w:rPr>
              <w:t>0 found</w:t>
            </w:r>
          </w:p>
        </w:tc>
        <w:tc>
          <w:tcPr>
            <w:tcW w:type="dxa" w:w="1267"/>
            <w:shd w:val="clear" w:color="auto" w:fill="F2F5F9"/>
          </w:tcPr>
          <w:p>
            <w:pPr>
              <w:spacing w:after="20" w:before="20" w:line="254" w:lineRule="auto"/>
              <w:jc w:val="center"/>
            </w:pPr>
            <w:r>
              <w:rPr>
                <w:sz w:val="16"/>
              </w:rPr>
              <w:t>phase 2</w:t>
            </w:r>
          </w:p>
        </w:tc>
        <w:tc>
          <w:tcPr>
            <w:tcW w:type="dxa" w:w="4205"/>
            <w:shd w:val="clear" w:color="auto" w:fill="F2F5F9"/>
          </w:tcPr>
          <w:p>
            <w:pPr>
              <w:spacing w:after="20" w:before="20" w:line="254" w:lineRule="auto"/>
              <w:jc w:val="center"/>
            </w:pPr>
            <w:r>
              <w:rPr>
                <w:sz w:val="16"/>
              </w:rPr>
              <w:t>no action required</w:t>
            </w:r>
          </w:p>
        </w:tc>
      </w:tr>
      <w:tr>
        <w:tc>
          <w:tcPr>
            <w:tcW w:type="dxa" w:w="2333"/>
          </w:tcPr>
          <w:p>
            <w:pPr>
              <w:spacing w:after="20" w:before="20" w:line="254" w:lineRule="auto"/>
              <w:jc w:val="left"/>
            </w:pPr>
            <w:r>
              <w:rPr>
                <w:sz w:val="16"/>
              </w:rPr>
              <w:t>Explicit nulls</w:t>
            </w:r>
          </w:p>
        </w:tc>
        <w:tc>
          <w:tcPr>
            <w:tcW w:type="dxa" w:w="1512"/>
          </w:tcPr>
          <w:p>
            <w:pPr>
              <w:spacing w:after="20" w:before="20" w:line="254" w:lineRule="auto"/>
              <w:jc w:val="center"/>
            </w:pPr>
            <w:r>
              <w:rPr>
                <w:sz w:val="16"/>
              </w:rPr>
              <w:t>0 found</w:t>
            </w:r>
          </w:p>
        </w:tc>
        <w:tc>
          <w:tcPr>
            <w:tcW w:type="dxa" w:w="1267"/>
          </w:tcPr>
          <w:p>
            <w:pPr>
              <w:spacing w:after="20" w:before="20" w:line="254" w:lineRule="auto"/>
              <w:jc w:val="center"/>
            </w:pPr>
            <w:r>
              <w:rPr>
                <w:sz w:val="16"/>
              </w:rPr>
              <w:t>phase 1</w:t>
            </w:r>
          </w:p>
        </w:tc>
        <w:tc>
          <w:tcPr>
            <w:tcW w:type="dxa" w:w="4205"/>
          </w:tcPr>
          <w:p>
            <w:pPr>
              <w:spacing w:after="20" w:before="20" w:line="254" w:lineRule="auto"/>
              <w:jc w:val="center"/>
            </w:pPr>
            <w:r>
              <w:rPr>
                <w:sz w:val="16"/>
              </w:rPr>
              <w:t>no imputation required</w:t>
            </w:r>
          </w:p>
        </w:tc>
      </w:tr>
    </w:tbl>
    <w:p>
      <w:pPr>
        <w:spacing w:before="80" w:after="200"/>
        <w:jc w:val="center"/>
      </w:pPr>
      <w:r>
        <w:rPr>
          <w:i/>
          <w:color w:val="555F6B"/>
          <w:sz w:val="17"/>
        </w:rPr>
        <w:t>Table 6: Data-quality issues identified in the raw file and how the pipeline resolves them.</w:t>
      </w:r>
    </w:p>
    <w:p>
      <w:pPr>
        <w:spacing w:after="120" w:before="0"/>
        <w:jc w:val="both"/>
      </w:pPr>
      <w:r>
        <w:rPr>
          <w:b w:val="0"/>
          <w:i w:val="0"/>
          <w:sz w:val="21"/>
        </w:rPr>
        <w:t>The eleven blank TotalCharges values are worth a note, because they are not random corruption. Every one of them belongs to a customer whose tenure is zero — a subscriber who joined in the current billing cycle and has therefore not yet accumulated any charges. The correct value is 0.0, not the column median, and phase 2 handles this case explicitly rather than applying a blanket imputation.</w:t>
      </w:r>
    </w:p>
    <w:p>
      <w:r>
        <w:br w:type="page"/>
      </w:r>
    </w:p>
    <w:p>
      <w:pPr>
        <w:spacing w:after="0"/>
      </w:pPr>
    </w:p>
    <w:p>
      <w:pPr>
        <w:keepNext/>
        <w:spacing w:before="80" w:after="40"/>
        <w:pBdr>
          <w:bottom w:val="single" w:sz="10" w:space="3" w:color="1B355E"/>
        </w:pBdr>
      </w:pPr>
      <w:r>
        <w:rPr>
          <w:rFonts w:ascii="Calibri" w:hAnsi="Calibri"/>
          <w:b/>
          <w:color w:val="1B355E"/>
          <w:sz w:val="30"/>
        </w:rPr>
        <w:t>5.  Implementation Architecture and Data Lineage</w:t>
      </w:r>
    </w:p>
    <w:p>
      <w:pPr>
        <w:spacing w:after="40"/>
      </w:pPr>
    </w:p>
    <w:p>
      <w:pPr>
        <w:spacing w:after="120" w:before="0"/>
        <w:jc w:val="both"/>
      </w:pPr>
      <w:r>
        <w:rPr>
          <w:b w:val="0"/>
          <w:i w:val="0"/>
          <w:sz w:val="21"/>
        </w:rPr>
        <w:t>The implementation is organised as a linear six-stage pipeline. Each stage is a standalone script that reads a file from disk, performs one class of work, and writes its output back to disk before terminating. There is no orchestration layer, no shared session and no in-memory hand-off between stages.</w:t>
      </w:r>
    </w:p>
    <w:p>
      <w:pPr>
        <w:spacing w:after="120" w:before="0"/>
        <w:jc w:val="both"/>
      </w:pPr>
      <w:r>
        <w:rPr>
          <w:b w:val="0"/>
          <w:i w:val="0"/>
          <w:sz w:val="21"/>
        </w:rPr>
        <w:t>This file-based design has a practical consequence worth stating plainly: because every intermediate result is materialised as a CSV, any single phase can be re-executed in isolation without re-running the phases before it. That makes the pipeline convenient to develop against and easy to audit, since every intermediate state is inspectable on disk.</w:t>
      </w:r>
    </w:p>
    <w:p>
      <w:pPr>
        <w:keepNext/>
        <w:spacing w:before="120" w:after="60"/>
        <w:jc w:val="center"/>
      </w:pPr>
      <w:r>
        <w:drawing>
          <wp:inline xmlns:a="http://schemas.openxmlformats.org/drawingml/2006/main" xmlns:pic="http://schemas.openxmlformats.org/drawingml/2006/picture">
            <wp:extent cx="5870448" cy="3608356"/>
            <wp:docPr id="1" name="Picture 1"/>
            <wp:cNvGraphicFramePr>
              <a:graphicFrameLocks noChangeAspect="1"/>
            </wp:cNvGraphicFramePr>
            <a:graphic>
              <a:graphicData uri="http://schemas.openxmlformats.org/drawingml/2006/picture">
                <pic:pic>
                  <pic:nvPicPr>
                    <pic:cNvPr id="0" name="impl_fig1_pipeline.png"/>
                    <pic:cNvPicPr/>
                  </pic:nvPicPr>
                  <pic:blipFill>
                    <a:blip r:embed="rId9"/>
                    <a:stretch>
                      <a:fillRect/>
                    </a:stretch>
                  </pic:blipFill>
                  <pic:spPr>
                    <a:xfrm>
                      <a:off x="0" y="0"/>
                      <a:ext cx="5870448" cy="3608356"/>
                    </a:xfrm>
                    <a:prstGeom prst="rect"/>
                  </pic:spPr>
                </pic:pic>
              </a:graphicData>
            </a:graphic>
          </wp:inline>
        </w:drawing>
      </w:r>
    </w:p>
    <w:p>
      <w:pPr>
        <w:spacing w:after="220"/>
        <w:jc w:val="center"/>
      </w:pPr>
      <w:r>
        <w:rPr>
          <w:i/>
          <w:color w:val="555F6B"/>
          <w:sz w:val="17"/>
        </w:rPr>
        <w:t>Figure 1: Six-phase implementation pipeline. Each row shows the script, the processing it performs and the artefacts it writes to disk.</w:t>
      </w:r>
    </w:p>
    <w:p>
      <w:r>
        <w:br w:type="page"/>
      </w:r>
    </w:p>
    <w:p>
      <w:pPr>
        <w:keepNext/>
        <w:spacing w:before="240" w:after="80"/>
      </w:pPr>
      <w:r>
        <w:rPr>
          <w:rFonts w:ascii="Calibri" w:hAnsi="Calibri"/>
          <w:b/>
          <w:color w:val="1B355E"/>
          <w:sz w:val="25"/>
        </w:rPr>
        <w:t>5.1  Data lineage</w:t>
      </w:r>
    </w:p>
    <w:p>
      <w:pPr>
        <w:spacing w:after="120" w:before="0"/>
        <w:jc w:val="both"/>
      </w:pPr>
      <w:r>
        <w:rPr>
          <w:b w:val="0"/>
          <w:i w:val="0"/>
          <w:sz w:val="21"/>
        </w:rPr>
        <w:t>The lineage diagram below traces each dataset from the raw source to the model layer. It also exposes one structural finding: the model-ready dataset produced by phase 4 is never read by phase 6, which instead consumes the segmented dataset produced by phase 5. The consequence is analysed in Section 15.2.</w:t>
      </w:r>
    </w:p>
    <w:p>
      <w:pPr>
        <w:keepNext/>
        <w:spacing w:before="120" w:after="60"/>
        <w:jc w:val="center"/>
      </w:pPr>
      <w:r>
        <w:drawing>
          <wp:inline xmlns:a="http://schemas.openxmlformats.org/drawingml/2006/main" xmlns:pic="http://schemas.openxmlformats.org/drawingml/2006/picture">
            <wp:extent cx="5870448" cy="2118658"/>
            <wp:docPr id="2" name="Picture 2"/>
            <wp:cNvGraphicFramePr>
              <a:graphicFrameLocks noChangeAspect="1"/>
            </wp:cNvGraphicFramePr>
            <a:graphic>
              <a:graphicData uri="http://schemas.openxmlformats.org/drawingml/2006/picture">
                <pic:pic>
                  <pic:nvPicPr>
                    <pic:cNvPr id="0" name="impl_fig2_dataflow.png"/>
                    <pic:cNvPicPr/>
                  </pic:nvPicPr>
                  <pic:blipFill>
                    <a:blip r:embed="rId10"/>
                    <a:stretch>
                      <a:fillRect/>
                    </a:stretch>
                  </pic:blipFill>
                  <pic:spPr>
                    <a:xfrm>
                      <a:off x="0" y="0"/>
                      <a:ext cx="5870448" cy="2118658"/>
                    </a:xfrm>
                    <a:prstGeom prst="rect"/>
                  </pic:spPr>
                </pic:pic>
              </a:graphicData>
            </a:graphic>
          </wp:inline>
        </w:drawing>
      </w:r>
    </w:p>
    <w:p>
      <w:pPr>
        <w:spacing w:after="220"/>
        <w:jc w:val="center"/>
      </w:pPr>
      <w:r>
        <w:rPr>
          <w:i/>
          <w:color w:val="555F6B"/>
          <w:sz w:val="17"/>
        </w:rPr>
        <w:t>Figure 2: Data lineage across the pipeline. The dashed red arrow marks the phase 4 output that no downstream stage consumes.</w:t>
      </w:r>
    </w:p>
    <w:p>
      <w:pPr>
        <w:keepNext/>
        <w:spacing w:before="240" w:after="80"/>
      </w:pPr>
      <w:r>
        <w:rPr>
          <w:rFonts w:ascii="Calibri" w:hAnsi="Calibri"/>
          <w:b/>
          <w:color w:val="1B355E"/>
          <w:sz w:val="25"/>
        </w:rPr>
        <w:t>5.2  Stage responsibilities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123"/>
        <w:gridCol w:w="4780"/>
        <w:gridCol w:w="1843"/>
        <w:gridCol w:w="1569"/>
      </w:tblGrid>
      <w:tr>
        <w:tc>
          <w:tcPr>
            <w:tcW w:type="dxa" w:w="1123"/>
            <w:shd w:val="clear" w:color="auto" w:fill="1B355E"/>
          </w:tcPr>
          <w:p>
            <w:pPr>
              <w:spacing w:after="20" w:before="20"/>
              <w:jc w:val="center"/>
            </w:pPr>
            <w:r>
              <w:rPr>
                <w:b/>
                <w:color w:val="FFFFFF"/>
                <w:sz w:val="17"/>
              </w:rPr>
              <w:t>Stage</w:t>
            </w:r>
          </w:p>
        </w:tc>
        <w:tc>
          <w:tcPr>
            <w:tcW w:type="dxa" w:w="4781"/>
            <w:shd w:val="clear" w:color="auto" w:fill="1B355E"/>
          </w:tcPr>
          <w:p>
            <w:pPr>
              <w:spacing w:after="20" w:before="20"/>
              <w:jc w:val="center"/>
            </w:pPr>
            <w:r>
              <w:rPr>
                <w:b/>
                <w:color w:val="FFFFFF"/>
                <w:sz w:val="17"/>
              </w:rPr>
              <w:t>Responsibility</w:t>
            </w:r>
          </w:p>
        </w:tc>
        <w:tc>
          <w:tcPr>
            <w:tcW w:type="dxa" w:w="1843"/>
            <w:shd w:val="clear" w:color="auto" w:fill="1B355E"/>
          </w:tcPr>
          <w:p>
            <w:pPr>
              <w:spacing w:after="20" w:before="20"/>
              <w:jc w:val="center"/>
            </w:pPr>
            <w:r>
              <w:rPr>
                <w:b/>
                <w:color w:val="FFFFFF"/>
                <w:sz w:val="17"/>
              </w:rPr>
              <w:t>Determinism</w:t>
            </w:r>
          </w:p>
        </w:tc>
        <w:tc>
          <w:tcPr>
            <w:tcW w:type="dxa" w:w="1570"/>
            <w:shd w:val="clear" w:color="auto" w:fill="1B355E"/>
          </w:tcPr>
          <w:p>
            <w:pPr>
              <w:spacing w:after="20" w:before="20"/>
              <w:jc w:val="center"/>
            </w:pPr>
            <w:r>
              <w:rPr>
                <w:b/>
                <w:color w:val="FFFFFF"/>
                <w:sz w:val="17"/>
              </w:rPr>
              <w:t>Runtime</w:t>
            </w:r>
          </w:p>
        </w:tc>
      </w:tr>
      <w:tr>
        <w:tc>
          <w:tcPr>
            <w:tcW w:type="dxa" w:w="1123"/>
          </w:tcPr>
          <w:p>
            <w:pPr>
              <w:spacing w:after="20" w:before="20" w:line="254" w:lineRule="auto"/>
              <w:jc w:val="left"/>
            </w:pPr>
            <w:r>
              <w:rPr>
                <w:sz w:val="16"/>
              </w:rPr>
              <w:t>Phase 1</w:t>
            </w:r>
          </w:p>
        </w:tc>
        <w:tc>
          <w:tcPr>
            <w:tcW w:type="dxa" w:w="4781"/>
          </w:tcPr>
          <w:p>
            <w:pPr>
              <w:spacing w:after="20" w:before="20" w:line="254" w:lineRule="auto"/>
              <w:jc w:val="left"/>
            </w:pPr>
            <w:r>
              <w:rPr>
                <w:sz w:val="16"/>
              </w:rPr>
              <w:t>Profile the raw file and quantify data-quality defects</w:t>
            </w:r>
          </w:p>
        </w:tc>
        <w:tc>
          <w:tcPr>
            <w:tcW w:type="dxa" w:w="1843"/>
          </w:tcPr>
          <w:p>
            <w:pPr>
              <w:spacing w:after="20" w:before="20" w:line="254" w:lineRule="auto"/>
              <w:jc w:val="center"/>
            </w:pPr>
            <w:r>
              <w:rPr>
                <w:sz w:val="16"/>
              </w:rPr>
              <w:t>fully deterministic</w:t>
            </w:r>
          </w:p>
        </w:tc>
        <w:tc>
          <w:tcPr>
            <w:tcW w:type="dxa" w:w="1570"/>
          </w:tcPr>
          <w:p>
            <w:pPr>
              <w:spacing w:after="20" w:before="20" w:line="254" w:lineRule="auto"/>
              <w:jc w:val="center"/>
            </w:pPr>
            <w:r>
              <w:rPr>
                <w:sz w:val="16"/>
              </w:rPr>
              <w:t>under 2 s</w:t>
            </w:r>
          </w:p>
        </w:tc>
      </w:tr>
      <w:tr>
        <w:tc>
          <w:tcPr>
            <w:tcW w:type="dxa" w:w="1123"/>
            <w:shd w:val="clear" w:color="auto" w:fill="F2F5F9"/>
          </w:tcPr>
          <w:p>
            <w:pPr>
              <w:spacing w:after="20" w:before="20" w:line="254" w:lineRule="auto"/>
              <w:jc w:val="left"/>
            </w:pPr>
            <w:r>
              <w:rPr>
                <w:sz w:val="16"/>
              </w:rPr>
              <w:t>Phase 2</w:t>
            </w:r>
          </w:p>
        </w:tc>
        <w:tc>
          <w:tcPr>
            <w:tcW w:type="dxa" w:w="4781"/>
            <w:shd w:val="clear" w:color="auto" w:fill="F2F5F9"/>
          </w:tcPr>
          <w:p>
            <w:pPr>
              <w:spacing w:after="20" w:before="20" w:line="254" w:lineRule="auto"/>
              <w:jc w:val="left"/>
            </w:pPr>
            <w:r>
              <w:rPr>
                <w:sz w:val="16"/>
              </w:rPr>
              <w:t>Repair, validate and standardise; emit a trustworthy dataset</w:t>
            </w:r>
          </w:p>
        </w:tc>
        <w:tc>
          <w:tcPr>
            <w:tcW w:type="dxa" w:w="1843"/>
            <w:shd w:val="clear" w:color="auto" w:fill="F2F5F9"/>
          </w:tcPr>
          <w:p>
            <w:pPr>
              <w:spacing w:after="20" w:before="20" w:line="254" w:lineRule="auto"/>
              <w:jc w:val="center"/>
            </w:pPr>
            <w:r>
              <w:rPr>
                <w:sz w:val="16"/>
              </w:rPr>
              <w:t>fully deterministic</w:t>
            </w:r>
          </w:p>
        </w:tc>
        <w:tc>
          <w:tcPr>
            <w:tcW w:type="dxa" w:w="1570"/>
            <w:shd w:val="clear" w:color="auto" w:fill="F2F5F9"/>
          </w:tcPr>
          <w:p>
            <w:pPr>
              <w:spacing w:after="20" w:before="20" w:line="254" w:lineRule="auto"/>
              <w:jc w:val="center"/>
            </w:pPr>
            <w:r>
              <w:rPr>
                <w:sz w:val="16"/>
              </w:rPr>
              <w:t>under 3 s</w:t>
            </w:r>
          </w:p>
        </w:tc>
      </w:tr>
      <w:tr>
        <w:tc>
          <w:tcPr>
            <w:tcW w:type="dxa" w:w="1123"/>
          </w:tcPr>
          <w:p>
            <w:pPr>
              <w:spacing w:after="20" w:before="20" w:line="254" w:lineRule="auto"/>
              <w:jc w:val="left"/>
            </w:pPr>
            <w:r>
              <w:rPr>
                <w:sz w:val="16"/>
              </w:rPr>
              <w:t>Phase 3</w:t>
            </w:r>
          </w:p>
        </w:tc>
        <w:tc>
          <w:tcPr>
            <w:tcW w:type="dxa" w:w="4781"/>
          </w:tcPr>
          <w:p>
            <w:pPr>
              <w:spacing w:after="20" w:before="20" w:line="254" w:lineRule="auto"/>
              <w:jc w:val="left"/>
            </w:pPr>
            <w:r>
              <w:rPr>
                <w:sz w:val="16"/>
              </w:rPr>
              <w:t>Quantify churn drivers univariately, bivariately and by cohort</w:t>
            </w:r>
          </w:p>
        </w:tc>
        <w:tc>
          <w:tcPr>
            <w:tcW w:type="dxa" w:w="1843"/>
          </w:tcPr>
          <w:p>
            <w:pPr>
              <w:spacing w:after="20" w:before="20" w:line="254" w:lineRule="auto"/>
              <w:jc w:val="center"/>
            </w:pPr>
            <w:r>
              <w:rPr>
                <w:sz w:val="16"/>
              </w:rPr>
              <w:t>fully deterministic</w:t>
            </w:r>
          </w:p>
        </w:tc>
        <w:tc>
          <w:tcPr>
            <w:tcW w:type="dxa" w:w="1570"/>
          </w:tcPr>
          <w:p>
            <w:pPr>
              <w:spacing w:after="20" w:before="20" w:line="254" w:lineRule="auto"/>
              <w:jc w:val="center"/>
            </w:pPr>
            <w:r>
              <w:rPr>
                <w:sz w:val="16"/>
              </w:rPr>
              <w:t>15-30 s</w:t>
            </w:r>
          </w:p>
        </w:tc>
      </w:tr>
      <w:tr>
        <w:tc>
          <w:tcPr>
            <w:tcW w:type="dxa" w:w="1123"/>
            <w:shd w:val="clear" w:color="auto" w:fill="F2F5F9"/>
          </w:tcPr>
          <w:p>
            <w:pPr>
              <w:spacing w:after="20" w:before="20" w:line="254" w:lineRule="auto"/>
              <w:jc w:val="left"/>
            </w:pPr>
            <w:r>
              <w:rPr>
                <w:sz w:val="16"/>
              </w:rPr>
              <w:t>Phase 4</w:t>
            </w:r>
          </w:p>
        </w:tc>
        <w:tc>
          <w:tcPr>
            <w:tcW w:type="dxa" w:w="4781"/>
            <w:shd w:val="clear" w:color="auto" w:fill="F2F5F9"/>
          </w:tcPr>
          <w:p>
            <w:pPr>
              <w:spacing w:after="20" w:before="20" w:line="254" w:lineRule="auto"/>
              <w:jc w:val="left"/>
            </w:pPr>
            <w:r>
              <w:rPr>
                <w:sz w:val="16"/>
              </w:rPr>
              <w:t>Construct seven business features; encode and scale</w:t>
            </w:r>
          </w:p>
        </w:tc>
        <w:tc>
          <w:tcPr>
            <w:tcW w:type="dxa" w:w="1843"/>
            <w:shd w:val="clear" w:color="auto" w:fill="F2F5F9"/>
          </w:tcPr>
          <w:p>
            <w:pPr>
              <w:spacing w:after="20" w:before="20" w:line="254" w:lineRule="auto"/>
              <w:jc w:val="center"/>
            </w:pPr>
            <w:r>
              <w:rPr>
                <w:sz w:val="16"/>
              </w:rPr>
              <w:t>fully deterministic</w:t>
            </w:r>
          </w:p>
        </w:tc>
        <w:tc>
          <w:tcPr>
            <w:tcW w:type="dxa" w:w="1570"/>
            <w:shd w:val="clear" w:color="auto" w:fill="F2F5F9"/>
          </w:tcPr>
          <w:p>
            <w:pPr>
              <w:spacing w:after="20" w:before="20" w:line="254" w:lineRule="auto"/>
              <w:jc w:val="center"/>
            </w:pPr>
            <w:r>
              <w:rPr>
                <w:sz w:val="16"/>
              </w:rPr>
              <w:t>under 5 s</w:t>
            </w:r>
          </w:p>
        </w:tc>
      </w:tr>
      <w:tr>
        <w:tc>
          <w:tcPr>
            <w:tcW w:type="dxa" w:w="1123"/>
          </w:tcPr>
          <w:p>
            <w:pPr>
              <w:spacing w:after="20" w:before="20" w:line="254" w:lineRule="auto"/>
              <w:jc w:val="left"/>
            </w:pPr>
            <w:r>
              <w:rPr>
                <w:sz w:val="16"/>
              </w:rPr>
              <w:t>Phase 5</w:t>
            </w:r>
          </w:p>
        </w:tc>
        <w:tc>
          <w:tcPr>
            <w:tcW w:type="dxa" w:w="4781"/>
          </w:tcPr>
          <w:p>
            <w:pPr>
              <w:spacing w:after="20" w:before="20" w:line="254" w:lineRule="auto"/>
              <w:jc w:val="left"/>
            </w:pPr>
            <w:r>
              <w:rPr>
                <w:sz w:val="16"/>
              </w:rPr>
              <w:t>Cluster the base into segments and profile each</w:t>
            </w:r>
          </w:p>
        </w:tc>
        <w:tc>
          <w:tcPr>
            <w:tcW w:type="dxa" w:w="1843"/>
          </w:tcPr>
          <w:p>
            <w:pPr>
              <w:spacing w:after="20" w:before="20" w:line="254" w:lineRule="auto"/>
              <w:jc w:val="center"/>
            </w:pPr>
            <w:r>
              <w:rPr>
                <w:sz w:val="16"/>
              </w:rPr>
              <w:t>seeded, reproducible</w:t>
            </w:r>
          </w:p>
        </w:tc>
        <w:tc>
          <w:tcPr>
            <w:tcW w:type="dxa" w:w="1570"/>
          </w:tcPr>
          <w:p>
            <w:pPr>
              <w:spacing w:after="20" w:before="20" w:line="254" w:lineRule="auto"/>
              <w:jc w:val="center"/>
            </w:pPr>
            <w:r>
              <w:rPr>
                <w:sz w:val="16"/>
              </w:rPr>
              <w:t>20-40 s</w:t>
            </w:r>
          </w:p>
        </w:tc>
      </w:tr>
      <w:tr>
        <w:tc>
          <w:tcPr>
            <w:tcW w:type="dxa" w:w="1123"/>
            <w:shd w:val="clear" w:color="auto" w:fill="F2F5F9"/>
          </w:tcPr>
          <w:p>
            <w:pPr>
              <w:spacing w:after="20" w:before="20" w:line="254" w:lineRule="auto"/>
              <w:jc w:val="left"/>
            </w:pPr>
            <w:r>
              <w:rPr>
                <w:sz w:val="16"/>
              </w:rPr>
              <w:t>Phase 6</w:t>
            </w:r>
          </w:p>
        </w:tc>
        <w:tc>
          <w:tcPr>
            <w:tcW w:type="dxa" w:w="4781"/>
            <w:shd w:val="clear" w:color="auto" w:fill="F2F5F9"/>
          </w:tcPr>
          <w:p>
            <w:pPr>
              <w:spacing w:after="20" w:before="20" w:line="254" w:lineRule="auto"/>
              <w:jc w:val="left"/>
            </w:pPr>
            <w:r>
              <w:rPr>
                <w:sz w:val="16"/>
              </w:rPr>
              <w:t>Train, cross-validate, tune, evaluate and persist</w:t>
            </w:r>
          </w:p>
        </w:tc>
        <w:tc>
          <w:tcPr>
            <w:tcW w:type="dxa" w:w="1843"/>
            <w:shd w:val="clear" w:color="auto" w:fill="F2F5F9"/>
          </w:tcPr>
          <w:p>
            <w:pPr>
              <w:spacing w:after="20" w:before="20" w:line="254" w:lineRule="auto"/>
              <w:jc w:val="center"/>
            </w:pPr>
            <w:r>
              <w:rPr>
                <w:sz w:val="16"/>
              </w:rPr>
              <w:t>seeded, reproducible</w:t>
            </w:r>
          </w:p>
        </w:tc>
        <w:tc>
          <w:tcPr>
            <w:tcW w:type="dxa" w:w="1570"/>
            <w:shd w:val="clear" w:color="auto" w:fill="F2F5F9"/>
          </w:tcPr>
          <w:p>
            <w:pPr>
              <w:spacing w:after="20" w:before="20" w:line="254" w:lineRule="auto"/>
              <w:jc w:val="center"/>
            </w:pPr>
            <w:r>
              <w:rPr>
                <w:b/>
                <w:sz w:val="16"/>
              </w:rPr>
              <w:t>15-45 min</w:t>
            </w:r>
          </w:p>
        </w:tc>
      </w:tr>
    </w:tbl>
    <w:p>
      <w:pPr>
        <w:spacing w:before="80" w:after="200"/>
        <w:jc w:val="center"/>
      </w:pPr>
      <w:r>
        <w:rPr>
          <w:i/>
          <w:color w:val="555F6B"/>
          <w:sz w:val="17"/>
        </w:rPr>
        <w:t>Table 7: Responsibility, determinism and indicative runtime of each pipeline stage.</w:t>
      </w:r>
    </w:p>
    <w:p>
      <w:pPr>
        <w:spacing w:after="120" w:before="0"/>
        <w:jc w:val="both"/>
      </w:pPr>
      <w:r>
        <w:rPr>
          <w:b w:val="0"/>
          <w:i w:val="0"/>
          <w:sz w:val="21"/>
        </w:rPr>
        <w:t>Phase 6 dominates the total runtime. The reason is visible in its configuration: the randomized search performs 30 parameter draws across 5 cross-validation folds, which is 150 model fits, and each of those fits trains a gradient-boosted ensemble on 6 690 records. The four baseline models are additionally cross-validated before the search begins, and the Random Forest and baseline XGBoost are both configured with 2 000 estimators.</w:t>
      </w:r>
    </w:p>
    <w:p>
      <w:r>
        <w:br w:type="page"/>
      </w:r>
    </w:p>
    <w:p>
      <w:pPr>
        <w:spacing w:after="0"/>
      </w:pPr>
    </w:p>
    <w:p>
      <w:pPr>
        <w:keepNext/>
        <w:spacing w:before="80" w:after="40"/>
        <w:pBdr>
          <w:bottom w:val="single" w:sz="10" w:space="3" w:color="1B355E"/>
        </w:pBdr>
      </w:pPr>
      <w:r>
        <w:rPr>
          <w:rFonts w:ascii="Calibri" w:hAnsi="Calibri"/>
          <w:b/>
          <w:color w:val="1B355E"/>
          <w:sz w:val="30"/>
        </w:rPr>
        <w:t>6.  Phase 1 — Data Collection and Understanding</w:t>
      </w:r>
    </w:p>
    <w:p>
      <w:pPr>
        <w:spacing w:after="40"/>
      </w:pPr>
    </w:p>
    <w:p>
      <w:pPr>
        <w:keepNext/>
        <w:spacing w:before="240" w:after="80"/>
      </w:pPr>
      <w:r>
        <w:rPr>
          <w:rFonts w:ascii="Calibri" w:hAnsi="Calibri"/>
          <w:b/>
          <w:color w:val="1B355E"/>
          <w:sz w:val="25"/>
        </w:rPr>
        <w:t>6.1  Purpose</w:t>
      </w:r>
    </w:p>
    <w:p>
      <w:pPr>
        <w:spacing w:after="120" w:before="0"/>
        <w:jc w:val="both"/>
      </w:pPr>
      <w:r>
        <w:rPr>
          <w:b w:val="0"/>
          <w:i w:val="0"/>
          <w:sz w:val="21"/>
        </w:rPr>
        <w:t>Phase 1 performs no transformation whatsoever. Its single responsibility is to establish ground truth about the raw file before any cleaning decision is taken: how large the dataset is, what type each column holds, where values are missing, how much variety each categorical field contains, and what the baseline churn rate is. It writes nothing to disk; its entire output is a structured console report.</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232"/>
        <w:gridCol w:w="7084"/>
      </w:tblGrid>
      <w:tr>
        <w:tc>
          <w:tcPr>
            <w:tcW w:type="dxa" w:w="2232"/>
            <w:shd w:val="clear" w:color="auto" w:fill="1B355E"/>
          </w:tcPr>
          <w:p>
            <w:pPr>
              <w:spacing w:after="20" w:before="20"/>
              <w:jc w:val="center"/>
            </w:pPr>
            <w:r>
              <w:rPr>
                <w:b/>
                <w:color w:val="FFFFFF"/>
                <w:sz w:val="17"/>
              </w:rPr>
              <w:t>Property</w:t>
            </w:r>
          </w:p>
        </w:tc>
        <w:tc>
          <w:tcPr>
            <w:tcW w:type="dxa" w:w="7085"/>
            <w:shd w:val="clear" w:color="auto" w:fill="1B355E"/>
          </w:tcPr>
          <w:p>
            <w:pPr>
              <w:spacing w:after="20" w:before="20"/>
              <w:jc w:val="center"/>
            </w:pPr>
            <w:r>
              <w:rPr>
                <w:b/>
                <w:color w:val="FFFFFF"/>
                <w:sz w:val="17"/>
              </w:rPr>
              <w:t>Value</w:t>
            </w:r>
          </w:p>
        </w:tc>
      </w:tr>
      <w:tr>
        <w:tc>
          <w:tcPr>
            <w:tcW w:type="dxa" w:w="2232"/>
          </w:tcPr>
          <w:p>
            <w:pPr>
              <w:spacing w:after="20" w:before="20" w:line="254" w:lineRule="auto"/>
              <w:jc w:val="left"/>
            </w:pPr>
            <w:r>
              <w:rPr>
                <w:sz w:val="17"/>
              </w:rPr>
              <w:t>Input</w:t>
            </w:r>
          </w:p>
        </w:tc>
        <w:tc>
          <w:tcPr>
            <w:tcW w:type="dxa" w:w="7085"/>
          </w:tcPr>
          <w:p>
            <w:pPr>
              <w:spacing w:after="20" w:before="20" w:line="254" w:lineRule="auto"/>
              <w:jc w:val="left"/>
            </w:pPr>
            <w:r>
              <w:rPr>
                <w:rFonts w:ascii="Consolas" w:hAnsi="Consolas" w:eastAsia="Consolas"/>
                <w:color w:val="8A2C1F"/>
                <w:sz w:val="16"/>
              </w:rPr>
              <w:t>data/Customer-Churn.csv</w:t>
            </w:r>
          </w:p>
        </w:tc>
      </w:tr>
      <w:tr>
        <w:tc>
          <w:tcPr>
            <w:tcW w:type="dxa" w:w="2232"/>
            <w:shd w:val="clear" w:color="auto" w:fill="F2F5F9"/>
          </w:tcPr>
          <w:p>
            <w:pPr>
              <w:spacing w:after="20" w:before="20" w:line="254" w:lineRule="auto"/>
              <w:jc w:val="left"/>
            </w:pPr>
            <w:r>
              <w:rPr>
                <w:sz w:val="17"/>
              </w:rPr>
              <w:t>Output</w:t>
            </w:r>
          </w:p>
        </w:tc>
        <w:tc>
          <w:tcPr>
            <w:tcW w:type="dxa" w:w="7085"/>
            <w:shd w:val="clear" w:color="auto" w:fill="F2F5F9"/>
          </w:tcPr>
          <w:p>
            <w:pPr>
              <w:spacing w:after="20" w:before="20" w:line="254" w:lineRule="auto"/>
              <w:jc w:val="left"/>
            </w:pPr>
            <w:r>
              <w:rPr>
                <w:sz w:val="17"/>
              </w:rPr>
              <w:t>console report only — no file written</w:t>
            </w:r>
          </w:p>
        </w:tc>
      </w:tr>
      <w:tr>
        <w:tc>
          <w:tcPr>
            <w:tcW w:type="dxa" w:w="2232"/>
          </w:tcPr>
          <w:p>
            <w:pPr>
              <w:spacing w:after="20" w:before="20" w:line="254" w:lineRule="auto"/>
              <w:jc w:val="left"/>
            </w:pPr>
            <w:r>
              <w:rPr>
                <w:sz w:val="17"/>
              </w:rPr>
              <w:t>Lines of code</w:t>
            </w:r>
          </w:p>
        </w:tc>
        <w:tc>
          <w:tcPr>
            <w:tcW w:type="dxa" w:w="7085"/>
          </w:tcPr>
          <w:p>
            <w:pPr>
              <w:spacing w:after="20" w:before="20" w:line="254" w:lineRule="auto"/>
              <w:jc w:val="center"/>
            </w:pPr>
            <w:r>
              <w:rPr>
                <w:sz w:val="17"/>
              </w:rPr>
              <w:t>97</w:t>
            </w:r>
          </w:p>
        </w:tc>
      </w:tr>
      <w:tr>
        <w:tc>
          <w:tcPr>
            <w:tcW w:type="dxa" w:w="2232"/>
            <w:shd w:val="clear" w:color="auto" w:fill="F2F5F9"/>
          </w:tcPr>
          <w:p>
            <w:pPr>
              <w:spacing w:after="20" w:before="20" w:line="254" w:lineRule="auto"/>
              <w:jc w:val="left"/>
            </w:pPr>
            <w:r>
              <w:rPr>
                <w:sz w:val="17"/>
              </w:rPr>
              <w:t>Dependencies</w:t>
            </w:r>
          </w:p>
        </w:tc>
        <w:tc>
          <w:tcPr>
            <w:tcW w:type="dxa" w:w="7085"/>
            <w:shd w:val="clear" w:color="auto" w:fill="F2F5F9"/>
          </w:tcPr>
          <w:p>
            <w:pPr>
              <w:spacing w:after="20" w:before="20" w:line="254" w:lineRule="auto"/>
              <w:jc w:val="center"/>
            </w:pPr>
            <w:r>
              <w:rPr>
                <w:rFonts w:ascii="Consolas" w:hAnsi="Consolas" w:eastAsia="Consolas"/>
                <w:color w:val="8A2C1F"/>
                <w:sz w:val="16"/>
              </w:rPr>
              <w:t>pandas</w:t>
            </w:r>
          </w:p>
        </w:tc>
      </w:tr>
      <w:tr>
        <w:tc>
          <w:tcPr>
            <w:tcW w:type="dxa" w:w="2232"/>
          </w:tcPr>
          <w:p>
            <w:pPr>
              <w:spacing w:after="20" w:before="20" w:line="254" w:lineRule="auto"/>
              <w:jc w:val="left"/>
            </w:pPr>
            <w:r>
              <w:rPr>
                <w:sz w:val="17"/>
              </w:rPr>
              <w:t>Side effects</w:t>
            </w:r>
          </w:p>
        </w:tc>
        <w:tc>
          <w:tcPr>
            <w:tcW w:type="dxa" w:w="7085"/>
          </w:tcPr>
          <w:p>
            <w:pPr>
              <w:spacing w:after="20" w:before="20" w:line="254" w:lineRule="auto"/>
              <w:jc w:val="left"/>
            </w:pPr>
            <w:r>
              <w:rPr>
                <w:sz w:val="17"/>
              </w:rPr>
              <w:t>none; the source file is opened read-only</w:t>
            </w:r>
          </w:p>
        </w:tc>
      </w:tr>
    </w:tbl>
    <w:p>
      <w:pPr>
        <w:spacing w:before="80" w:after="200"/>
        <w:jc w:val="center"/>
      </w:pPr>
      <w:r>
        <w:rPr>
          <w:i/>
          <w:color w:val="555F6B"/>
          <w:sz w:val="17"/>
        </w:rPr>
        <w:t>Table 8: Phase 1 interface summary.</w:t>
      </w:r>
    </w:p>
    <w:p>
      <w:pPr>
        <w:keepNext/>
        <w:spacing w:before="240" w:after="80"/>
      </w:pPr>
      <w:r>
        <w:rPr>
          <w:rFonts w:ascii="Calibri" w:hAnsi="Calibri"/>
          <w:b/>
          <w:color w:val="1B355E"/>
          <w:sz w:val="25"/>
        </w:rPr>
        <w:t>6.2  Code walk-through</w:t>
      </w:r>
    </w:p>
    <w:p>
      <w:pPr>
        <w:keepNext/>
        <w:spacing w:before="200" w:after="60"/>
      </w:pPr>
      <w:r>
        <w:rPr>
          <w:rFonts w:ascii="Calibri" w:hAnsi="Calibri"/>
          <w:b/>
          <w:color w:val="0B5C7A"/>
          <w:sz w:val="22"/>
        </w:rPr>
        <w:t>Configuration and load</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FILE_PATH = "data/Customer-Churn.csv"</w:t>
            </w:r>
          </w:p>
          <w:p>
            <w:pPr>
              <w:spacing w:after="0" w:before="0" w:line="240" w:lineRule="auto"/>
            </w:pPr>
            <w:r>
              <w:rPr>
                <w:rFonts w:ascii="Consolas" w:hAnsi="Consolas" w:eastAsia="Consolas"/>
                <w:color w:val="1A232E"/>
                <w:sz w:val="16"/>
              </w:rPr>
              <w:t>TARGET_COLUMN = "Churn"</w:t>
            </w:r>
          </w:p>
          <w:p>
            <w:pPr>
              <w:spacing w:after="0" w:before="0" w:line="240" w:lineRule="auto"/>
            </w:pPr>
            <w:r>
              <w:rPr>
                <w:rFonts w:ascii="Consolas" w:hAnsi="Consolas" w:eastAsia="Consolas"/>
                <w:color w:val="1A232E"/>
                <w:sz w:val="16"/>
              </w:rPr>
              <w:t>ID_COLUMN = "customerID"</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pd.set_option("display.max_columns", None)</w:t>
            </w:r>
          </w:p>
          <w:p>
            <w:pPr>
              <w:spacing w:after="0" w:before="0" w:line="240" w:lineRule="auto"/>
            </w:pPr>
            <w:r>
              <w:rPr>
                <w:rFonts w:ascii="Consolas" w:hAnsi="Consolas" w:eastAsia="Consolas"/>
                <w:color w:val="1A232E"/>
                <w:sz w:val="16"/>
              </w:rPr>
              <w:t>pd.set_option("display.width", 150)</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df = pd.read_csv(FILE_PATH)</w:t>
            </w:r>
          </w:p>
        </w:tc>
      </w:tr>
    </w:tbl>
    <w:p>
      <w:pPr>
        <w:spacing w:after="80"/>
      </w:pPr>
    </w:p>
    <w:p>
      <w:pPr>
        <w:spacing w:after="120" w:before="0"/>
        <w:jc w:val="both"/>
      </w:pPr>
      <w:r>
        <w:rPr>
          <w:b w:val="0"/>
          <w:i w:val="0"/>
          <w:sz w:val="21"/>
        </w:rPr>
        <w:t>The two display options are not cosmetic detail. Without them pandas truncates any frame wider than the terminal and prints an ellipsis in place of the middle columns, which would silently hide roughly half of the 21 attributes from the profiling output. Setting max_columns to None and widening the display guarantees that every column appears in the report the script prints.</w:t>
      </w:r>
    </w:p>
    <w:p>
      <w:pPr>
        <w:keepNext/>
        <w:spacing w:before="200" w:after="60"/>
      </w:pPr>
      <w:r>
        <w:rPr>
          <w:rFonts w:ascii="Calibri" w:hAnsi="Calibri"/>
          <w:b/>
          <w:color w:val="0B5C7A"/>
          <w:sz w:val="22"/>
        </w:rPr>
        <w:t>Cardinality profiling</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categorical_columns = df.select_dtypes(include="object").columns</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cardinality_summary = pd.DataFrame({</w:t>
            </w:r>
          </w:p>
          <w:p>
            <w:pPr>
              <w:spacing w:after="0" w:before="0" w:line="240" w:lineRule="auto"/>
            </w:pPr>
            <w:r>
              <w:rPr>
                <w:rFonts w:ascii="Consolas" w:hAnsi="Consolas" w:eastAsia="Consolas"/>
                <w:color w:val="1A232E"/>
                <w:sz w:val="16"/>
              </w:rPr>
              <w:t xml:space="preserve">    "Column": categorical_columns,</w:t>
            </w:r>
          </w:p>
          <w:p>
            <w:pPr>
              <w:spacing w:after="0" w:before="0" w:line="240" w:lineRule="auto"/>
            </w:pPr>
            <w:r>
              <w:rPr>
                <w:rFonts w:ascii="Consolas" w:hAnsi="Consolas" w:eastAsia="Consolas"/>
                <w:color w:val="1A232E"/>
                <w:sz w:val="16"/>
              </w:rPr>
              <w:t xml:space="preserve">    "Unique_Values": [df[column].nunique() for column in categorical_columns],</w:t>
            </w:r>
          </w:p>
          <w:p>
            <w:pPr>
              <w:spacing w:after="0" w:before="0" w:line="240" w:lineRule="auto"/>
            </w:pPr>
            <w:r>
              <w:rPr>
                <w:rFonts w:ascii="Consolas" w:hAnsi="Consolas" w:eastAsia="Consolas"/>
                <w:color w:val="1A232E"/>
                <w:sz w:val="16"/>
              </w:rPr>
              <w:t xml:space="preserve">    "Example_Values": [</w:t>
            </w:r>
          </w:p>
          <w:p>
            <w:pPr>
              <w:spacing w:after="0" w:before="0" w:line="240" w:lineRule="auto"/>
            </w:pPr>
            <w:r>
              <w:rPr>
                <w:rFonts w:ascii="Consolas" w:hAnsi="Consolas" w:eastAsia="Consolas"/>
                <w:color w:val="1A232E"/>
                <w:sz w:val="16"/>
              </w:rPr>
              <w:t xml:space="preserve">        ", ".join(map(str, df[column].dropna().unique()[:5]))</w:t>
            </w:r>
          </w:p>
          <w:p>
            <w:pPr>
              <w:spacing w:after="0" w:before="0" w:line="240" w:lineRule="auto"/>
            </w:pPr>
            <w:r>
              <w:rPr>
                <w:rFonts w:ascii="Consolas" w:hAnsi="Consolas" w:eastAsia="Consolas"/>
                <w:color w:val="1A232E"/>
                <w:sz w:val="16"/>
              </w:rPr>
              <w:t xml:space="preserve">        for column in categorical_columns</w:t>
            </w:r>
          </w:p>
          <w:p>
            <w:pPr>
              <w:spacing w:after="0" w:before="0" w:line="240" w:lineRule="auto"/>
            </w:pPr>
            <w:r>
              <w:rPr>
                <w:rFonts w:ascii="Consolas" w:hAnsi="Consolas" w:eastAsia="Consolas"/>
                <w:color w:val="1A232E"/>
                <w:sz w:val="16"/>
              </w:rPr>
              <w:t xml:space="preserve">    ]</w:t>
            </w:r>
          </w:p>
          <w:p>
            <w:pPr>
              <w:spacing w:after="0" w:before="0" w:line="240" w:lineRule="auto"/>
            </w:pPr>
            <w:r>
              <w:rPr>
                <w:rFonts w:ascii="Consolas" w:hAnsi="Consolas" w:eastAsia="Consolas"/>
                <w:color w:val="1A232E"/>
                <w:sz w:val="16"/>
              </w:rPr>
              <w:t>})</w:t>
            </w:r>
          </w:p>
        </w:tc>
      </w:tr>
    </w:tbl>
    <w:p>
      <w:pPr>
        <w:spacing w:after="80"/>
      </w:pPr>
    </w:p>
    <w:p>
      <w:pPr>
        <w:spacing w:after="120" w:before="0"/>
        <w:jc w:val="both"/>
      </w:pPr>
      <w:r>
        <w:rPr>
          <w:b w:val="0"/>
          <w:i w:val="0"/>
          <w:sz w:val="21"/>
        </w:rPr>
        <w:t>This block builds a compact profile of every text column: its name, how many distinct values it holds, and up to five worked examples. The cardinality count is the decision input for the encoding strategy chosen later in phase 4 — low-cardinality fields such as Contract with three levels are safe to one-hot encode, whereas a high-cardinality field would demand a different treatment. The examples column is what surfaces the redundant "No internet service" label that phase 2 goes on to fold away.</w:t>
      </w:r>
    </w:p>
    <w:p>
      <w:pPr>
        <w:keepNext/>
        <w:spacing w:before="200" w:after="60"/>
      </w:pPr>
      <w:r>
        <w:rPr>
          <w:rFonts w:ascii="Calibri" w:hAnsi="Calibri"/>
          <w:b/>
          <w:color w:val="0B5C7A"/>
          <w:sz w:val="22"/>
        </w:rPr>
        <w:t>Baseline churn rate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churn_counts = df[TARGET_COLUMN].value_counts()</w:t>
            </w:r>
          </w:p>
          <w:p>
            <w:pPr>
              <w:spacing w:after="0" w:before="0" w:line="240" w:lineRule="auto"/>
            </w:pPr>
            <w:r>
              <w:rPr>
                <w:rFonts w:ascii="Consolas" w:hAnsi="Consolas" w:eastAsia="Consolas"/>
                <w:color w:val="1A232E"/>
                <w:sz w:val="16"/>
              </w:rPr>
              <w:t>churn_percentages = (df[TARGET_COLUMN].value_counts(normalize=True) * 100).round(2)</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churn_rate = (df[TARGET_COLUMN] == "Yes").mean() * 100</w:t>
            </w:r>
          </w:p>
          <w:p>
            <w:pPr>
              <w:spacing w:after="0" w:before="0" w:line="240" w:lineRule="auto"/>
            </w:pPr>
            <w:r>
              <w:rPr>
                <w:rFonts w:ascii="Consolas" w:hAnsi="Consolas" w:eastAsia="Consolas"/>
                <w:color w:val="1A232E"/>
                <w:sz w:val="16"/>
              </w:rPr>
              <w:t>print(f"\nBaseline churn rate: {churn_rate:.2f}%")</w:t>
            </w:r>
          </w:p>
        </w:tc>
      </w:tr>
    </w:tbl>
    <w:p>
      <w:pPr>
        <w:spacing w:after="80"/>
      </w:pPr>
    </w:p>
    <w:p>
      <w:pPr>
        <w:spacing w:after="120"/>
        <w:jc w:val="both"/>
      </w:pPr>
      <w:r>
        <w:rPr>
          <w:sz w:val="21"/>
        </w:rPr>
        <w:t xml:space="preserve">The idiom on the last calculation is worth pausing on. </w:t>
      </w:r>
      <w:r>
        <w:rPr>
          <w:rFonts w:ascii="Consolas" w:hAnsi="Consolas"/>
          <w:color w:val="8A2C1F"/>
          <w:sz w:val="19"/>
        </w:rPr>
        <w:t>(df[TARGET_COLUMN] == "Yes")</w:t>
      </w:r>
      <w:r>
        <w:rPr>
          <w:sz w:val="21"/>
        </w:rPr>
        <w:t xml:space="preserve"> produces a boolean Series, and because Python treats True as 1 and False as 0, taking its mean yields the proportion of True values directly. It is a concise and idiomatic way to compute a rate from a categorical column without an intermediate mapping step.</w:t>
      </w:r>
    </w:p>
    <w:p>
      <w:pPr>
        <w:keepNext/>
        <w:spacing w:before="200" w:after="60"/>
      </w:pPr>
      <w:r>
        <w:rPr>
          <w:rFonts w:ascii="Calibri" w:hAnsi="Calibri"/>
          <w:b/>
          <w:color w:val="0B5C7A"/>
          <w:sz w:val="22"/>
        </w:rPr>
        <w:t>The TotalCharges quality check</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total_charges_numeric = pd.to_numeric(df["TotalCharges"], errors="coerce")</w:t>
            </w:r>
          </w:p>
          <w:p>
            <w:pPr>
              <w:spacing w:after="0" w:before="0" w:line="240" w:lineRule="auto"/>
            </w:pPr>
            <w:r>
              <w:rPr>
                <w:rFonts w:ascii="Consolas" w:hAnsi="Consolas" w:eastAsia="Consolas"/>
                <w:color w:val="1A232E"/>
                <w:sz w:val="16"/>
              </w:rPr>
              <w:t>invalid_total_charges = total_charges_numeric.isna().sum()</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if invalid_total_charges &gt; 0:</w:t>
            </w:r>
          </w:p>
          <w:p>
            <w:pPr>
              <w:spacing w:after="0" w:before="0" w:line="240" w:lineRule="auto"/>
            </w:pPr>
            <w:r>
              <w:rPr>
                <w:rFonts w:ascii="Consolas" w:hAnsi="Consolas" w:eastAsia="Consolas"/>
                <w:color w:val="1A232E"/>
                <w:sz w:val="16"/>
              </w:rPr>
              <w:t xml:space="preserve">    print(df.loc[</w:t>
            </w:r>
          </w:p>
          <w:p>
            <w:pPr>
              <w:spacing w:after="0" w:before="0" w:line="240" w:lineRule="auto"/>
            </w:pPr>
            <w:r>
              <w:rPr>
                <w:rFonts w:ascii="Consolas" w:hAnsi="Consolas" w:eastAsia="Consolas"/>
                <w:color w:val="1A232E"/>
                <w:sz w:val="16"/>
              </w:rPr>
              <w:t xml:space="preserve">        total_charges_numeric.isna(),</w:t>
            </w:r>
          </w:p>
          <w:p>
            <w:pPr>
              <w:spacing w:after="0" w:before="0" w:line="240" w:lineRule="auto"/>
            </w:pPr>
            <w:r>
              <w:rPr>
                <w:rFonts w:ascii="Consolas" w:hAnsi="Consolas" w:eastAsia="Consolas"/>
                <w:color w:val="1A232E"/>
                <w:sz w:val="16"/>
              </w:rPr>
              <w:t xml:space="preserve">        [ID_COLUMN, "tenure", "MonthlyCharges", "TotalCharges"]</w:t>
            </w:r>
          </w:p>
          <w:p>
            <w:pPr>
              <w:spacing w:after="0" w:before="0" w:line="240" w:lineRule="auto"/>
            </w:pPr>
            <w:r>
              <w:rPr>
                <w:rFonts w:ascii="Consolas" w:hAnsi="Consolas" w:eastAsia="Consolas"/>
                <w:color w:val="1A232E"/>
                <w:sz w:val="16"/>
              </w:rPr>
              <w:t xml:space="preserve">    ].head().to_string(index=False))</w:t>
            </w:r>
          </w:p>
        </w:tc>
      </w:tr>
    </w:tbl>
    <w:p>
      <w:pPr>
        <w:spacing w:after="80"/>
      </w:pPr>
    </w:p>
    <w:p>
      <w:pPr>
        <w:spacing w:after="120" w:before="0"/>
        <w:jc w:val="both"/>
      </w:pPr>
      <w:r>
        <w:rPr>
          <w:b w:val="0"/>
          <w:i w:val="0"/>
          <w:sz w:val="21"/>
        </w:rPr>
        <w:t>This is the most consequential block in phase 1. The dataset stores TotalCharges as text because eleven rows contain a single space character rather than a number; one non-numeric entry is enough to force the whole column to object dtype. The errors="coerce" argument converts those unparseable entries to NaN instead of raising, so they can be counted. Critically, the script then prints the tenure of each affected row alongside the blank value — and that is what reveals the pattern that all eleven are zero-tenure customers, which in turn justifies the targeted imputation applied in phase 2 rather than a blind median fill.</w:t>
      </w:r>
    </w:p>
    <w:p>
      <w:pPr>
        <w:keepNext/>
        <w:spacing w:before="240" w:after="80"/>
      </w:pPr>
      <w:r>
        <w:rPr>
          <w:rFonts w:ascii="Calibri" w:hAnsi="Calibri"/>
          <w:b/>
          <w:color w:val="1B355E"/>
          <w:sz w:val="25"/>
        </w:rPr>
        <w:t>6.3  Results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872"/>
        <w:gridCol w:w="2764"/>
        <w:gridCol w:w="4680"/>
      </w:tblGrid>
      <w:tr>
        <w:tc>
          <w:tcPr>
            <w:tcW w:type="dxa" w:w="1872"/>
            <w:shd w:val="clear" w:color="auto" w:fill="1B355E"/>
          </w:tcPr>
          <w:p>
            <w:pPr>
              <w:spacing w:after="20" w:before="20"/>
              <w:jc w:val="center"/>
            </w:pPr>
            <w:r>
              <w:rPr>
                <w:b/>
                <w:color w:val="FFFFFF"/>
                <w:sz w:val="17"/>
              </w:rPr>
              <w:t>Diagnostic</w:t>
            </w:r>
          </w:p>
        </w:tc>
        <w:tc>
          <w:tcPr>
            <w:tcW w:type="dxa" w:w="2765"/>
            <w:shd w:val="clear" w:color="auto" w:fill="1B355E"/>
          </w:tcPr>
          <w:p>
            <w:pPr>
              <w:spacing w:after="20" w:before="20"/>
              <w:jc w:val="center"/>
            </w:pPr>
            <w:r>
              <w:rPr>
                <w:b/>
                <w:color w:val="FFFFFF"/>
                <w:sz w:val="17"/>
              </w:rPr>
              <w:t>Measured result</w:t>
            </w:r>
          </w:p>
        </w:tc>
        <w:tc>
          <w:tcPr>
            <w:tcW w:type="dxa" w:w="4680"/>
            <w:shd w:val="clear" w:color="auto" w:fill="1B355E"/>
          </w:tcPr>
          <w:p>
            <w:pPr>
              <w:spacing w:after="20" w:before="20"/>
              <w:jc w:val="center"/>
            </w:pPr>
            <w:r>
              <w:rPr>
                <w:b/>
                <w:color w:val="FFFFFF"/>
                <w:sz w:val="17"/>
              </w:rPr>
              <w:t>Consequence for later phases</w:t>
            </w:r>
          </w:p>
        </w:tc>
      </w:tr>
      <w:tr>
        <w:tc>
          <w:tcPr>
            <w:tcW w:type="dxa" w:w="1872"/>
          </w:tcPr>
          <w:p>
            <w:pPr>
              <w:spacing w:after="20" w:before="20" w:line="254" w:lineRule="auto"/>
              <w:jc w:val="left"/>
            </w:pPr>
            <w:r>
              <w:rPr>
                <w:sz w:val="16"/>
              </w:rPr>
              <w:t>Dataset shape</w:t>
            </w:r>
          </w:p>
        </w:tc>
        <w:tc>
          <w:tcPr>
            <w:tcW w:type="dxa" w:w="2765"/>
          </w:tcPr>
          <w:p>
            <w:pPr>
              <w:spacing w:after="20" w:before="20" w:line="254" w:lineRule="auto"/>
              <w:jc w:val="left"/>
            </w:pPr>
            <w:r>
              <w:rPr>
                <w:sz w:val="16"/>
              </w:rPr>
              <w:t>7 043 rows × 21 columns</w:t>
            </w:r>
          </w:p>
        </w:tc>
        <w:tc>
          <w:tcPr>
            <w:tcW w:type="dxa" w:w="4680"/>
          </w:tcPr>
          <w:p>
            <w:pPr>
              <w:spacing w:after="20" w:before="20" w:line="254" w:lineRule="auto"/>
              <w:jc w:val="left"/>
            </w:pPr>
            <w:r>
              <w:rPr>
                <w:sz w:val="16"/>
              </w:rPr>
              <w:t>no sampling needed; the full base is modelled</w:t>
            </w:r>
          </w:p>
        </w:tc>
      </w:tr>
      <w:tr>
        <w:tc>
          <w:tcPr>
            <w:tcW w:type="dxa" w:w="1872"/>
            <w:shd w:val="clear" w:color="auto" w:fill="F2F5F9"/>
          </w:tcPr>
          <w:p>
            <w:pPr>
              <w:spacing w:after="20" w:before="20" w:line="254" w:lineRule="auto"/>
              <w:jc w:val="left"/>
            </w:pPr>
            <w:r>
              <w:rPr>
                <w:sz w:val="16"/>
              </w:rPr>
              <w:t>Explicit null values</w:t>
            </w:r>
          </w:p>
        </w:tc>
        <w:tc>
          <w:tcPr>
            <w:tcW w:type="dxa" w:w="2765"/>
            <w:shd w:val="clear" w:color="auto" w:fill="F2F5F9"/>
          </w:tcPr>
          <w:p>
            <w:pPr>
              <w:spacing w:after="20" w:before="20" w:line="254" w:lineRule="auto"/>
              <w:jc w:val="center"/>
            </w:pPr>
            <w:r>
              <w:rPr>
                <w:sz w:val="16"/>
              </w:rPr>
              <w:t>0 across all columns</w:t>
            </w:r>
          </w:p>
        </w:tc>
        <w:tc>
          <w:tcPr>
            <w:tcW w:type="dxa" w:w="4680"/>
            <w:shd w:val="clear" w:color="auto" w:fill="F2F5F9"/>
          </w:tcPr>
          <w:p>
            <w:pPr>
              <w:spacing w:after="20" w:before="20" w:line="254" w:lineRule="auto"/>
              <w:jc w:val="left"/>
            </w:pPr>
            <w:r>
              <w:rPr>
                <w:sz w:val="16"/>
              </w:rPr>
              <w:t>no general imputation strategy required</w:t>
            </w:r>
          </w:p>
        </w:tc>
      </w:tr>
      <w:tr>
        <w:tc>
          <w:tcPr>
            <w:tcW w:type="dxa" w:w="1872"/>
          </w:tcPr>
          <w:p>
            <w:pPr>
              <w:spacing w:after="20" w:before="20" w:line="254" w:lineRule="auto"/>
              <w:jc w:val="left"/>
            </w:pPr>
            <w:r>
              <w:rPr>
                <w:sz w:val="16"/>
              </w:rPr>
              <w:t>Object-typed columns</w:t>
            </w:r>
          </w:p>
        </w:tc>
        <w:tc>
          <w:tcPr>
            <w:tcW w:type="dxa" w:w="2765"/>
          </w:tcPr>
          <w:p>
            <w:pPr>
              <w:spacing w:after="20" w:before="20" w:line="254" w:lineRule="auto"/>
              <w:jc w:val="center"/>
            </w:pPr>
            <w:r>
              <w:rPr>
                <w:sz w:val="16"/>
              </w:rPr>
              <w:t>18 of 21</w:t>
            </w:r>
          </w:p>
        </w:tc>
        <w:tc>
          <w:tcPr>
            <w:tcW w:type="dxa" w:w="4680"/>
          </w:tcPr>
          <w:p>
            <w:pPr>
              <w:spacing w:after="20" w:before="20" w:line="254" w:lineRule="auto"/>
              <w:jc w:val="left"/>
            </w:pPr>
            <w:r>
              <w:rPr>
                <w:sz w:val="16"/>
              </w:rPr>
              <w:t>one-hot encoding will be needed in phase 4</w:t>
            </w:r>
          </w:p>
        </w:tc>
      </w:tr>
      <w:tr>
        <w:tc>
          <w:tcPr>
            <w:tcW w:type="dxa" w:w="1872"/>
            <w:shd w:val="clear" w:color="auto" w:fill="F2F5F9"/>
          </w:tcPr>
          <w:p>
            <w:pPr>
              <w:spacing w:after="20" w:before="20" w:line="254" w:lineRule="auto"/>
              <w:jc w:val="left"/>
            </w:pPr>
            <w:r>
              <w:rPr>
                <w:rFonts w:ascii="Consolas" w:hAnsi="Consolas" w:eastAsia="Consolas"/>
                <w:color w:val="8A2C1F"/>
                <w:sz w:val="15"/>
              </w:rPr>
              <w:t>TotalCharges</w:t>
            </w:r>
            <w:r>
              <w:rPr>
                <w:sz w:val="16"/>
              </w:rPr>
              <w:t xml:space="preserve"> dtype</w:t>
            </w:r>
          </w:p>
        </w:tc>
        <w:tc>
          <w:tcPr>
            <w:tcW w:type="dxa" w:w="2765"/>
            <w:shd w:val="clear" w:color="auto" w:fill="F2F5F9"/>
          </w:tcPr>
          <w:p>
            <w:pPr>
              <w:spacing w:after="20" w:before="20" w:line="254" w:lineRule="auto"/>
              <w:jc w:val="left"/>
            </w:pPr>
            <w:r>
              <w:rPr>
                <w:rFonts w:ascii="Consolas" w:hAnsi="Consolas" w:eastAsia="Consolas"/>
                <w:color w:val="8A2C1F"/>
                <w:sz w:val="15"/>
              </w:rPr>
              <w:t>object</w:t>
            </w:r>
            <w:r>
              <w:rPr>
                <w:sz w:val="16"/>
              </w:rPr>
              <w:t xml:space="preserve"> (should be numeric)</w:t>
            </w:r>
          </w:p>
        </w:tc>
        <w:tc>
          <w:tcPr>
            <w:tcW w:type="dxa" w:w="4680"/>
            <w:shd w:val="clear" w:color="auto" w:fill="F2F5F9"/>
          </w:tcPr>
          <w:p>
            <w:pPr>
              <w:spacing w:after="20" w:before="20" w:line="254" w:lineRule="auto"/>
              <w:jc w:val="left"/>
            </w:pPr>
            <w:r>
              <w:rPr>
                <w:sz w:val="16"/>
              </w:rPr>
              <w:t>numeric cast required in phase 2</w:t>
            </w:r>
          </w:p>
        </w:tc>
      </w:tr>
      <w:tr>
        <w:tc>
          <w:tcPr>
            <w:tcW w:type="dxa" w:w="1872"/>
          </w:tcPr>
          <w:p>
            <w:pPr>
              <w:spacing w:after="20" w:before="20" w:line="254" w:lineRule="auto"/>
              <w:jc w:val="left"/>
            </w:pPr>
            <w:r>
              <w:rPr>
                <w:sz w:val="16"/>
              </w:rPr>
              <w:t xml:space="preserve">Blank </w:t>
            </w:r>
            <w:r>
              <w:rPr>
                <w:rFonts w:ascii="Consolas" w:hAnsi="Consolas" w:eastAsia="Consolas"/>
                <w:color w:val="8A2C1F"/>
                <w:sz w:val="15"/>
              </w:rPr>
              <w:t>TotalCharges</w:t>
            </w:r>
          </w:p>
        </w:tc>
        <w:tc>
          <w:tcPr>
            <w:tcW w:type="dxa" w:w="2765"/>
          </w:tcPr>
          <w:p>
            <w:pPr>
              <w:spacing w:after="20" w:before="20" w:line="254" w:lineRule="auto"/>
              <w:jc w:val="left"/>
            </w:pPr>
            <w:r>
              <w:rPr>
                <w:sz w:val="16"/>
              </w:rPr>
              <w:t xml:space="preserve">11 rows, all with </w:t>
            </w:r>
            <w:r>
              <w:rPr>
                <w:rFonts w:ascii="Consolas" w:hAnsi="Consolas" w:eastAsia="Consolas"/>
                <w:color w:val="8A2C1F"/>
                <w:sz w:val="15"/>
              </w:rPr>
              <w:t>tenure = 0</w:t>
            </w:r>
          </w:p>
        </w:tc>
        <w:tc>
          <w:tcPr>
            <w:tcW w:type="dxa" w:w="4680"/>
          </w:tcPr>
          <w:p>
            <w:pPr>
              <w:spacing w:after="20" w:before="20" w:line="254" w:lineRule="auto"/>
              <w:jc w:val="left"/>
            </w:pPr>
            <w:r>
              <w:rPr>
                <w:sz w:val="16"/>
              </w:rPr>
              <w:t>targeted fill with 0.0, not median</w:t>
            </w:r>
          </w:p>
        </w:tc>
      </w:tr>
      <w:tr>
        <w:tc>
          <w:tcPr>
            <w:tcW w:type="dxa" w:w="1872"/>
            <w:shd w:val="clear" w:color="auto" w:fill="F2F5F9"/>
          </w:tcPr>
          <w:p>
            <w:pPr>
              <w:spacing w:after="20" w:before="20" w:line="254" w:lineRule="auto"/>
              <w:jc w:val="left"/>
            </w:pPr>
            <w:r>
              <w:rPr>
                <w:sz w:val="16"/>
              </w:rPr>
              <w:t>Churn distribution</w:t>
            </w:r>
          </w:p>
        </w:tc>
        <w:tc>
          <w:tcPr>
            <w:tcW w:type="dxa" w:w="2765"/>
            <w:shd w:val="clear" w:color="auto" w:fill="F2F5F9"/>
          </w:tcPr>
          <w:p>
            <w:pPr>
              <w:spacing w:after="20" w:before="20" w:line="254" w:lineRule="auto"/>
              <w:jc w:val="center"/>
            </w:pPr>
            <w:r>
              <w:rPr>
                <w:sz w:val="16"/>
              </w:rPr>
              <w:t>5 174 No / 1 869 Yes</w:t>
            </w:r>
          </w:p>
        </w:tc>
        <w:tc>
          <w:tcPr>
            <w:tcW w:type="dxa" w:w="4680"/>
            <w:shd w:val="clear" w:color="auto" w:fill="F2F5F9"/>
          </w:tcPr>
          <w:p>
            <w:pPr>
              <w:spacing w:after="20" w:before="20" w:line="254" w:lineRule="auto"/>
              <w:jc w:val="left"/>
            </w:pPr>
            <w:r>
              <w:rPr>
                <w:sz w:val="16"/>
              </w:rPr>
              <w:t>class weighting required in phase 6</w:t>
            </w:r>
          </w:p>
        </w:tc>
      </w:tr>
      <w:tr>
        <w:tc>
          <w:tcPr>
            <w:tcW w:type="dxa" w:w="1872"/>
          </w:tcPr>
          <w:p>
            <w:pPr>
              <w:spacing w:after="20" w:before="20" w:line="254" w:lineRule="auto"/>
              <w:jc w:val="left"/>
            </w:pPr>
            <w:r>
              <w:rPr>
                <w:sz w:val="16"/>
              </w:rPr>
              <w:t>Baseline churn rate</w:t>
            </w:r>
          </w:p>
        </w:tc>
        <w:tc>
          <w:tcPr>
            <w:tcW w:type="dxa" w:w="2765"/>
          </w:tcPr>
          <w:p>
            <w:pPr>
              <w:spacing w:after="20" w:before="20" w:line="254" w:lineRule="auto"/>
              <w:jc w:val="center"/>
            </w:pPr>
            <w:r>
              <w:rPr>
                <w:b/>
                <w:sz w:val="16"/>
              </w:rPr>
              <w:t>26.54 %</w:t>
            </w:r>
          </w:p>
        </w:tc>
        <w:tc>
          <w:tcPr>
            <w:tcW w:type="dxa" w:w="4680"/>
          </w:tcPr>
          <w:p>
            <w:pPr>
              <w:spacing w:after="20" w:before="20" w:line="254" w:lineRule="auto"/>
              <w:jc w:val="left"/>
            </w:pPr>
            <w:r>
              <w:rPr>
                <w:sz w:val="16"/>
              </w:rPr>
              <w:t>the accuracy floor a model must beat is 73.46 %</w:t>
            </w:r>
          </w:p>
        </w:tc>
      </w:tr>
      <w:tr>
        <w:tc>
          <w:tcPr>
            <w:tcW w:type="dxa" w:w="1872"/>
            <w:shd w:val="clear" w:color="auto" w:fill="F2F5F9"/>
          </w:tcPr>
          <w:p>
            <w:pPr>
              <w:spacing w:after="20" w:before="20" w:line="254" w:lineRule="auto"/>
              <w:jc w:val="left"/>
            </w:pPr>
            <w:r>
              <w:rPr>
                <w:sz w:val="16"/>
              </w:rPr>
              <w:t>Predictor count</w:t>
            </w:r>
          </w:p>
        </w:tc>
        <w:tc>
          <w:tcPr>
            <w:tcW w:type="dxa" w:w="2765"/>
            <w:shd w:val="clear" w:color="auto" w:fill="F2F5F9"/>
          </w:tcPr>
          <w:p>
            <w:pPr>
              <w:spacing w:after="20" w:before="20" w:line="254" w:lineRule="auto"/>
              <w:jc w:val="left"/>
            </w:pPr>
            <w:r>
              <w:rPr>
                <w:sz w:val="16"/>
              </w:rPr>
              <w:t>19 after removing ID and target</w:t>
            </w:r>
          </w:p>
        </w:tc>
        <w:tc>
          <w:tcPr>
            <w:tcW w:type="dxa" w:w="4680"/>
            <w:shd w:val="clear" w:color="auto" w:fill="F2F5F9"/>
          </w:tcPr>
          <w:p>
            <w:pPr>
              <w:spacing w:after="20" w:before="20" w:line="254" w:lineRule="auto"/>
              <w:jc w:val="left"/>
            </w:pPr>
            <w:r>
              <w:rPr>
                <w:sz w:val="16"/>
              </w:rPr>
              <w:t>the starting feature space</w:t>
            </w:r>
          </w:p>
        </w:tc>
      </w:tr>
    </w:tbl>
    <w:p>
      <w:pPr>
        <w:spacing w:before="80" w:after="200"/>
        <w:jc w:val="center"/>
      </w:pPr>
      <w:r>
        <w:rPr>
          <w:i/>
          <w:color w:val="555F6B"/>
          <w:sz w:val="17"/>
        </w:rPr>
        <w:t>Table 9: Phase 1 profiling results measured on the raw dataset.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1E2A38"/>
          </w:tcPr>
          <w:p>
            <w:pPr>
              <w:spacing w:after="0" w:before="0" w:line="240" w:lineRule="auto"/>
            </w:pPr>
            <w:r>
              <w:rPr>
                <w:color w:val="E6ECF2"/>
              </w:rPr>
            </w:r>
            <w:r>
              <w:rPr>
                <w:rFonts w:ascii="Consolas" w:hAnsi="Consolas" w:eastAsia="Consolas"/>
                <w:color w:val="E6ECF2"/>
                <w:sz w:val="16"/>
              </w:rPr>
              <w:t>======================================================================</w:t>
            </w:r>
          </w:p>
          <w:p>
            <w:pPr>
              <w:spacing w:after="0" w:before="0" w:line="240" w:lineRule="auto"/>
            </w:pPr>
            <w:r>
              <w:rPr>
                <w:rFonts w:ascii="Consolas" w:hAnsi="Consolas" w:eastAsia="Consolas"/>
                <w:color w:val="E6ECF2"/>
                <w:sz w:val="16"/>
              </w:rPr>
              <w:t>PHASE 1: DATA COLLECTION AND UNDERSTANDING</w:t>
            </w:r>
          </w:p>
          <w:p>
            <w:pPr>
              <w:spacing w:after="0" w:before="0" w:line="240" w:lineRule="auto"/>
            </w:pPr>
            <w:r>
              <w:rPr>
                <w:rFonts w:ascii="Consolas" w:hAnsi="Consolas" w:eastAsia="Consolas"/>
                <w:color w:val="E6ECF2"/>
                <w:sz w:val="16"/>
              </w:rPr>
              <w:t>======================================================================</w:t>
            </w:r>
          </w:p>
          <w:p>
            <w:pPr>
              <w:spacing w:after="0" w:before="0" w:line="240" w:lineRule="auto"/>
            </w:pPr>
            <w:r>
              <w:rPr>
                <w:rFonts w:ascii="Consolas" w:hAnsi="Consolas" w:eastAsia="Consolas"/>
                <w:color w:val="E6ECF2"/>
                <w:sz w:val="16"/>
              </w:rPr>
            </w:r>
          </w:p>
          <w:p>
            <w:pPr>
              <w:spacing w:after="0" w:before="0" w:line="240" w:lineRule="auto"/>
            </w:pPr>
            <w:r>
              <w:rPr>
                <w:rFonts w:ascii="Consolas" w:hAnsi="Consolas" w:eastAsia="Consolas"/>
                <w:color w:val="E6ECF2"/>
                <w:sz w:val="16"/>
              </w:rPr>
              <w:t>1. DATASET SHAPE</w:t>
            </w:r>
          </w:p>
          <w:p>
            <w:pPr>
              <w:spacing w:after="0" w:before="0" w:line="240" w:lineRule="auto"/>
            </w:pPr>
            <w:r>
              <w:rPr>
                <w:rFonts w:ascii="Consolas" w:hAnsi="Consolas" w:eastAsia="Consolas"/>
                <w:color w:val="E6ECF2"/>
                <w:sz w:val="16"/>
              </w:rPr>
              <w:t>Rows: 7043</w:t>
            </w:r>
          </w:p>
          <w:p>
            <w:pPr>
              <w:spacing w:after="0" w:before="0" w:line="240" w:lineRule="auto"/>
            </w:pPr>
            <w:r>
              <w:rPr>
                <w:rFonts w:ascii="Consolas" w:hAnsi="Consolas" w:eastAsia="Consolas"/>
                <w:color w:val="E6ECF2"/>
                <w:sz w:val="16"/>
              </w:rPr>
              <w:t>Columns: 21</w:t>
            </w:r>
          </w:p>
          <w:p>
            <w:pPr>
              <w:spacing w:after="0" w:before="0" w:line="240" w:lineRule="auto"/>
            </w:pPr>
            <w:r>
              <w:rPr>
                <w:rFonts w:ascii="Consolas" w:hAnsi="Consolas" w:eastAsia="Consolas"/>
                <w:color w:val="E6ECF2"/>
                <w:sz w:val="16"/>
              </w:rPr>
            </w:r>
          </w:p>
          <w:p>
            <w:pPr>
              <w:spacing w:after="0" w:before="0" w:line="240" w:lineRule="auto"/>
            </w:pPr>
            <w:r>
              <w:rPr>
                <w:rFonts w:ascii="Consolas" w:hAnsi="Consolas" w:eastAsia="Consolas"/>
                <w:color w:val="E6ECF2"/>
                <w:sz w:val="16"/>
              </w:rPr>
              <w:t>6. TARGET VARIABLE: CHURN</w:t>
            </w:r>
          </w:p>
          <w:p>
            <w:pPr>
              <w:spacing w:after="0" w:before="0" w:line="240" w:lineRule="auto"/>
            </w:pPr>
            <w:r>
              <w:rPr>
                <w:rFonts w:ascii="Consolas" w:hAnsi="Consolas" w:eastAsia="Consolas"/>
                <w:color w:val="E6ECF2"/>
                <w:sz w:val="16"/>
              </w:rPr>
              <w:t>Churn count:</w:t>
            </w:r>
          </w:p>
          <w:p>
            <w:pPr>
              <w:spacing w:after="0" w:before="0" w:line="240" w:lineRule="auto"/>
            </w:pPr>
            <w:r>
              <w:rPr>
                <w:rFonts w:ascii="Consolas" w:hAnsi="Consolas" w:eastAsia="Consolas"/>
                <w:color w:val="E6ECF2"/>
                <w:sz w:val="16"/>
              </w:rPr>
              <w:t>No     5174</w:t>
            </w:r>
          </w:p>
          <w:p>
            <w:pPr>
              <w:spacing w:after="0" w:before="0" w:line="240" w:lineRule="auto"/>
            </w:pPr>
            <w:r>
              <w:rPr>
                <w:rFonts w:ascii="Consolas" w:hAnsi="Consolas" w:eastAsia="Consolas"/>
                <w:color w:val="E6ECF2"/>
                <w:sz w:val="16"/>
              </w:rPr>
              <w:t>Yes    1869</w:t>
            </w:r>
          </w:p>
          <w:p>
            <w:pPr>
              <w:spacing w:after="0" w:before="0" w:line="240" w:lineRule="auto"/>
            </w:pPr>
            <w:r>
              <w:rPr>
                <w:rFonts w:ascii="Consolas" w:hAnsi="Consolas" w:eastAsia="Consolas"/>
                <w:color w:val="E6ECF2"/>
                <w:sz w:val="16"/>
              </w:rPr>
            </w:r>
          </w:p>
          <w:p>
            <w:pPr>
              <w:spacing w:after="0" w:before="0" w:line="240" w:lineRule="auto"/>
            </w:pPr>
            <w:r>
              <w:rPr>
                <w:rFonts w:ascii="Consolas" w:hAnsi="Consolas" w:eastAsia="Consolas"/>
                <w:color w:val="E6ECF2"/>
                <w:sz w:val="16"/>
              </w:rPr>
              <w:t>Baseline churn rate: 26.54%</w:t>
            </w:r>
          </w:p>
          <w:p>
            <w:pPr>
              <w:spacing w:after="0" w:before="0" w:line="240" w:lineRule="auto"/>
            </w:pPr>
            <w:r>
              <w:rPr>
                <w:rFonts w:ascii="Consolas" w:hAnsi="Consolas" w:eastAsia="Consolas"/>
                <w:color w:val="E6ECF2"/>
                <w:sz w:val="16"/>
              </w:rPr>
            </w:r>
          </w:p>
          <w:p>
            <w:pPr>
              <w:spacing w:after="0" w:before="0" w:line="240" w:lineRule="auto"/>
            </w:pPr>
            <w:r>
              <w:rPr>
                <w:rFonts w:ascii="Consolas" w:hAnsi="Consolas" w:eastAsia="Consolas"/>
                <w:color w:val="E6ECF2"/>
                <w:sz w:val="16"/>
              </w:rPr>
              <w:t>8. TOTALCHARGES DATA QUALITY CHECK</w:t>
            </w:r>
          </w:p>
          <w:p>
            <w:pPr>
              <w:spacing w:after="0" w:before="0" w:line="240" w:lineRule="auto"/>
            </w:pPr>
            <w:r>
              <w:rPr>
                <w:rFonts w:ascii="Consolas" w:hAnsi="Consolas" w:eastAsia="Consolas"/>
                <w:color w:val="E6ECF2"/>
                <w:sz w:val="16"/>
              </w:rPr>
              <w:t>Invalid or blank TotalCharges values: 11</w:t>
            </w:r>
          </w:p>
        </w:tc>
      </w:tr>
    </w:tbl>
    <w:p>
      <w:pPr>
        <w:spacing w:before="60" w:after="180"/>
        <w:jc w:val="center"/>
      </w:pPr>
      <w:r>
        <w:rPr>
          <w:i/>
          <w:color w:val="555F6B"/>
          <w:sz w:val="17"/>
        </w:rPr>
        <w:t>Listing 3: Abridged console output of phase 1, as produced by the delivered script.</w:t>
      </w:r>
    </w:p>
    <w:p>
      <w:pPr>
        <w:keepNext/>
        <w:spacing w:before="240" w:after="80"/>
      </w:pPr>
      <w:r>
        <w:rPr>
          <w:rFonts w:ascii="Calibri" w:hAnsi="Calibri"/>
          <w:b/>
          <w:color w:val="1B355E"/>
          <w:sz w:val="25"/>
        </w:rPr>
        <w:t>6.4  Interpretation</w:t>
      </w:r>
    </w:p>
    <w:p>
      <w:pPr>
        <w:spacing w:after="120" w:before="0"/>
        <w:jc w:val="both"/>
      </w:pPr>
      <w:r>
        <w:rPr>
          <w:b w:val="0"/>
          <w:i w:val="0"/>
          <w:sz w:val="21"/>
        </w:rPr>
        <w:t>Phase 1 confirms the dataset is complete and structurally sound: no nulls, no missing columns, no truncation. The two findings that shape everything downstream are the class imbalance and the TotalCharges defect. The imbalance sets the evaluation strategy for phase 6; the defect, and specifically the discovery that it correlates perfectly with zero tenure, sets the cleaning strategy for phase 2.</w:t>
      </w:r>
    </w:p>
    <w:p>
      <w:r>
        <w:br w:type="page"/>
      </w:r>
    </w:p>
    <w:p>
      <w:pPr>
        <w:spacing w:after="0"/>
      </w:pPr>
    </w:p>
    <w:p>
      <w:pPr>
        <w:keepNext/>
        <w:spacing w:before="80" w:after="40"/>
        <w:pBdr>
          <w:bottom w:val="single" w:sz="10" w:space="3" w:color="1B355E"/>
        </w:pBdr>
      </w:pPr>
      <w:r>
        <w:rPr>
          <w:rFonts w:ascii="Calibri" w:hAnsi="Calibri"/>
          <w:b/>
          <w:color w:val="1B355E"/>
          <w:sz w:val="30"/>
        </w:rPr>
        <w:t>7.  Phase 2 — Data Cleaning</w:t>
      </w:r>
    </w:p>
    <w:p>
      <w:pPr>
        <w:spacing w:after="40"/>
      </w:pPr>
    </w:p>
    <w:p>
      <w:pPr>
        <w:keepNext/>
        <w:spacing w:before="240" w:after="80"/>
      </w:pPr>
      <w:r>
        <w:rPr>
          <w:rFonts w:ascii="Calibri" w:hAnsi="Calibri"/>
          <w:b/>
          <w:color w:val="1B355E"/>
          <w:sz w:val="25"/>
        </w:rPr>
        <w:t>7.1  Purpose</w:t>
      </w:r>
    </w:p>
    <w:p>
      <w:pPr>
        <w:spacing w:after="120" w:before="0"/>
        <w:jc w:val="both"/>
      </w:pPr>
      <w:r>
        <w:rPr>
          <w:b w:val="0"/>
          <w:i w:val="0"/>
          <w:sz w:val="21"/>
        </w:rPr>
        <w:t>Phase 2 converts the raw file into a validated analytical dataset. It repairs the TotalCharges column, resolves missing values with domain reasoning rather than statistical default, removes duplicates, validates that numeric ranges are physically plausible, applies outlier treatment, and standardises redundant categorical labels.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232"/>
        <w:gridCol w:w="7084"/>
      </w:tblGrid>
      <w:tr>
        <w:tc>
          <w:tcPr>
            <w:tcW w:type="dxa" w:w="2232"/>
            <w:shd w:val="clear" w:color="auto" w:fill="1B355E"/>
          </w:tcPr>
          <w:p>
            <w:pPr>
              <w:spacing w:after="20" w:before="20"/>
              <w:jc w:val="center"/>
            </w:pPr>
            <w:r>
              <w:rPr>
                <w:b/>
                <w:color w:val="FFFFFF"/>
                <w:sz w:val="17"/>
              </w:rPr>
              <w:t>Property</w:t>
            </w:r>
          </w:p>
        </w:tc>
        <w:tc>
          <w:tcPr>
            <w:tcW w:type="dxa" w:w="7085"/>
            <w:shd w:val="clear" w:color="auto" w:fill="1B355E"/>
          </w:tcPr>
          <w:p>
            <w:pPr>
              <w:spacing w:after="20" w:before="20"/>
              <w:jc w:val="center"/>
            </w:pPr>
            <w:r>
              <w:rPr>
                <w:b/>
                <w:color w:val="FFFFFF"/>
                <w:sz w:val="17"/>
              </w:rPr>
              <w:t>Value</w:t>
            </w:r>
          </w:p>
        </w:tc>
      </w:tr>
      <w:tr>
        <w:tc>
          <w:tcPr>
            <w:tcW w:type="dxa" w:w="2232"/>
          </w:tcPr>
          <w:p>
            <w:pPr>
              <w:spacing w:after="20" w:before="20" w:line="254" w:lineRule="auto"/>
              <w:jc w:val="left"/>
            </w:pPr>
            <w:r>
              <w:rPr>
                <w:sz w:val="17"/>
              </w:rPr>
              <w:t>Input</w:t>
            </w:r>
          </w:p>
        </w:tc>
        <w:tc>
          <w:tcPr>
            <w:tcW w:type="dxa" w:w="7085"/>
          </w:tcPr>
          <w:p>
            <w:pPr>
              <w:spacing w:after="20" w:before="20" w:line="254" w:lineRule="auto"/>
              <w:jc w:val="left"/>
            </w:pPr>
            <w:r>
              <w:rPr>
                <w:rFonts w:ascii="Consolas" w:hAnsi="Consolas" w:eastAsia="Consolas"/>
                <w:color w:val="8A2C1F"/>
                <w:sz w:val="16"/>
              </w:rPr>
              <w:t>data/Customer-Churn.csv</w:t>
            </w:r>
          </w:p>
        </w:tc>
      </w:tr>
      <w:tr>
        <w:tc>
          <w:tcPr>
            <w:tcW w:type="dxa" w:w="2232"/>
            <w:shd w:val="clear" w:color="auto" w:fill="F2F5F9"/>
          </w:tcPr>
          <w:p>
            <w:pPr>
              <w:spacing w:after="20" w:before="20" w:line="254" w:lineRule="auto"/>
              <w:jc w:val="left"/>
            </w:pPr>
            <w:r>
              <w:rPr>
                <w:sz w:val="17"/>
              </w:rPr>
              <w:t>Output</w:t>
            </w:r>
          </w:p>
        </w:tc>
        <w:tc>
          <w:tcPr>
            <w:tcW w:type="dxa" w:w="7085"/>
            <w:shd w:val="clear" w:color="auto" w:fill="F2F5F9"/>
          </w:tcPr>
          <w:p>
            <w:pPr>
              <w:spacing w:after="20" w:before="20" w:line="254" w:lineRule="auto"/>
              <w:jc w:val="left"/>
            </w:pPr>
            <w:r>
              <w:rPr>
                <w:rFonts w:ascii="Consolas" w:hAnsi="Consolas" w:eastAsia="Consolas"/>
                <w:color w:val="8A2C1F"/>
                <w:sz w:val="16"/>
              </w:rPr>
              <w:t>data/Customer-Churn-Cleaned.csv</w:t>
            </w:r>
            <w:r>
              <w:rPr>
                <w:sz w:val="17"/>
              </w:rPr>
              <w:t xml:space="preserve"> — 7 043 × 21</w:t>
            </w:r>
          </w:p>
        </w:tc>
      </w:tr>
      <w:tr>
        <w:tc>
          <w:tcPr>
            <w:tcW w:type="dxa" w:w="2232"/>
          </w:tcPr>
          <w:p>
            <w:pPr>
              <w:spacing w:after="20" w:before="20" w:line="254" w:lineRule="auto"/>
              <w:jc w:val="left"/>
            </w:pPr>
            <w:r>
              <w:rPr>
                <w:sz w:val="17"/>
              </w:rPr>
              <w:t>Lines of code</w:t>
            </w:r>
          </w:p>
        </w:tc>
        <w:tc>
          <w:tcPr>
            <w:tcW w:type="dxa" w:w="7085"/>
          </w:tcPr>
          <w:p>
            <w:pPr>
              <w:spacing w:after="20" w:before="20" w:line="254" w:lineRule="auto"/>
              <w:jc w:val="center"/>
            </w:pPr>
            <w:r>
              <w:rPr>
                <w:sz w:val="17"/>
              </w:rPr>
              <w:t>160</w:t>
            </w:r>
          </w:p>
        </w:tc>
      </w:tr>
      <w:tr>
        <w:tc>
          <w:tcPr>
            <w:tcW w:type="dxa" w:w="2232"/>
            <w:shd w:val="clear" w:color="auto" w:fill="F2F5F9"/>
          </w:tcPr>
          <w:p>
            <w:pPr>
              <w:spacing w:after="20" w:before="20" w:line="254" w:lineRule="auto"/>
              <w:jc w:val="left"/>
            </w:pPr>
            <w:r>
              <w:rPr>
                <w:sz w:val="17"/>
              </w:rPr>
              <w:t>Rows removed</w:t>
            </w:r>
          </w:p>
        </w:tc>
        <w:tc>
          <w:tcPr>
            <w:tcW w:type="dxa" w:w="7085"/>
            <w:shd w:val="clear" w:color="auto" w:fill="F2F5F9"/>
          </w:tcPr>
          <w:p>
            <w:pPr>
              <w:spacing w:after="20" w:before="20" w:line="254" w:lineRule="auto"/>
              <w:jc w:val="center"/>
            </w:pPr>
            <w:r>
              <w:rPr>
                <w:sz w:val="17"/>
              </w:rPr>
              <w:t>0</w:t>
            </w:r>
          </w:p>
        </w:tc>
      </w:tr>
      <w:tr>
        <w:tc>
          <w:tcPr>
            <w:tcW w:type="dxa" w:w="2232"/>
          </w:tcPr>
          <w:p>
            <w:pPr>
              <w:spacing w:after="20" w:before="20" w:line="254" w:lineRule="auto"/>
              <w:jc w:val="left"/>
            </w:pPr>
            <w:r>
              <w:rPr>
                <w:sz w:val="17"/>
              </w:rPr>
              <w:t>Values repaired</w:t>
            </w:r>
          </w:p>
        </w:tc>
        <w:tc>
          <w:tcPr>
            <w:tcW w:type="dxa" w:w="7085"/>
          </w:tcPr>
          <w:p>
            <w:pPr>
              <w:spacing w:after="20" w:before="20" w:line="254" w:lineRule="auto"/>
              <w:jc w:val="center"/>
            </w:pPr>
            <w:r>
              <w:rPr>
                <w:sz w:val="17"/>
              </w:rPr>
              <w:t>11 (</w:t>
            </w:r>
            <w:r>
              <w:rPr>
                <w:rFonts w:ascii="Consolas" w:hAnsi="Consolas" w:eastAsia="Consolas"/>
                <w:color w:val="8A2C1F"/>
                <w:sz w:val="16"/>
              </w:rPr>
              <w:t>TotalCharges</w:t>
            </w:r>
            <w:r>
              <w:rPr>
                <w:sz w:val="17"/>
              </w:rPr>
              <w:t>)</w:t>
            </w:r>
          </w:p>
        </w:tc>
      </w:tr>
      <w:tr>
        <w:tc>
          <w:tcPr>
            <w:tcW w:type="dxa" w:w="2232"/>
            <w:shd w:val="clear" w:color="auto" w:fill="F2F5F9"/>
          </w:tcPr>
          <w:p>
            <w:pPr>
              <w:spacing w:after="20" w:before="20" w:line="254" w:lineRule="auto"/>
              <w:jc w:val="left"/>
            </w:pPr>
            <w:r>
              <w:rPr>
                <w:sz w:val="17"/>
              </w:rPr>
              <w:t>Labels standardised</w:t>
            </w:r>
          </w:p>
        </w:tc>
        <w:tc>
          <w:tcPr>
            <w:tcW w:type="dxa" w:w="7085"/>
            <w:shd w:val="clear" w:color="auto" w:fill="F2F5F9"/>
          </w:tcPr>
          <w:p>
            <w:pPr>
              <w:spacing w:after="20" w:before="20" w:line="254" w:lineRule="auto"/>
              <w:jc w:val="center"/>
            </w:pPr>
            <w:r>
              <w:rPr>
                <w:sz w:val="17"/>
              </w:rPr>
              <w:t>7 columns</w:t>
            </w:r>
          </w:p>
        </w:tc>
      </w:tr>
    </w:tbl>
    <w:p>
      <w:pPr>
        <w:spacing w:before="80" w:after="200"/>
        <w:jc w:val="center"/>
      </w:pPr>
      <w:r>
        <w:rPr>
          <w:i/>
          <w:color w:val="555F6B"/>
          <w:sz w:val="17"/>
        </w:rPr>
        <w:t>Table 10: Phase 2 interface summary.</w:t>
      </w:r>
    </w:p>
    <w:p>
      <w:pPr>
        <w:keepNext/>
        <w:spacing w:before="240" w:after="80"/>
      </w:pPr>
      <w:r>
        <w:rPr>
          <w:rFonts w:ascii="Calibri" w:hAnsi="Calibri"/>
          <w:b/>
          <w:color w:val="1B355E"/>
          <w:sz w:val="25"/>
        </w:rPr>
        <w:t>7.2  Code walk-through</w:t>
      </w:r>
    </w:p>
    <w:p>
      <w:pPr>
        <w:keepNext/>
        <w:spacing w:before="200" w:after="60"/>
      </w:pPr>
      <w:r>
        <w:rPr>
          <w:rFonts w:ascii="Calibri" w:hAnsi="Calibri"/>
          <w:b/>
          <w:color w:val="0B5C7A"/>
          <w:sz w:val="22"/>
        </w:rPr>
        <w:t>Whitespace normalisation</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df = df.replace(r"^\s*$", pd.NA, regex=True)</w:t>
            </w:r>
          </w:p>
        </w:tc>
      </w:tr>
    </w:tbl>
    <w:p>
      <w:pPr>
        <w:spacing w:after="80"/>
      </w:pPr>
    </w:p>
    <w:p>
      <w:pPr>
        <w:spacing w:after="120" w:before="0"/>
        <w:jc w:val="both"/>
      </w:pPr>
      <w:r>
        <w:rPr>
          <w:b w:val="0"/>
          <w:i w:val="0"/>
          <w:sz w:val="21"/>
        </w:rPr>
        <w:t>A single regular expression applied across the entire frame. The pattern matches any cell containing nothing but whitespace — an empty string, a space, a tab — and replaces it with a proper pandas missing marker. This matters because pandas does not treat a space character as missing: without this line, isna() reports zero missing values while eleven cells are in fact empty, and every subsequent missing-value check silently returns a false clean bill of health.</w:t>
      </w:r>
    </w:p>
    <w:p>
      <w:pPr>
        <w:keepNext/>
        <w:spacing w:before="200" w:after="60"/>
      </w:pPr>
      <w:r>
        <w:rPr>
          <w:rFonts w:ascii="Calibri" w:hAnsi="Calibri"/>
          <w:b/>
          <w:color w:val="0B5C7A"/>
          <w:sz w:val="22"/>
        </w:rPr>
        <w:t>Domain-driven imputation</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df["TotalCharges"] = pd.to_numeric(df["TotalCharges"], errors="coerce")</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For newly joined customers with tenure 0, TotalCharges should be 0</w:t>
            </w:r>
          </w:p>
          <w:p>
            <w:pPr>
              <w:spacing w:after="0" w:before="0" w:line="240" w:lineRule="auto"/>
            </w:pPr>
            <w:r>
              <w:rPr>
                <w:rFonts w:ascii="Consolas" w:hAnsi="Consolas" w:eastAsia="Consolas"/>
                <w:color w:val="1A232E"/>
                <w:sz w:val="16"/>
              </w:rPr>
              <w:t>df.loc[</w:t>
            </w:r>
          </w:p>
          <w:p>
            <w:pPr>
              <w:spacing w:after="0" w:before="0" w:line="240" w:lineRule="auto"/>
            </w:pPr>
            <w:r>
              <w:rPr>
                <w:rFonts w:ascii="Consolas" w:hAnsi="Consolas" w:eastAsia="Consolas"/>
                <w:color w:val="1A232E"/>
                <w:sz w:val="16"/>
              </w:rPr>
              <w:t xml:space="preserve">    (df["tenure"] == 0) &amp; (df["TotalCharges"].isna()),</w:t>
            </w:r>
          </w:p>
          <w:p>
            <w:pPr>
              <w:spacing w:after="0" w:before="0" w:line="240" w:lineRule="auto"/>
            </w:pPr>
            <w:r>
              <w:rPr>
                <w:rFonts w:ascii="Consolas" w:hAnsi="Consolas" w:eastAsia="Consolas"/>
                <w:color w:val="1A232E"/>
                <w:sz w:val="16"/>
              </w:rPr>
              <w:t xml:space="preserve">    "TotalCharges"</w:t>
            </w:r>
          </w:p>
          <w:p>
            <w:pPr>
              <w:spacing w:after="0" w:before="0" w:line="240" w:lineRule="auto"/>
            </w:pPr>
            <w:r>
              <w:rPr>
                <w:rFonts w:ascii="Consolas" w:hAnsi="Consolas" w:eastAsia="Consolas"/>
                <w:color w:val="1A232E"/>
                <w:sz w:val="16"/>
              </w:rPr>
              <w:t>] = 0.0</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remaining_missing = df["TotalCharges"].isna().sum()</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if remaining_missing &gt; 0:</w:t>
            </w:r>
          </w:p>
          <w:p>
            <w:pPr>
              <w:spacing w:after="0" w:before="0" w:line="240" w:lineRule="auto"/>
            </w:pPr>
            <w:r>
              <w:rPr>
                <w:rFonts w:ascii="Consolas" w:hAnsi="Consolas" w:eastAsia="Consolas"/>
                <w:color w:val="1A232E"/>
                <w:sz w:val="16"/>
              </w:rPr>
              <w:t xml:space="preserve">    median_total_charges = df["TotalCharges"].median()</w:t>
            </w:r>
          </w:p>
          <w:p>
            <w:pPr>
              <w:spacing w:after="0" w:before="0" w:line="240" w:lineRule="auto"/>
            </w:pPr>
            <w:r>
              <w:rPr>
                <w:rFonts w:ascii="Consolas" w:hAnsi="Consolas" w:eastAsia="Consolas"/>
                <w:color w:val="1A232E"/>
                <w:sz w:val="16"/>
              </w:rPr>
              <w:t xml:space="preserve">    df["TotalCharges"] = df["TotalCharges"].fillna(median_total_charges)</w:t>
            </w:r>
          </w:p>
        </w:tc>
      </w:tr>
    </w:tbl>
    <w:p>
      <w:pPr>
        <w:spacing w:after="80"/>
      </w:pPr>
    </w:p>
    <w:p>
      <w:pPr>
        <w:spacing w:after="120" w:before="0"/>
        <w:jc w:val="both"/>
      </w:pPr>
      <w:r>
        <w:rPr>
          <w:b w:val="0"/>
          <w:i w:val="0"/>
          <w:sz w:val="21"/>
        </w:rPr>
        <w:t>This is the most defensible design decision in the cleaning stage, and it is worth explaining why. The naive treatment of eleven missing values in a financial column is to fill them with the column median, which here is 1 394.55. Doing so would assign roughly 1 395 units of accumulated revenue to customers who joined this month and have been billed nothing — a fabrication that would distort the ARPU and ChargeRatio features built in phase 4 and would corrupt the revenue-based reasoning the whole project rests on. Because phase 1 established that all eleven blanks belong to zero-tenure customers, the correct value is known with certainty to be zero. The median branch is retained purely as a defensive fallback should a future dataset contain a blank that is not explained by zero tenure; against the current data it never executes.</w:t>
      </w:r>
    </w:p>
    <w:p>
      <w:pPr>
        <w:keepNext/>
        <w:spacing w:before="200" w:after="60"/>
      </w:pPr>
      <w:r>
        <w:rPr>
          <w:rFonts w:ascii="Calibri" w:hAnsi="Calibri"/>
          <w:b/>
          <w:color w:val="0B5C7A"/>
          <w:sz w:val="22"/>
        </w:rPr>
        <w:t>Outlier detection by interquartile range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for column in ["tenure", "MonthlyCharges", "TotalCharges"]:</w:t>
            </w:r>
          </w:p>
          <w:p>
            <w:pPr>
              <w:spacing w:after="0" w:before="0" w:line="240" w:lineRule="auto"/>
            </w:pPr>
            <w:r>
              <w:rPr>
                <w:rFonts w:ascii="Consolas" w:hAnsi="Consolas" w:eastAsia="Consolas"/>
                <w:color w:val="1A232E"/>
                <w:sz w:val="16"/>
              </w:rPr>
              <w:t xml:space="preserve">    q1 = df[column].quantile(0.25)</w:t>
            </w:r>
          </w:p>
          <w:p>
            <w:pPr>
              <w:spacing w:after="0" w:before="0" w:line="240" w:lineRule="auto"/>
            </w:pPr>
            <w:r>
              <w:rPr>
                <w:rFonts w:ascii="Consolas" w:hAnsi="Consolas" w:eastAsia="Consolas"/>
                <w:color w:val="1A232E"/>
                <w:sz w:val="16"/>
              </w:rPr>
              <w:t xml:space="preserve">    q3 = df[column].quantile(0.75)</w:t>
            </w:r>
          </w:p>
          <w:p>
            <w:pPr>
              <w:spacing w:after="0" w:before="0" w:line="240" w:lineRule="auto"/>
            </w:pPr>
            <w:r>
              <w:rPr>
                <w:rFonts w:ascii="Consolas" w:hAnsi="Consolas" w:eastAsia="Consolas"/>
                <w:color w:val="1A232E"/>
                <w:sz w:val="16"/>
              </w:rPr>
              <w:t xml:space="preserve">    iqr = q3 - q1</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lower_bound = q1 - (1.5 * iqr)</w:t>
            </w:r>
          </w:p>
          <w:p>
            <w:pPr>
              <w:spacing w:after="0" w:before="0" w:line="240" w:lineRule="auto"/>
            </w:pPr>
            <w:r>
              <w:rPr>
                <w:rFonts w:ascii="Consolas" w:hAnsi="Consolas" w:eastAsia="Consolas"/>
                <w:color w:val="1A232E"/>
                <w:sz w:val="16"/>
              </w:rPr>
              <w:t xml:space="preserve">    upper_bound = q3 + (1.5 * iqr)</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outlier_count = ((df[column] &lt; lower_bound) | (df[column] &gt; upper_bound)).sum()</w:t>
            </w:r>
          </w:p>
          <w:p>
            <w:pPr>
              <w:spacing w:after="0" w:before="0" w:line="240" w:lineRule="auto"/>
            </w:pPr>
            <w:r>
              <w:rPr>
                <w:rFonts w:ascii="Consolas" w:hAnsi="Consolas" w:eastAsia="Consolas"/>
                <w:color w:val="1A232E"/>
                <w:sz w:val="16"/>
              </w:rPr>
              <w:t xml:space="preserve">    df[column] = df[column].clip(lower=lower_bound, upper=upper_bound)</w:t>
            </w:r>
          </w:p>
        </w:tc>
      </w:tr>
    </w:tbl>
    <w:p>
      <w:pPr>
        <w:spacing w:after="80"/>
      </w:pPr>
    </w:p>
    <w:p>
      <w:pPr>
        <w:spacing w:after="120"/>
        <w:jc w:val="both"/>
      </w:pPr>
      <w:r>
        <w:rPr>
          <w:sz w:val="21"/>
        </w:rPr>
        <w:t xml:space="preserve">The block applies Tukey's rule: anything more than 1.5 interquartile ranges beyond the first or third quartile is treated as an outlier. Rather than deleting those rows, </w:t>
      </w:r>
      <w:r>
        <w:rPr>
          <w:rFonts w:ascii="Consolas" w:hAnsi="Consolas"/>
          <w:color w:val="8A2C1F"/>
          <w:sz w:val="19"/>
        </w:rPr>
        <w:t>.clip()</w:t>
      </w:r>
      <w:r>
        <w:rPr>
          <w:sz w:val="21"/>
        </w:rPr>
        <w:t xml:space="preserve"> caps them at the boundary, which preserves the record and its label while limiting the leverage an extreme value can exert on a distance-based model. Executed against this dataset the block caps </w:t>
      </w:r>
      <w:r>
        <w:rPr>
          <w:b/>
          <w:sz w:val="21"/>
        </w:rPr>
        <w:t>nothing at all</w:t>
      </w:r>
      <w:r>
        <w:rPr>
          <w:sz w:val="21"/>
        </w:rPr>
        <w:t xml:space="preserve"> — all three columns are bounded by their own business rules, and the measured outlier count is zero in every case. The step is therefore protective rather than corrective, and Table 11 records the bounds it computed.</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843"/>
        <w:gridCol w:w="1036"/>
        <w:gridCol w:w="1296"/>
        <w:gridCol w:w="1296"/>
        <w:gridCol w:w="1440"/>
        <w:gridCol w:w="1368"/>
        <w:gridCol w:w="1036"/>
      </w:tblGrid>
      <w:tr>
        <w:tc>
          <w:tcPr>
            <w:tcW w:type="dxa" w:w="1843"/>
            <w:shd w:val="clear" w:color="auto" w:fill="1B355E"/>
          </w:tcPr>
          <w:p>
            <w:pPr>
              <w:spacing w:after="20" w:before="20"/>
              <w:jc w:val="center"/>
            </w:pPr>
            <w:r>
              <w:rPr>
                <w:b/>
                <w:color w:val="FFFFFF"/>
                <w:sz w:val="17"/>
              </w:rPr>
              <w:t>Column</w:t>
            </w:r>
          </w:p>
        </w:tc>
        <w:tc>
          <w:tcPr>
            <w:tcW w:type="dxa" w:w="1037"/>
            <w:shd w:val="clear" w:color="auto" w:fill="1B355E"/>
          </w:tcPr>
          <w:p>
            <w:pPr>
              <w:spacing w:after="20" w:before="20"/>
              <w:jc w:val="center"/>
            </w:pPr>
            <w:r>
              <w:rPr>
                <w:b/>
                <w:color w:val="FFFFFF"/>
                <w:sz w:val="17"/>
              </w:rPr>
              <w:t>Q1</w:t>
            </w:r>
          </w:p>
        </w:tc>
        <w:tc>
          <w:tcPr>
            <w:tcW w:type="dxa" w:w="1296"/>
            <w:shd w:val="clear" w:color="auto" w:fill="1B355E"/>
          </w:tcPr>
          <w:p>
            <w:pPr>
              <w:spacing w:after="20" w:before="20"/>
              <w:jc w:val="center"/>
            </w:pPr>
            <w:r>
              <w:rPr>
                <w:b/>
                <w:color w:val="FFFFFF"/>
                <w:sz w:val="17"/>
              </w:rPr>
              <w:t>Q3</w:t>
            </w:r>
          </w:p>
        </w:tc>
        <w:tc>
          <w:tcPr>
            <w:tcW w:type="dxa" w:w="1296"/>
            <w:shd w:val="clear" w:color="auto" w:fill="1B355E"/>
          </w:tcPr>
          <w:p>
            <w:pPr>
              <w:spacing w:after="20" w:before="20"/>
              <w:jc w:val="center"/>
            </w:pPr>
            <w:r>
              <w:rPr>
                <w:b/>
                <w:color w:val="FFFFFF"/>
                <w:sz w:val="17"/>
              </w:rPr>
              <w:t>IQR</w:t>
            </w:r>
          </w:p>
        </w:tc>
        <w:tc>
          <w:tcPr>
            <w:tcW w:type="dxa" w:w="1440"/>
            <w:shd w:val="clear" w:color="auto" w:fill="1B355E"/>
          </w:tcPr>
          <w:p>
            <w:pPr>
              <w:spacing w:after="20" w:before="20"/>
              <w:jc w:val="center"/>
            </w:pPr>
            <w:r>
              <w:rPr>
                <w:b/>
                <w:color w:val="FFFFFF"/>
                <w:sz w:val="17"/>
              </w:rPr>
              <w:t>Lower bound</w:t>
            </w:r>
          </w:p>
        </w:tc>
        <w:tc>
          <w:tcPr>
            <w:tcW w:type="dxa" w:w="1368"/>
            <w:shd w:val="clear" w:color="auto" w:fill="1B355E"/>
          </w:tcPr>
          <w:p>
            <w:pPr>
              <w:spacing w:after="20" w:before="20"/>
              <w:jc w:val="center"/>
            </w:pPr>
            <w:r>
              <w:rPr>
                <w:b/>
                <w:color w:val="FFFFFF"/>
                <w:sz w:val="17"/>
              </w:rPr>
              <w:t>Upper bound</w:t>
            </w:r>
          </w:p>
        </w:tc>
        <w:tc>
          <w:tcPr>
            <w:tcW w:type="dxa" w:w="1037"/>
            <w:shd w:val="clear" w:color="auto" w:fill="1B355E"/>
          </w:tcPr>
          <w:p>
            <w:pPr>
              <w:spacing w:after="20" w:before="20"/>
              <w:jc w:val="center"/>
            </w:pPr>
            <w:r>
              <w:rPr>
                <w:b/>
                <w:color w:val="FFFFFF"/>
                <w:sz w:val="17"/>
              </w:rPr>
              <w:t>Capped</w:t>
            </w:r>
          </w:p>
        </w:tc>
      </w:tr>
      <w:tr>
        <w:tc>
          <w:tcPr>
            <w:tcW w:type="dxa" w:w="1843"/>
          </w:tcPr>
          <w:p>
            <w:pPr>
              <w:spacing w:after="20" w:before="20" w:line="254" w:lineRule="auto"/>
              <w:jc w:val="left"/>
            </w:pPr>
            <w:r>
              <w:rPr>
                <w:rFonts w:ascii="Consolas" w:hAnsi="Consolas" w:eastAsia="Consolas"/>
                <w:color w:val="8A2C1F"/>
                <w:sz w:val="15"/>
              </w:rPr>
              <w:t>tenure</w:t>
            </w:r>
          </w:p>
        </w:tc>
        <w:tc>
          <w:tcPr>
            <w:tcW w:type="dxa" w:w="1037"/>
          </w:tcPr>
          <w:p>
            <w:pPr>
              <w:spacing w:after="20" w:before="20" w:line="254" w:lineRule="auto"/>
              <w:jc w:val="center"/>
            </w:pPr>
            <w:r>
              <w:rPr>
                <w:sz w:val="16"/>
              </w:rPr>
              <w:t>9.00</w:t>
            </w:r>
          </w:p>
        </w:tc>
        <w:tc>
          <w:tcPr>
            <w:tcW w:type="dxa" w:w="1296"/>
          </w:tcPr>
          <w:p>
            <w:pPr>
              <w:spacing w:after="20" w:before="20" w:line="254" w:lineRule="auto"/>
              <w:jc w:val="center"/>
            </w:pPr>
            <w:r>
              <w:rPr>
                <w:sz w:val="16"/>
              </w:rPr>
              <w:t>55.00</w:t>
            </w:r>
          </w:p>
        </w:tc>
        <w:tc>
          <w:tcPr>
            <w:tcW w:type="dxa" w:w="1296"/>
          </w:tcPr>
          <w:p>
            <w:pPr>
              <w:spacing w:after="20" w:before="20" w:line="254" w:lineRule="auto"/>
              <w:jc w:val="center"/>
            </w:pPr>
            <w:r>
              <w:rPr>
                <w:sz w:val="16"/>
              </w:rPr>
              <w:t>46.00</w:t>
            </w:r>
          </w:p>
        </w:tc>
        <w:tc>
          <w:tcPr>
            <w:tcW w:type="dxa" w:w="1440"/>
          </w:tcPr>
          <w:p>
            <w:pPr>
              <w:spacing w:after="20" w:before="20" w:line="254" w:lineRule="auto"/>
              <w:jc w:val="center"/>
            </w:pPr>
            <w:r>
              <w:rPr>
                <w:sz w:val="16"/>
              </w:rPr>
              <w:t>−60.00</w:t>
            </w:r>
          </w:p>
        </w:tc>
        <w:tc>
          <w:tcPr>
            <w:tcW w:type="dxa" w:w="1368"/>
          </w:tcPr>
          <w:p>
            <w:pPr>
              <w:spacing w:after="20" w:before="20" w:line="254" w:lineRule="auto"/>
              <w:jc w:val="center"/>
            </w:pPr>
            <w:r>
              <w:rPr>
                <w:sz w:val="16"/>
              </w:rPr>
              <w:t>124.00</w:t>
            </w:r>
          </w:p>
        </w:tc>
        <w:tc>
          <w:tcPr>
            <w:tcW w:type="dxa" w:w="1037"/>
          </w:tcPr>
          <w:p>
            <w:pPr>
              <w:spacing w:after="20" w:before="20" w:line="254" w:lineRule="auto"/>
              <w:jc w:val="center"/>
            </w:pPr>
            <w:r>
              <w:rPr>
                <w:b/>
                <w:sz w:val="16"/>
              </w:rPr>
              <w:t>0</w:t>
            </w:r>
          </w:p>
        </w:tc>
      </w:tr>
      <w:tr>
        <w:tc>
          <w:tcPr>
            <w:tcW w:type="dxa" w:w="1843"/>
            <w:shd w:val="clear" w:color="auto" w:fill="F2F5F9"/>
          </w:tcPr>
          <w:p>
            <w:pPr>
              <w:spacing w:after="20" w:before="20" w:line="254" w:lineRule="auto"/>
              <w:jc w:val="left"/>
            </w:pPr>
            <w:r>
              <w:rPr>
                <w:rFonts w:ascii="Consolas" w:hAnsi="Consolas" w:eastAsia="Consolas"/>
                <w:color w:val="8A2C1F"/>
                <w:sz w:val="15"/>
              </w:rPr>
              <w:t>MonthlyCharges</w:t>
            </w:r>
          </w:p>
        </w:tc>
        <w:tc>
          <w:tcPr>
            <w:tcW w:type="dxa" w:w="1037"/>
            <w:shd w:val="clear" w:color="auto" w:fill="F2F5F9"/>
          </w:tcPr>
          <w:p>
            <w:pPr>
              <w:spacing w:after="20" w:before="20" w:line="254" w:lineRule="auto"/>
              <w:jc w:val="center"/>
            </w:pPr>
            <w:r>
              <w:rPr>
                <w:sz w:val="16"/>
              </w:rPr>
              <w:t>35.50</w:t>
            </w:r>
          </w:p>
        </w:tc>
        <w:tc>
          <w:tcPr>
            <w:tcW w:type="dxa" w:w="1296"/>
            <w:shd w:val="clear" w:color="auto" w:fill="F2F5F9"/>
          </w:tcPr>
          <w:p>
            <w:pPr>
              <w:spacing w:after="20" w:before="20" w:line="254" w:lineRule="auto"/>
              <w:jc w:val="center"/>
            </w:pPr>
            <w:r>
              <w:rPr>
                <w:sz w:val="16"/>
              </w:rPr>
              <w:t>89.85</w:t>
            </w:r>
          </w:p>
        </w:tc>
        <w:tc>
          <w:tcPr>
            <w:tcW w:type="dxa" w:w="1296"/>
            <w:shd w:val="clear" w:color="auto" w:fill="F2F5F9"/>
          </w:tcPr>
          <w:p>
            <w:pPr>
              <w:spacing w:after="20" w:before="20" w:line="254" w:lineRule="auto"/>
              <w:jc w:val="center"/>
            </w:pPr>
            <w:r>
              <w:rPr>
                <w:sz w:val="16"/>
              </w:rPr>
              <w:t>54.35</w:t>
            </w:r>
          </w:p>
        </w:tc>
        <w:tc>
          <w:tcPr>
            <w:tcW w:type="dxa" w:w="1440"/>
            <w:shd w:val="clear" w:color="auto" w:fill="F2F5F9"/>
          </w:tcPr>
          <w:p>
            <w:pPr>
              <w:spacing w:after="20" w:before="20" w:line="254" w:lineRule="auto"/>
              <w:jc w:val="center"/>
            </w:pPr>
            <w:r>
              <w:rPr>
                <w:sz w:val="16"/>
              </w:rPr>
              <w:t>−46.02</w:t>
            </w:r>
          </w:p>
        </w:tc>
        <w:tc>
          <w:tcPr>
            <w:tcW w:type="dxa" w:w="1368"/>
            <w:shd w:val="clear" w:color="auto" w:fill="F2F5F9"/>
          </w:tcPr>
          <w:p>
            <w:pPr>
              <w:spacing w:after="20" w:before="20" w:line="254" w:lineRule="auto"/>
              <w:jc w:val="center"/>
            </w:pPr>
            <w:r>
              <w:rPr>
                <w:sz w:val="16"/>
              </w:rPr>
              <w:t>171.38</w:t>
            </w:r>
          </w:p>
        </w:tc>
        <w:tc>
          <w:tcPr>
            <w:tcW w:type="dxa" w:w="1037"/>
            <w:shd w:val="clear" w:color="auto" w:fill="F2F5F9"/>
          </w:tcPr>
          <w:p>
            <w:pPr>
              <w:spacing w:after="20" w:before="20" w:line="254" w:lineRule="auto"/>
              <w:jc w:val="center"/>
            </w:pPr>
            <w:r>
              <w:rPr>
                <w:b/>
                <w:sz w:val="16"/>
              </w:rPr>
              <w:t>0</w:t>
            </w:r>
          </w:p>
        </w:tc>
      </w:tr>
      <w:tr>
        <w:tc>
          <w:tcPr>
            <w:tcW w:type="dxa" w:w="1843"/>
          </w:tcPr>
          <w:p>
            <w:pPr>
              <w:spacing w:after="20" w:before="20" w:line="254" w:lineRule="auto"/>
              <w:jc w:val="left"/>
            </w:pPr>
            <w:r>
              <w:rPr>
                <w:rFonts w:ascii="Consolas" w:hAnsi="Consolas" w:eastAsia="Consolas"/>
                <w:color w:val="8A2C1F"/>
                <w:sz w:val="15"/>
              </w:rPr>
              <w:t>TotalCharges</w:t>
            </w:r>
          </w:p>
        </w:tc>
        <w:tc>
          <w:tcPr>
            <w:tcW w:type="dxa" w:w="1037"/>
          </w:tcPr>
          <w:p>
            <w:pPr>
              <w:spacing w:after="20" w:before="20" w:line="254" w:lineRule="auto"/>
              <w:jc w:val="center"/>
            </w:pPr>
            <w:r>
              <w:rPr>
                <w:sz w:val="16"/>
              </w:rPr>
              <w:t>398.55</w:t>
            </w:r>
          </w:p>
        </w:tc>
        <w:tc>
          <w:tcPr>
            <w:tcW w:type="dxa" w:w="1296"/>
          </w:tcPr>
          <w:p>
            <w:pPr>
              <w:spacing w:after="20" w:before="20" w:line="254" w:lineRule="auto"/>
              <w:jc w:val="center"/>
            </w:pPr>
            <w:r>
              <w:rPr>
                <w:sz w:val="16"/>
              </w:rPr>
              <w:t>3 786.60</w:t>
            </w:r>
          </w:p>
        </w:tc>
        <w:tc>
          <w:tcPr>
            <w:tcW w:type="dxa" w:w="1296"/>
          </w:tcPr>
          <w:p>
            <w:pPr>
              <w:spacing w:after="20" w:before="20" w:line="254" w:lineRule="auto"/>
              <w:jc w:val="center"/>
            </w:pPr>
            <w:r>
              <w:rPr>
                <w:sz w:val="16"/>
              </w:rPr>
              <w:t>3 388.05</w:t>
            </w:r>
          </w:p>
        </w:tc>
        <w:tc>
          <w:tcPr>
            <w:tcW w:type="dxa" w:w="1440"/>
          </w:tcPr>
          <w:p>
            <w:pPr>
              <w:spacing w:after="20" w:before="20" w:line="254" w:lineRule="auto"/>
              <w:jc w:val="center"/>
            </w:pPr>
            <w:r>
              <w:rPr>
                <w:sz w:val="16"/>
              </w:rPr>
              <w:t>−4 683.52</w:t>
            </w:r>
          </w:p>
        </w:tc>
        <w:tc>
          <w:tcPr>
            <w:tcW w:type="dxa" w:w="1368"/>
          </w:tcPr>
          <w:p>
            <w:pPr>
              <w:spacing w:after="20" w:before="20" w:line="254" w:lineRule="auto"/>
              <w:jc w:val="center"/>
            </w:pPr>
            <w:r>
              <w:rPr>
                <w:sz w:val="16"/>
              </w:rPr>
              <w:t>8 868.67</w:t>
            </w:r>
          </w:p>
        </w:tc>
        <w:tc>
          <w:tcPr>
            <w:tcW w:type="dxa" w:w="1037"/>
          </w:tcPr>
          <w:p>
            <w:pPr>
              <w:spacing w:after="20" w:before="20" w:line="254" w:lineRule="auto"/>
              <w:jc w:val="center"/>
            </w:pPr>
            <w:r>
              <w:rPr>
                <w:b/>
                <w:sz w:val="16"/>
              </w:rPr>
              <w:t>0</w:t>
            </w:r>
          </w:p>
        </w:tc>
      </w:tr>
    </w:tbl>
    <w:p>
      <w:pPr>
        <w:spacing w:before="80" w:after="200"/>
        <w:jc w:val="center"/>
      </w:pPr>
      <w:r>
        <w:rPr>
          <w:i/>
          <w:color w:val="555F6B"/>
          <w:sz w:val="17"/>
        </w:rPr>
        <w:t>Table 11: Interquartile bounds computed by phase 2. No value in any column fell outside its bounds, so no capping occurred.</w:t>
      </w:r>
    </w:p>
    <w:p>
      <w:pPr>
        <w:keepNext/>
        <w:spacing w:before="200" w:after="60"/>
      </w:pPr>
      <w:r>
        <w:rPr>
          <w:rFonts w:ascii="Calibri" w:hAnsi="Calibri"/>
          <w:b/>
          <w:color w:val="0B5C7A"/>
          <w:sz w:val="22"/>
        </w:rPr>
        <w:t>Categorical label standardisation</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internet_dependent_columns = [</w:t>
            </w:r>
          </w:p>
          <w:p>
            <w:pPr>
              <w:spacing w:after="0" w:before="0" w:line="240" w:lineRule="auto"/>
            </w:pPr>
            <w:r>
              <w:rPr>
                <w:rFonts w:ascii="Consolas" w:hAnsi="Consolas" w:eastAsia="Consolas"/>
                <w:color w:val="1A232E"/>
                <w:sz w:val="16"/>
              </w:rPr>
              <w:t xml:space="preserve">    "OnlineSecurity", "OnlineBackup", "DeviceProtection",</w:t>
            </w:r>
          </w:p>
          <w:p>
            <w:pPr>
              <w:spacing w:after="0" w:before="0" w:line="240" w:lineRule="auto"/>
            </w:pPr>
            <w:r>
              <w:rPr>
                <w:rFonts w:ascii="Consolas" w:hAnsi="Consolas" w:eastAsia="Consolas"/>
                <w:color w:val="1A232E"/>
                <w:sz w:val="16"/>
              </w:rPr>
              <w:t xml:space="preserve">    "TechSupport", "StreamingTV", "StreamingMovies"</w:t>
            </w:r>
          </w:p>
          <w:p>
            <w:pPr>
              <w:spacing w:after="0" w:before="0" w:line="240" w:lineRule="auto"/>
            </w:pPr>
            <w:r>
              <w:rPr>
                <w:rFonts w:ascii="Consolas" w:hAnsi="Consolas" w:eastAsia="Consolas"/>
                <w:color w:val="1A232E"/>
                <w:sz w:val="16"/>
              </w:rPr>
              <w: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for column in internet_dependent_columns:</w:t>
            </w:r>
          </w:p>
          <w:p>
            <w:pPr>
              <w:spacing w:after="0" w:before="0" w:line="240" w:lineRule="auto"/>
            </w:pPr>
            <w:r>
              <w:rPr>
                <w:rFonts w:ascii="Consolas" w:hAnsi="Consolas" w:eastAsia="Consolas"/>
                <w:color w:val="1A232E"/>
                <w:sz w:val="16"/>
              </w:rPr>
              <w:t xml:space="preserve">    df[column] = df[column].replace("No internet service", "No")</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df["MultipleLines"] = df["MultipleLines"].replace("No phone service", "No")</w:t>
            </w:r>
          </w:p>
        </w:tc>
      </w:tr>
    </w:tbl>
    <w:p>
      <w:pPr>
        <w:spacing w:after="80"/>
      </w:pPr>
    </w:p>
    <w:p>
      <w:pPr>
        <w:spacing w:after="120" w:before="0"/>
        <w:jc w:val="both"/>
      </w:pPr>
      <w:r>
        <w:rPr>
          <w:b w:val="0"/>
          <w:i w:val="0"/>
          <w:sz w:val="21"/>
        </w:rPr>
        <w:t>Six add-on service columns and MultipleLines each carry three levels in the raw data: "Yes", "No", and a third label that restates information already held elsewhere. A customer whose OnlineSecurity reads "No internet service" simply does not subscribe to online security, and the fact that they have no internet is already recorded in the InternetService column. Collapsing the third level to "No" removes seven redundant dummy variables from the eventual model matrix without discarding any information, and it makes ServiceCount — built in phase 4 by counting "Yes" responses — both simpler and correct.</w:t>
      </w:r>
    </w:p>
    <w:p>
      <w:pPr>
        <w:keepNext/>
        <w:spacing w:before="240" w:after="80"/>
      </w:pPr>
      <w:r>
        <w:rPr>
          <w:rFonts w:ascii="Calibri" w:hAnsi="Calibri"/>
          <w:b/>
          <w:color w:val="1B355E"/>
          <w:sz w:val="25"/>
        </w:rPr>
        <w:t>7.3  Results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563"/>
        <w:gridCol w:w="2232"/>
        <w:gridCol w:w="1728"/>
        <w:gridCol w:w="2793"/>
      </w:tblGrid>
      <w:tr>
        <w:tc>
          <w:tcPr>
            <w:tcW w:type="dxa" w:w="2563"/>
            <w:shd w:val="clear" w:color="auto" w:fill="1B355E"/>
          </w:tcPr>
          <w:p>
            <w:pPr>
              <w:spacing w:after="20" w:before="20"/>
              <w:jc w:val="center"/>
            </w:pPr>
            <w:r>
              <w:rPr>
                <w:b/>
                <w:color w:val="FFFFFF"/>
                <w:sz w:val="17"/>
              </w:rPr>
              <w:t>Cleaning operation</w:t>
            </w:r>
          </w:p>
        </w:tc>
        <w:tc>
          <w:tcPr>
            <w:tcW w:type="dxa" w:w="2232"/>
            <w:shd w:val="clear" w:color="auto" w:fill="1B355E"/>
          </w:tcPr>
          <w:p>
            <w:pPr>
              <w:spacing w:after="20" w:before="20"/>
              <w:jc w:val="center"/>
            </w:pPr>
            <w:r>
              <w:rPr>
                <w:b/>
                <w:color w:val="FFFFFF"/>
                <w:sz w:val="17"/>
              </w:rPr>
              <w:t>Applied to</w:t>
            </w:r>
          </w:p>
        </w:tc>
        <w:tc>
          <w:tcPr>
            <w:tcW w:type="dxa" w:w="1728"/>
            <w:shd w:val="clear" w:color="auto" w:fill="1B355E"/>
          </w:tcPr>
          <w:p>
            <w:pPr>
              <w:spacing w:after="20" w:before="20"/>
              <w:jc w:val="center"/>
            </w:pPr>
            <w:r>
              <w:rPr>
                <w:b/>
                <w:color w:val="FFFFFF"/>
                <w:sz w:val="17"/>
              </w:rPr>
              <w:t>Records affected</w:t>
            </w:r>
          </w:p>
        </w:tc>
        <w:tc>
          <w:tcPr>
            <w:tcW w:type="dxa" w:w="2794"/>
            <w:shd w:val="clear" w:color="auto" w:fill="1B355E"/>
          </w:tcPr>
          <w:p>
            <w:pPr>
              <w:spacing w:after="20" w:before="20"/>
              <w:jc w:val="center"/>
            </w:pPr>
            <w:r>
              <w:rPr>
                <w:b/>
                <w:color w:val="FFFFFF"/>
                <w:sz w:val="17"/>
              </w:rPr>
              <w:t>Outcome</w:t>
            </w:r>
          </w:p>
        </w:tc>
      </w:tr>
      <w:tr>
        <w:tc>
          <w:tcPr>
            <w:tcW w:type="dxa" w:w="2563"/>
          </w:tcPr>
          <w:p>
            <w:pPr>
              <w:spacing w:after="20" w:before="20" w:line="254" w:lineRule="auto"/>
              <w:jc w:val="left"/>
            </w:pPr>
            <w:r>
              <w:rPr>
                <w:sz w:val="16"/>
              </w:rPr>
              <w:t>Whitespace → null conversion</w:t>
            </w:r>
          </w:p>
        </w:tc>
        <w:tc>
          <w:tcPr>
            <w:tcW w:type="dxa" w:w="2232"/>
          </w:tcPr>
          <w:p>
            <w:pPr>
              <w:spacing w:after="20" w:before="20" w:line="254" w:lineRule="auto"/>
              <w:jc w:val="center"/>
            </w:pPr>
            <w:r>
              <w:rPr>
                <w:sz w:val="16"/>
              </w:rPr>
              <w:t>all 21 columns</w:t>
            </w:r>
          </w:p>
        </w:tc>
        <w:tc>
          <w:tcPr>
            <w:tcW w:type="dxa" w:w="1728"/>
          </w:tcPr>
          <w:p>
            <w:pPr>
              <w:spacing w:after="20" w:before="20" w:line="254" w:lineRule="auto"/>
              <w:jc w:val="center"/>
            </w:pPr>
            <w:r>
              <w:rPr>
                <w:sz w:val="16"/>
              </w:rPr>
              <w:t>11 cells</w:t>
            </w:r>
          </w:p>
        </w:tc>
        <w:tc>
          <w:tcPr>
            <w:tcW w:type="dxa" w:w="2794"/>
          </w:tcPr>
          <w:p>
            <w:pPr>
              <w:spacing w:after="20" w:before="20" w:line="254" w:lineRule="auto"/>
              <w:jc w:val="center"/>
            </w:pPr>
            <w:r>
              <w:rPr>
                <w:sz w:val="16"/>
              </w:rPr>
              <w:t>blanks made detectable</w:t>
            </w:r>
          </w:p>
        </w:tc>
      </w:tr>
      <w:tr>
        <w:tc>
          <w:tcPr>
            <w:tcW w:type="dxa" w:w="2563"/>
            <w:shd w:val="clear" w:color="auto" w:fill="F2F5F9"/>
          </w:tcPr>
          <w:p>
            <w:pPr>
              <w:spacing w:after="20" w:before="20" w:line="254" w:lineRule="auto"/>
              <w:jc w:val="left"/>
            </w:pPr>
            <w:r>
              <w:rPr>
                <w:sz w:val="16"/>
              </w:rPr>
              <w:t xml:space="preserve">Numeric cast of </w:t>
            </w:r>
            <w:r>
              <w:rPr>
                <w:rFonts w:ascii="Consolas" w:hAnsi="Consolas" w:eastAsia="Consolas"/>
                <w:color w:val="8A2C1F"/>
                <w:sz w:val="15"/>
              </w:rPr>
              <w:t>TotalCharges</w:t>
            </w:r>
          </w:p>
        </w:tc>
        <w:tc>
          <w:tcPr>
            <w:tcW w:type="dxa" w:w="2232"/>
            <w:shd w:val="clear" w:color="auto" w:fill="F2F5F9"/>
          </w:tcPr>
          <w:p>
            <w:pPr>
              <w:spacing w:after="20" w:before="20" w:line="254" w:lineRule="auto"/>
              <w:jc w:val="center"/>
            </w:pPr>
            <w:r>
              <w:rPr>
                <w:sz w:val="16"/>
              </w:rPr>
              <w:t>1 column</w:t>
            </w:r>
          </w:p>
        </w:tc>
        <w:tc>
          <w:tcPr>
            <w:tcW w:type="dxa" w:w="1728"/>
            <w:shd w:val="clear" w:color="auto" w:fill="F2F5F9"/>
          </w:tcPr>
          <w:p>
            <w:pPr>
              <w:spacing w:after="20" w:before="20" w:line="254" w:lineRule="auto"/>
              <w:jc w:val="center"/>
            </w:pPr>
            <w:r>
              <w:rPr>
                <w:sz w:val="16"/>
              </w:rPr>
              <w:t>7 043 rows</w:t>
            </w:r>
          </w:p>
        </w:tc>
        <w:tc>
          <w:tcPr>
            <w:tcW w:type="dxa" w:w="2794"/>
            <w:shd w:val="clear" w:color="auto" w:fill="F2F5F9"/>
          </w:tcPr>
          <w:p>
            <w:pPr>
              <w:spacing w:after="20" w:before="20" w:line="254" w:lineRule="auto"/>
              <w:jc w:val="center"/>
            </w:pPr>
            <w:r>
              <w:rPr>
                <w:rFonts w:ascii="Consolas" w:hAnsi="Consolas" w:eastAsia="Consolas"/>
                <w:color w:val="8A2C1F"/>
                <w:sz w:val="15"/>
              </w:rPr>
              <w:t>object</w:t>
            </w:r>
            <w:r>
              <w:rPr>
                <w:sz w:val="16"/>
              </w:rPr>
              <w:t xml:space="preserve"> → </w:t>
            </w:r>
            <w:r>
              <w:rPr>
                <w:rFonts w:ascii="Consolas" w:hAnsi="Consolas" w:eastAsia="Consolas"/>
                <w:color w:val="8A2C1F"/>
                <w:sz w:val="15"/>
              </w:rPr>
              <w:t>float64</w:t>
            </w:r>
          </w:p>
        </w:tc>
      </w:tr>
      <w:tr>
        <w:tc>
          <w:tcPr>
            <w:tcW w:type="dxa" w:w="2563"/>
          </w:tcPr>
          <w:p>
            <w:pPr>
              <w:spacing w:after="20" w:before="20" w:line="254" w:lineRule="auto"/>
              <w:jc w:val="left"/>
            </w:pPr>
            <w:r>
              <w:rPr>
                <w:sz w:val="16"/>
              </w:rPr>
              <w:t>Zero-tenure imputation</w:t>
            </w:r>
          </w:p>
        </w:tc>
        <w:tc>
          <w:tcPr>
            <w:tcW w:type="dxa" w:w="2232"/>
          </w:tcPr>
          <w:p>
            <w:pPr>
              <w:spacing w:after="20" w:before="20" w:line="254" w:lineRule="auto"/>
              <w:jc w:val="center"/>
            </w:pPr>
            <w:r>
              <w:rPr>
                <w:rFonts w:ascii="Consolas" w:hAnsi="Consolas" w:eastAsia="Consolas"/>
                <w:color w:val="8A2C1F"/>
                <w:sz w:val="15"/>
              </w:rPr>
              <w:t>TotalCharges</w:t>
            </w:r>
          </w:p>
        </w:tc>
        <w:tc>
          <w:tcPr>
            <w:tcW w:type="dxa" w:w="1728"/>
          </w:tcPr>
          <w:p>
            <w:pPr>
              <w:spacing w:after="20" w:before="20" w:line="254" w:lineRule="auto"/>
              <w:jc w:val="center"/>
            </w:pPr>
            <w:r>
              <w:rPr>
                <w:sz w:val="16"/>
              </w:rPr>
              <w:t>11 rows</w:t>
            </w:r>
          </w:p>
        </w:tc>
        <w:tc>
          <w:tcPr>
            <w:tcW w:type="dxa" w:w="2794"/>
          </w:tcPr>
          <w:p>
            <w:pPr>
              <w:spacing w:after="20" w:before="20" w:line="254" w:lineRule="auto"/>
              <w:jc w:val="center"/>
            </w:pPr>
            <w:r>
              <w:rPr>
                <w:sz w:val="16"/>
              </w:rPr>
              <w:t>set to 0.0</w:t>
            </w:r>
          </w:p>
        </w:tc>
      </w:tr>
      <w:tr>
        <w:tc>
          <w:tcPr>
            <w:tcW w:type="dxa" w:w="2563"/>
            <w:shd w:val="clear" w:color="auto" w:fill="F2F5F9"/>
          </w:tcPr>
          <w:p>
            <w:pPr>
              <w:spacing w:after="20" w:before="20" w:line="254" w:lineRule="auto"/>
              <w:jc w:val="left"/>
            </w:pPr>
            <w:r>
              <w:rPr>
                <w:sz w:val="16"/>
              </w:rPr>
              <w:t>Median fallback fill</w:t>
            </w:r>
          </w:p>
        </w:tc>
        <w:tc>
          <w:tcPr>
            <w:tcW w:type="dxa" w:w="2232"/>
            <w:shd w:val="clear" w:color="auto" w:fill="F2F5F9"/>
          </w:tcPr>
          <w:p>
            <w:pPr>
              <w:spacing w:after="20" w:before="20" w:line="254" w:lineRule="auto"/>
              <w:jc w:val="center"/>
            </w:pPr>
            <w:r>
              <w:rPr>
                <w:rFonts w:ascii="Consolas" w:hAnsi="Consolas" w:eastAsia="Consolas"/>
                <w:color w:val="8A2C1F"/>
                <w:sz w:val="15"/>
              </w:rPr>
              <w:t>TotalCharges</w:t>
            </w:r>
          </w:p>
        </w:tc>
        <w:tc>
          <w:tcPr>
            <w:tcW w:type="dxa" w:w="1728"/>
            <w:shd w:val="clear" w:color="auto" w:fill="F2F5F9"/>
          </w:tcPr>
          <w:p>
            <w:pPr>
              <w:spacing w:after="20" w:before="20" w:line="254" w:lineRule="auto"/>
              <w:jc w:val="center"/>
            </w:pPr>
            <w:r>
              <w:rPr>
                <w:sz w:val="16"/>
              </w:rPr>
              <w:t>0 rows</w:t>
            </w:r>
          </w:p>
        </w:tc>
        <w:tc>
          <w:tcPr>
            <w:tcW w:type="dxa" w:w="2794"/>
            <w:shd w:val="clear" w:color="auto" w:fill="F2F5F9"/>
          </w:tcPr>
          <w:p>
            <w:pPr>
              <w:spacing w:after="20" w:before="20" w:line="254" w:lineRule="auto"/>
              <w:jc w:val="center"/>
            </w:pPr>
            <w:r>
              <w:rPr>
                <w:sz w:val="16"/>
              </w:rPr>
              <w:t>branch not reached</w:t>
            </w:r>
          </w:p>
        </w:tc>
      </w:tr>
      <w:tr>
        <w:tc>
          <w:tcPr>
            <w:tcW w:type="dxa" w:w="2563"/>
          </w:tcPr>
          <w:p>
            <w:pPr>
              <w:spacing w:after="20" w:before="20" w:line="254" w:lineRule="auto"/>
              <w:jc w:val="left"/>
            </w:pPr>
            <w:r>
              <w:rPr>
                <w:sz w:val="16"/>
              </w:rPr>
              <w:t>Duplicate removal</w:t>
            </w:r>
          </w:p>
        </w:tc>
        <w:tc>
          <w:tcPr>
            <w:tcW w:type="dxa" w:w="2232"/>
          </w:tcPr>
          <w:p>
            <w:pPr>
              <w:spacing w:after="20" w:before="20" w:line="254" w:lineRule="auto"/>
              <w:jc w:val="left"/>
            </w:pPr>
            <w:r>
              <w:rPr>
                <w:sz w:val="16"/>
              </w:rPr>
              <w:t xml:space="preserve">full records and </w:t>
            </w:r>
            <w:r>
              <w:rPr>
                <w:rFonts w:ascii="Consolas" w:hAnsi="Consolas" w:eastAsia="Consolas"/>
                <w:color w:val="8A2C1F"/>
                <w:sz w:val="15"/>
              </w:rPr>
              <w:t>customerID</w:t>
            </w:r>
          </w:p>
        </w:tc>
        <w:tc>
          <w:tcPr>
            <w:tcW w:type="dxa" w:w="1728"/>
          </w:tcPr>
          <w:p>
            <w:pPr>
              <w:spacing w:after="20" w:before="20" w:line="254" w:lineRule="auto"/>
              <w:jc w:val="center"/>
            </w:pPr>
            <w:r>
              <w:rPr>
                <w:sz w:val="16"/>
              </w:rPr>
              <w:t>0 rows</w:t>
            </w:r>
          </w:p>
        </w:tc>
        <w:tc>
          <w:tcPr>
            <w:tcW w:type="dxa" w:w="2794"/>
          </w:tcPr>
          <w:p>
            <w:pPr>
              <w:spacing w:after="20" w:before="20" w:line="254" w:lineRule="auto"/>
              <w:jc w:val="center"/>
            </w:pPr>
            <w:r>
              <w:rPr>
                <w:sz w:val="16"/>
              </w:rPr>
              <w:t>dataset already unique</w:t>
            </w:r>
          </w:p>
        </w:tc>
      </w:tr>
      <w:tr>
        <w:tc>
          <w:tcPr>
            <w:tcW w:type="dxa" w:w="2563"/>
            <w:shd w:val="clear" w:color="auto" w:fill="F2F5F9"/>
          </w:tcPr>
          <w:p>
            <w:pPr>
              <w:spacing w:after="20" w:before="20" w:line="254" w:lineRule="auto"/>
              <w:jc w:val="left"/>
            </w:pPr>
            <w:r>
              <w:rPr>
                <w:sz w:val="16"/>
              </w:rPr>
              <w:t>Range validation</w:t>
            </w:r>
          </w:p>
        </w:tc>
        <w:tc>
          <w:tcPr>
            <w:tcW w:type="dxa" w:w="2232"/>
            <w:shd w:val="clear" w:color="auto" w:fill="F2F5F9"/>
          </w:tcPr>
          <w:p>
            <w:pPr>
              <w:spacing w:after="20" w:before="20" w:line="254" w:lineRule="auto"/>
              <w:jc w:val="center"/>
            </w:pPr>
            <w:r>
              <w:rPr>
                <w:sz w:val="16"/>
              </w:rPr>
              <w:t>3 numeric columns</w:t>
            </w:r>
          </w:p>
        </w:tc>
        <w:tc>
          <w:tcPr>
            <w:tcW w:type="dxa" w:w="1728"/>
            <w:shd w:val="clear" w:color="auto" w:fill="F2F5F9"/>
          </w:tcPr>
          <w:p>
            <w:pPr>
              <w:spacing w:after="20" w:before="20" w:line="254" w:lineRule="auto"/>
              <w:jc w:val="center"/>
            </w:pPr>
            <w:r>
              <w:rPr>
                <w:sz w:val="16"/>
              </w:rPr>
              <w:t>0 violations</w:t>
            </w:r>
          </w:p>
        </w:tc>
        <w:tc>
          <w:tcPr>
            <w:tcW w:type="dxa" w:w="2794"/>
            <w:shd w:val="clear" w:color="auto" w:fill="F2F5F9"/>
          </w:tcPr>
          <w:p>
            <w:pPr>
              <w:spacing w:after="20" w:before="20" w:line="254" w:lineRule="auto"/>
              <w:jc w:val="left"/>
            </w:pPr>
            <w:r>
              <w:rPr>
                <w:sz w:val="16"/>
              </w:rPr>
              <w:t>all values physically plausible</w:t>
            </w:r>
          </w:p>
        </w:tc>
      </w:tr>
      <w:tr>
        <w:tc>
          <w:tcPr>
            <w:tcW w:type="dxa" w:w="2563"/>
          </w:tcPr>
          <w:p>
            <w:pPr>
              <w:spacing w:after="20" w:before="20" w:line="254" w:lineRule="auto"/>
              <w:jc w:val="left"/>
            </w:pPr>
            <w:r>
              <w:rPr>
                <w:sz w:val="16"/>
              </w:rPr>
              <w:t>IQR capping</w:t>
            </w:r>
          </w:p>
        </w:tc>
        <w:tc>
          <w:tcPr>
            <w:tcW w:type="dxa" w:w="2232"/>
          </w:tcPr>
          <w:p>
            <w:pPr>
              <w:spacing w:after="20" w:before="20" w:line="254" w:lineRule="auto"/>
              <w:jc w:val="center"/>
            </w:pPr>
            <w:r>
              <w:rPr>
                <w:sz w:val="16"/>
              </w:rPr>
              <w:t>3 numeric columns</w:t>
            </w:r>
          </w:p>
        </w:tc>
        <w:tc>
          <w:tcPr>
            <w:tcW w:type="dxa" w:w="1728"/>
          </w:tcPr>
          <w:p>
            <w:pPr>
              <w:spacing w:after="20" w:before="20" w:line="254" w:lineRule="auto"/>
              <w:jc w:val="center"/>
            </w:pPr>
            <w:r>
              <w:rPr>
                <w:sz w:val="16"/>
              </w:rPr>
              <w:t>0 values</w:t>
            </w:r>
          </w:p>
        </w:tc>
        <w:tc>
          <w:tcPr>
            <w:tcW w:type="dxa" w:w="2794"/>
          </w:tcPr>
          <w:p>
            <w:pPr>
              <w:spacing w:after="20" w:before="20" w:line="254" w:lineRule="auto"/>
              <w:jc w:val="left"/>
            </w:pPr>
            <w:r>
              <w:rPr>
                <w:sz w:val="16"/>
              </w:rPr>
              <w:t>no extreme values present</w:t>
            </w:r>
          </w:p>
        </w:tc>
      </w:tr>
      <w:tr>
        <w:tc>
          <w:tcPr>
            <w:tcW w:type="dxa" w:w="2563"/>
            <w:shd w:val="clear" w:color="auto" w:fill="F2F5F9"/>
          </w:tcPr>
          <w:p>
            <w:pPr>
              <w:spacing w:after="20" w:before="20" w:line="254" w:lineRule="auto"/>
              <w:jc w:val="left"/>
            </w:pPr>
            <w:r>
              <w:rPr>
                <w:sz w:val="16"/>
              </w:rPr>
              <w:t>Label standardisation</w:t>
            </w:r>
          </w:p>
        </w:tc>
        <w:tc>
          <w:tcPr>
            <w:tcW w:type="dxa" w:w="2232"/>
            <w:shd w:val="clear" w:color="auto" w:fill="F2F5F9"/>
          </w:tcPr>
          <w:p>
            <w:pPr>
              <w:spacing w:after="20" w:before="20" w:line="254" w:lineRule="auto"/>
              <w:jc w:val="center"/>
            </w:pPr>
            <w:r>
              <w:rPr>
                <w:sz w:val="16"/>
              </w:rPr>
              <w:t>7 categorical columns</w:t>
            </w:r>
          </w:p>
        </w:tc>
        <w:tc>
          <w:tcPr>
            <w:tcW w:type="dxa" w:w="1728"/>
            <w:shd w:val="clear" w:color="auto" w:fill="F2F5F9"/>
          </w:tcPr>
          <w:p>
            <w:pPr>
              <w:spacing w:after="20" w:before="20" w:line="254" w:lineRule="auto"/>
              <w:jc w:val="center"/>
            </w:pPr>
            <w:r>
              <w:rPr>
                <w:sz w:val="16"/>
              </w:rPr>
              <w:t>all rows</w:t>
            </w:r>
          </w:p>
        </w:tc>
        <w:tc>
          <w:tcPr>
            <w:tcW w:type="dxa" w:w="2794"/>
            <w:shd w:val="clear" w:color="auto" w:fill="F2F5F9"/>
          </w:tcPr>
          <w:p>
            <w:pPr>
              <w:spacing w:after="20" w:before="20" w:line="254" w:lineRule="auto"/>
              <w:jc w:val="center"/>
            </w:pPr>
            <w:r>
              <w:rPr>
                <w:sz w:val="16"/>
              </w:rPr>
              <w:t>3 levels reduced to 2</w:t>
            </w:r>
          </w:p>
        </w:tc>
      </w:tr>
    </w:tbl>
    <w:p>
      <w:pPr>
        <w:spacing w:before="80" w:after="200"/>
        <w:jc w:val="center"/>
      </w:pPr>
      <w:r>
        <w:rPr>
          <w:i/>
          <w:color w:val="555F6B"/>
          <w:sz w:val="17"/>
        </w:rPr>
        <w:t>Table 12: Every cleaning operation performed by phase 2, with its measured effect.</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304"/>
        <w:gridCol w:w="1368"/>
        <w:gridCol w:w="1468"/>
        <w:gridCol w:w="1368"/>
        <w:gridCol w:w="1368"/>
        <w:gridCol w:w="1440"/>
      </w:tblGrid>
      <w:tr>
        <w:tc>
          <w:tcPr>
            <w:tcW w:type="dxa" w:w="2304"/>
            <w:shd w:val="clear" w:color="auto" w:fill="1B355E"/>
          </w:tcPr>
          <w:p>
            <w:pPr>
              <w:spacing w:after="20" w:before="20"/>
              <w:jc w:val="center"/>
            </w:pPr>
            <w:r>
              <w:rPr>
                <w:b/>
                <w:color w:val="FFFFFF"/>
                <w:sz w:val="17"/>
              </w:rPr>
              <w:t>Column</w:t>
            </w:r>
          </w:p>
        </w:tc>
        <w:tc>
          <w:tcPr>
            <w:tcW w:type="dxa" w:w="1368"/>
            <w:shd w:val="clear" w:color="auto" w:fill="1B355E"/>
          </w:tcPr>
          <w:p>
            <w:pPr>
              <w:spacing w:after="20" w:before="20"/>
              <w:jc w:val="center"/>
            </w:pPr>
            <w:r>
              <w:rPr>
                <w:b/>
                <w:color w:val="FFFFFF"/>
                <w:sz w:val="17"/>
              </w:rPr>
              <w:t>Minimum</w:t>
            </w:r>
          </w:p>
        </w:tc>
        <w:tc>
          <w:tcPr>
            <w:tcW w:type="dxa" w:w="1469"/>
            <w:shd w:val="clear" w:color="auto" w:fill="1B355E"/>
          </w:tcPr>
          <w:p>
            <w:pPr>
              <w:spacing w:after="20" w:before="20"/>
              <w:jc w:val="center"/>
            </w:pPr>
            <w:r>
              <w:rPr>
                <w:b/>
                <w:color w:val="FFFFFF"/>
                <w:sz w:val="17"/>
              </w:rPr>
              <w:t>Maximum</w:t>
            </w:r>
          </w:p>
        </w:tc>
        <w:tc>
          <w:tcPr>
            <w:tcW w:type="dxa" w:w="1368"/>
            <w:shd w:val="clear" w:color="auto" w:fill="1B355E"/>
          </w:tcPr>
          <w:p>
            <w:pPr>
              <w:spacing w:after="20" w:before="20"/>
              <w:jc w:val="center"/>
            </w:pPr>
            <w:r>
              <w:rPr>
                <w:b/>
                <w:color w:val="FFFFFF"/>
                <w:sz w:val="17"/>
              </w:rPr>
              <w:t>Mean</w:t>
            </w:r>
          </w:p>
        </w:tc>
        <w:tc>
          <w:tcPr>
            <w:tcW w:type="dxa" w:w="1368"/>
            <w:shd w:val="clear" w:color="auto" w:fill="1B355E"/>
          </w:tcPr>
          <w:p>
            <w:pPr>
              <w:spacing w:after="20" w:before="20"/>
              <w:jc w:val="center"/>
            </w:pPr>
            <w:r>
              <w:rPr>
                <w:b/>
                <w:color w:val="FFFFFF"/>
                <w:sz w:val="17"/>
              </w:rPr>
              <w:t>Median</w:t>
            </w:r>
          </w:p>
        </w:tc>
        <w:tc>
          <w:tcPr>
            <w:tcW w:type="dxa" w:w="1440"/>
            <w:shd w:val="clear" w:color="auto" w:fill="1B355E"/>
          </w:tcPr>
          <w:p>
            <w:pPr>
              <w:spacing w:after="20" w:before="20"/>
              <w:jc w:val="center"/>
            </w:pPr>
            <w:r>
              <w:rPr>
                <w:b/>
                <w:color w:val="FFFFFF"/>
                <w:sz w:val="17"/>
              </w:rPr>
              <w:t>Std. deviation</w:t>
            </w:r>
          </w:p>
        </w:tc>
      </w:tr>
      <w:tr>
        <w:tc>
          <w:tcPr>
            <w:tcW w:type="dxa" w:w="2304"/>
          </w:tcPr>
          <w:p>
            <w:pPr>
              <w:spacing w:after="20" w:before="20" w:line="254" w:lineRule="auto"/>
              <w:jc w:val="left"/>
            </w:pPr>
            <w:r>
              <w:rPr>
                <w:rFonts w:ascii="Consolas" w:hAnsi="Consolas" w:eastAsia="Consolas"/>
                <w:color w:val="8A2C1F"/>
                <w:sz w:val="16"/>
              </w:rPr>
              <w:t>tenure</w:t>
            </w:r>
            <w:r>
              <w:rPr>
                <w:sz w:val="17"/>
              </w:rPr>
              <w:t xml:space="preserve"> (months)</w:t>
            </w:r>
          </w:p>
        </w:tc>
        <w:tc>
          <w:tcPr>
            <w:tcW w:type="dxa" w:w="1368"/>
          </w:tcPr>
          <w:p>
            <w:pPr>
              <w:spacing w:after="20" w:before="20" w:line="254" w:lineRule="auto"/>
              <w:jc w:val="center"/>
            </w:pPr>
            <w:r>
              <w:rPr>
                <w:sz w:val="17"/>
              </w:rPr>
              <w:t>0.00</w:t>
            </w:r>
          </w:p>
        </w:tc>
        <w:tc>
          <w:tcPr>
            <w:tcW w:type="dxa" w:w="1469"/>
          </w:tcPr>
          <w:p>
            <w:pPr>
              <w:spacing w:after="20" w:before="20" w:line="254" w:lineRule="auto"/>
              <w:jc w:val="center"/>
            </w:pPr>
            <w:r>
              <w:rPr>
                <w:sz w:val="17"/>
              </w:rPr>
              <w:t>72.00</w:t>
            </w:r>
          </w:p>
        </w:tc>
        <w:tc>
          <w:tcPr>
            <w:tcW w:type="dxa" w:w="1368"/>
          </w:tcPr>
          <w:p>
            <w:pPr>
              <w:spacing w:after="20" w:before="20" w:line="254" w:lineRule="auto"/>
              <w:jc w:val="center"/>
            </w:pPr>
            <w:r>
              <w:rPr>
                <w:sz w:val="17"/>
              </w:rPr>
              <w:t>32.37</w:t>
            </w:r>
          </w:p>
        </w:tc>
        <w:tc>
          <w:tcPr>
            <w:tcW w:type="dxa" w:w="1368"/>
          </w:tcPr>
          <w:p>
            <w:pPr>
              <w:spacing w:after="20" w:before="20" w:line="254" w:lineRule="auto"/>
              <w:jc w:val="center"/>
            </w:pPr>
            <w:r>
              <w:rPr>
                <w:sz w:val="17"/>
              </w:rPr>
              <w:t>29.00</w:t>
            </w:r>
          </w:p>
        </w:tc>
        <w:tc>
          <w:tcPr>
            <w:tcW w:type="dxa" w:w="1440"/>
          </w:tcPr>
          <w:p>
            <w:pPr>
              <w:spacing w:after="20" w:before="20" w:line="254" w:lineRule="auto"/>
              <w:jc w:val="center"/>
            </w:pPr>
            <w:r>
              <w:rPr>
                <w:sz w:val="17"/>
              </w:rPr>
              <w:t>24.56</w:t>
            </w:r>
          </w:p>
        </w:tc>
      </w:tr>
      <w:tr>
        <w:tc>
          <w:tcPr>
            <w:tcW w:type="dxa" w:w="2304"/>
            <w:shd w:val="clear" w:color="auto" w:fill="F2F5F9"/>
          </w:tcPr>
          <w:p>
            <w:pPr>
              <w:spacing w:after="20" w:before="20" w:line="254" w:lineRule="auto"/>
              <w:jc w:val="left"/>
            </w:pPr>
            <w:r>
              <w:rPr>
                <w:rFonts w:ascii="Consolas" w:hAnsi="Consolas" w:eastAsia="Consolas"/>
                <w:color w:val="8A2C1F"/>
                <w:sz w:val="16"/>
              </w:rPr>
              <w:t>MonthlyCharges</w:t>
            </w:r>
          </w:p>
        </w:tc>
        <w:tc>
          <w:tcPr>
            <w:tcW w:type="dxa" w:w="1368"/>
            <w:shd w:val="clear" w:color="auto" w:fill="F2F5F9"/>
          </w:tcPr>
          <w:p>
            <w:pPr>
              <w:spacing w:after="20" w:before="20" w:line="254" w:lineRule="auto"/>
              <w:jc w:val="center"/>
            </w:pPr>
            <w:r>
              <w:rPr>
                <w:sz w:val="17"/>
              </w:rPr>
              <w:t>18.25</w:t>
            </w:r>
          </w:p>
        </w:tc>
        <w:tc>
          <w:tcPr>
            <w:tcW w:type="dxa" w:w="1469"/>
            <w:shd w:val="clear" w:color="auto" w:fill="F2F5F9"/>
          </w:tcPr>
          <w:p>
            <w:pPr>
              <w:spacing w:after="20" w:before="20" w:line="254" w:lineRule="auto"/>
              <w:jc w:val="center"/>
            </w:pPr>
            <w:r>
              <w:rPr>
                <w:sz w:val="17"/>
              </w:rPr>
              <w:t>118.75</w:t>
            </w:r>
          </w:p>
        </w:tc>
        <w:tc>
          <w:tcPr>
            <w:tcW w:type="dxa" w:w="1368"/>
            <w:shd w:val="clear" w:color="auto" w:fill="F2F5F9"/>
          </w:tcPr>
          <w:p>
            <w:pPr>
              <w:spacing w:after="20" w:before="20" w:line="254" w:lineRule="auto"/>
              <w:jc w:val="center"/>
            </w:pPr>
            <w:r>
              <w:rPr>
                <w:sz w:val="17"/>
              </w:rPr>
              <w:t>64.76</w:t>
            </w:r>
          </w:p>
        </w:tc>
        <w:tc>
          <w:tcPr>
            <w:tcW w:type="dxa" w:w="1368"/>
            <w:shd w:val="clear" w:color="auto" w:fill="F2F5F9"/>
          </w:tcPr>
          <w:p>
            <w:pPr>
              <w:spacing w:after="20" w:before="20" w:line="254" w:lineRule="auto"/>
              <w:jc w:val="center"/>
            </w:pPr>
            <w:r>
              <w:rPr>
                <w:sz w:val="17"/>
              </w:rPr>
              <w:t>70.35</w:t>
            </w:r>
          </w:p>
        </w:tc>
        <w:tc>
          <w:tcPr>
            <w:tcW w:type="dxa" w:w="1440"/>
            <w:shd w:val="clear" w:color="auto" w:fill="F2F5F9"/>
          </w:tcPr>
          <w:p>
            <w:pPr>
              <w:spacing w:after="20" w:before="20" w:line="254" w:lineRule="auto"/>
              <w:jc w:val="center"/>
            </w:pPr>
            <w:r>
              <w:rPr>
                <w:sz w:val="17"/>
              </w:rPr>
              <w:t>30.09</w:t>
            </w:r>
          </w:p>
        </w:tc>
      </w:tr>
      <w:tr>
        <w:tc>
          <w:tcPr>
            <w:tcW w:type="dxa" w:w="2304"/>
          </w:tcPr>
          <w:p>
            <w:pPr>
              <w:spacing w:after="20" w:before="20" w:line="254" w:lineRule="auto"/>
              <w:jc w:val="left"/>
            </w:pPr>
            <w:r>
              <w:rPr>
                <w:rFonts w:ascii="Consolas" w:hAnsi="Consolas" w:eastAsia="Consolas"/>
                <w:color w:val="8A2C1F"/>
                <w:sz w:val="16"/>
              </w:rPr>
              <w:t>TotalCharges</w:t>
            </w:r>
          </w:p>
        </w:tc>
        <w:tc>
          <w:tcPr>
            <w:tcW w:type="dxa" w:w="1368"/>
          </w:tcPr>
          <w:p>
            <w:pPr>
              <w:spacing w:after="20" w:before="20" w:line="254" w:lineRule="auto"/>
              <w:jc w:val="center"/>
            </w:pPr>
            <w:r>
              <w:rPr>
                <w:sz w:val="17"/>
              </w:rPr>
              <w:t>0.00</w:t>
            </w:r>
          </w:p>
        </w:tc>
        <w:tc>
          <w:tcPr>
            <w:tcW w:type="dxa" w:w="1469"/>
          </w:tcPr>
          <w:p>
            <w:pPr>
              <w:spacing w:after="20" w:before="20" w:line="254" w:lineRule="auto"/>
              <w:jc w:val="center"/>
            </w:pPr>
            <w:r>
              <w:rPr>
                <w:sz w:val="17"/>
              </w:rPr>
              <w:t>8 684.80</w:t>
            </w:r>
          </w:p>
        </w:tc>
        <w:tc>
          <w:tcPr>
            <w:tcW w:type="dxa" w:w="1368"/>
          </w:tcPr>
          <w:p>
            <w:pPr>
              <w:spacing w:after="20" w:before="20" w:line="254" w:lineRule="auto"/>
              <w:jc w:val="center"/>
            </w:pPr>
            <w:r>
              <w:rPr>
                <w:sz w:val="17"/>
              </w:rPr>
              <w:t>2 279.73</w:t>
            </w:r>
          </w:p>
        </w:tc>
        <w:tc>
          <w:tcPr>
            <w:tcW w:type="dxa" w:w="1368"/>
          </w:tcPr>
          <w:p>
            <w:pPr>
              <w:spacing w:after="20" w:before="20" w:line="254" w:lineRule="auto"/>
              <w:jc w:val="center"/>
            </w:pPr>
            <w:r>
              <w:rPr>
                <w:sz w:val="17"/>
              </w:rPr>
              <w:t>1 394.55</w:t>
            </w:r>
          </w:p>
        </w:tc>
        <w:tc>
          <w:tcPr>
            <w:tcW w:type="dxa" w:w="1440"/>
          </w:tcPr>
          <w:p>
            <w:pPr>
              <w:spacing w:after="20" w:before="20" w:line="254" w:lineRule="auto"/>
              <w:jc w:val="center"/>
            </w:pPr>
            <w:r>
              <w:rPr>
                <w:sz w:val="17"/>
              </w:rPr>
              <w:t>2 266.79</w:t>
            </w:r>
          </w:p>
        </w:tc>
      </w:tr>
    </w:tbl>
    <w:p>
      <w:pPr>
        <w:spacing w:before="80" w:after="200"/>
        <w:jc w:val="center"/>
      </w:pPr>
      <w:r>
        <w:rPr>
          <w:i/>
          <w:color w:val="555F6B"/>
          <w:sz w:val="17"/>
        </w:rPr>
        <w:t>Table 13: Descriptive statistics of the numeric columns after cleaning.</w:t>
      </w:r>
    </w:p>
    <w:p>
      <w:pPr>
        <w:keepNext/>
        <w:spacing w:before="240" w:after="80"/>
      </w:pPr>
      <w:r>
        <w:rPr>
          <w:rFonts w:ascii="Calibri" w:hAnsi="Calibri"/>
          <w:b/>
          <w:color w:val="1B355E"/>
          <w:sz w:val="25"/>
        </w:rPr>
        <w:t>7.4  Interpretation</w:t>
      </w:r>
    </w:p>
    <w:p>
      <w:pPr>
        <w:spacing w:after="120" w:before="0"/>
        <w:jc w:val="both"/>
      </w:pPr>
      <w:r>
        <w:rPr>
          <w:b w:val="0"/>
          <w:i w:val="0"/>
          <w:sz w:val="21"/>
        </w:rPr>
        <w:t>The cleaned dataset retains all 7 043 records. That is the important outcome: the cleaning stage repaired the data without discarding any of it, so no selection bias is introduced and the class balance measured in phase 1 is preserved exactly. The zero counts on duplicates, range violations and outliers are not a sign that the checks are redundant — they are the evidence that lets the later phases proceed without qualification.</w:t>
      </w:r>
    </w:p>
    <w:p>
      <w:r>
        <w:br w:type="page"/>
      </w:r>
    </w:p>
    <w:p>
      <w:pPr>
        <w:spacing w:after="0"/>
      </w:pPr>
    </w:p>
    <w:p>
      <w:pPr>
        <w:keepNext/>
        <w:spacing w:before="80" w:after="40"/>
        <w:pBdr>
          <w:bottom w:val="single" w:sz="10" w:space="3" w:color="1B355E"/>
        </w:pBdr>
      </w:pPr>
      <w:r>
        <w:rPr>
          <w:rFonts w:ascii="Calibri" w:hAnsi="Calibri"/>
          <w:b/>
          <w:color w:val="1B355E"/>
          <w:sz w:val="30"/>
        </w:rPr>
        <w:t>8.  Phase 3 — Exploratory Data Analysis</w:t>
      </w:r>
    </w:p>
    <w:p>
      <w:pPr>
        <w:spacing w:after="40"/>
      </w:pPr>
    </w:p>
    <w:p>
      <w:pPr>
        <w:keepNext/>
        <w:spacing w:before="240" w:after="80"/>
      </w:pPr>
      <w:r>
        <w:rPr>
          <w:rFonts w:ascii="Calibri" w:hAnsi="Calibri"/>
          <w:b/>
          <w:color w:val="1B355E"/>
          <w:sz w:val="25"/>
        </w:rPr>
        <w:t>8.1  Purpose</w:t>
      </w:r>
    </w:p>
    <w:p>
      <w:pPr>
        <w:spacing w:after="120" w:before="0"/>
        <w:jc w:val="both"/>
      </w:pPr>
      <w:r>
        <w:rPr>
          <w:b w:val="0"/>
          <w:i w:val="0"/>
          <w:sz w:val="21"/>
        </w:rPr>
        <w:t>Phase 3 answers the question that determines whether the modelling effort is worthwhile at all: does churn concentrate in identifiable groups, or is it spread evenly across the customer base? It works through four levels of analysis — univariate distributions, bivariate churn-rate profiling, correlation structure and tenure-cohort behaviour — and writes nine charts.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232"/>
        <w:gridCol w:w="7084"/>
      </w:tblGrid>
      <w:tr>
        <w:tc>
          <w:tcPr>
            <w:tcW w:type="dxa" w:w="2232"/>
            <w:shd w:val="clear" w:color="auto" w:fill="1B355E"/>
          </w:tcPr>
          <w:p>
            <w:pPr>
              <w:spacing w:after="20" w:before="20"/>
              <w:jc w:val="center"/>
            </w:pPr>
            <w:r>
              <w:rPr>
                <w:b/>
                <w:color w:val="FFFFFF"/>
                <w:sz w:val="17"/>
              </w:rPr>
              <w:t>Property</w:t>
            </w:r>
          </w:p>
        </w:tc>
        <w:tc>
          <w:tcPr>
            <w:tcW w:type="dxa" w:w="7085"/>
            <w:shd w:val="clear" w:color="auto" w:fill="1B355E"/>
          </w:tcPr>
          <w:p>
            <w:pPr>
              <w:spacing w:after="20" w:before="20"/>
              <w:jc w:val="center"/>
            </w:pPr>
            <w:r>
              <w:rPr>
                <w:b/>
                <w:color w:val="FFFFFF"/>
                <w:sz w:val="17"/>
              </w:rPr>
              <w:t>Value</w:t>
            </w:r>
          </w:p>
        </w:tc>
      </w:tr>
      <w:tr>
        <w:tc>
          <w:tcPr>
            <w:tcW w:type="dxa" w:w="2232"/>
          </w:tcPr>
          <w:p>
            <w:pPr>
              <w:spacing w:after="20" w:before="20" w:line="254" w:lineRule="auto"/>
              <w:jc w:val="left"/>
            </w:pPr>
            <w:r>
              <w:rPr>
                <w:sz w:val="17"/>
              </w:rPr>
              <w:t>Input</w:t>
            </w:r>
          </w:p>
        </w:tc>
        <w:tc>
          <w:tcPr>
            <w:tcW w:type="dxa" w:w="7085"/>
          </w:tcPr>
          <w:p>
            <w:pPr>
              <w:spacing w:after="20" w:before="20" w:line="254" w:lineRule="auto"/>
              <w:jc w:val="left"/>
            </w:pPr>
            <w:r>
              <w:rPr>
                <w:rFonts w:ascii="Consolas" w:hAnsi="Consolas" w:eastAsia="Consolas"/>
                <w:color w:val="8A2C1F"/>
                <w:sz w:val="16"/>
              </w:rPr>
              <w:t>data/Customer-Churn-Cleaned.csv</w:t>
            </w:r>
          </w:p>
        </w:tc>
      </w:tr>
      <w:tr>
        <w:tc>
          <w:tcPr>
            <w:tcW w:type="dxa" w:w="2232"/>
            <w:shd w:val="clear" w:color="auto" w:fill="F2F5F9"/>
          </w:tcPr>
          <w:p>
            <w:pPr>
              <w:spacing w:after="20" w:before="20" w:line="254" w:lineRule="auto"/>
              <w:jc w:val="left"/>
            </w:pPr>
            <w:r>
              <w:rPr>
                <w:sz w:val="17"/>
              </w:rPr>
              <w:t>Output</w:t>
            </w:r>
          </w:p>
        </w:tc>
        <w:tc>
          <w:tcPr>
            <w:tcW w:type="dxa" w:w="7085"/>
            <w:shd w:val="clear" w:color="auto" w:fill="F2F5F9"/>
          </w:tcPr>
          <w:p>
            <w:pPr>
              <w:spacing w:after="20" w:before="20" w:line="254" w:lineRule="auto"/>
              <w:jc w:val="left"/>
            </w:pPr>
            <w:r>
              <w:rPr>
                <w:sz w:val="17"/>
              </w:rPr>
              <w:t xml:space="preserve">9 PNG charts in </w:t>
            </w:r>
            <w:r>
              <w:rPr>
                <w:rFonts w:ascii="Consolas" w:hAnsi="Consolas" w:eastAsia="Consolas"/>
                <w:color w:val="8A2C1F"/>
                <w:sz w:val="16"/>
              </w:rPr>
              <w:t>charts/</w:t>
            </w:r>
          </w:p>
        </w:tc>
      </w:tr>
      <w:tr>
        <w:tc>
          <w:tcPr>
            <w:tcW w:type="dxa" w:w="2232"/>
          </w:tcPr>
          <w:p>
            <w:pPr>
              <w:spacing w:after="20" w:before="20" w:line="254" w:lineRule="auto"/>
              <w:jc w:val="left"/>
            </w:pPr>
            <w:r>
              <w:rPr>
                <w:sz w:val="17"/>
              </w:rPr>
              <w:t>Lines of code</w:t>
            </w:r>
          </w:p>
        </w:tc>
        <w:tc>
          <w:tcPr>
            <w:tcW w:type="dxa" w:w="7085"/>
          </w:tcPr>
          <w:p>
            <w:pPr>
              <w:spacing w:after="20" w:before="20" w:line="254" w:lineRule="auto"/>
              <w:jc w:val="center"/>
            </w:pPr>
            <w:r>
              <w:rPr>
                <w:sz w:val="17"/>
              </w:rPr>
              <w:t>317</w:t>
            </w:r>
          </w:p>
        </w:tc>
      </w:tr>
      <w:tr>
        <w:tc>
          <w:tcPr>
            <w:tcW w:type="dxa" w:w="2232"/>
            <w:shd w:val="clear" w:color="auto" w:fill="F2F5F9"/>
          </w:tcPr>
          <w:p>
            <w:pPr>
              <w:spacing w:after="20" w:before="20" w:line="254" w:lineRule="auto"/>
              <w:jc w:val="left"/>
            </w:pPr>
            <w:r>
              <w:rPr>
                <w:sz w:val="17"/>
              </w:rPr>
              <w:t>Analyses performed</w:t>
            </w:r>
          </w:p>
        </w:tc>
        <w:tc>
          <w:tcPr>
            <w:tcW w:type="dxa" w:w="7085"/>
            <w:shd w:val="clear" w:color="auto" w:fill="F2F5F9"/>
          </w:tcPr>
          <w:p>
            <w:pPr>
              <w:spacing w:after="20" w:before="20" w:line="254" w:lineRule="auto"/>
              <w:jc w:val="left"/>
            </w:pPr>
            <w:r>
              <w:rPr>
                <w:sz w:val="17"/>
              </w:rPr>
              <w:t>univariate, bivariate, correlation, behavioural, cohort</w:t>
            </w:r>
          </w:p>
        </w:tc>
      </w:tr>
    </w:tbl>
    <w:p>
      <w:pPr>
        <w:spacing w:before="80" w:after="200"/>
        <w:jc w:val="center"/>
      </w:pPr>
      <w:r>
        <w:rPr>
          <w:i/>
          <w:color w:val="555F6B"/>
          <w:sz w:val="17"/>
        </w:rPr>
        <w:t>Table 14: Phase 3 interface summary.</w:t>
      </w:r>
    </w:p>
    <w:p>
      <w:pPr>
        <w:keepNext/>
        <w:spacing w:before="240" w:after="80"/>
      </w:pPr>
      <w:r>
        <w:rPr>
          <w:rFonts w:ascii="Calibri" w:hAnsi="Calibri"/>
          <w:b/>
          <w:color w:val="1B355E"/>
          <w:sz w:val="25"/>
        </w:rPr>
        <w:t>8.2  Code walk-through</w:t>
      </w:r>
    </w:p>
    <w:p>
      <w:pPr>
        <w:keepNext/>
        <w:spacing w:before="200" w:after="60"/>
      </w:pPr>
      <w:r>
        <w:rPr>
          <w:rFonts w:ascii="Calibri" w:hAnsi="Calibri"/>
          <w:b/>
          <w:color w:val="0B5C7A"/>
          <w:sz w:val="22"/>
        </w:rPr>
        <w:t>Analysis-ready derivations</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df["ChurnFlag"] = df["Churn"].map({"No": 0, "Yes": 1})</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tenure_bins = [-1, 6, 12, 24, 48, 72]</w:t>
            </w:r>
          </w:p>
          <w:p>
            <w:pPr>
              <w:spacing w:after="0" w:before="0" w:line="240" w:lineRule="auto"/>
            </w:pPr>
            <w:r>
              <w:rPr>
                <w:rFonts w:ascii="Consolas" w:hAnsi="Consolas" w:eastAsia="Consolas"/>
                <w:color w:val="1A232E"/>
                <w:sz w:val="16"/>
              </w:rPr>
              <w:t>tenure_labels = ["0-6 months", "7-12 months", "13-24 months",</w:t>
            </w:r>
          </w:p>
          <w:p>
            <w:pPr>
              <w:spacing w:after="0" w:before="0" w:line="240" w:lineRule="auto"/>
            </w:pPr>
            <w:r>
              <w:rPr>
                <w:rFonts w:ascii="Consolas" w:hAnsi="Consolas" w:eastAsia="Consolas"/>
                <w:color w:val="1A232E"/>
                <w:sz w:val="16"/>
              </w:rPr>
              <w:t xml:space="preserve">                 "25-48 months", "49-72 months"]</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df["TenureBand"] = pd.cut(df["tenure"], bins=tenure_bins, labels=tenure_labels)</w:t>
            </w:r>
          </w:p>
        </w:tc>
      </w:tr>
    </w:tbl>
    <w:p>
      <w:pPr>
        <w:spacing w:after="80"/>
      </w:pPr>
    </w:p>
    <w:p>
      <w:pPr>
        <w:spacing w:after="120"/>
        <w:jc w:val="both"/>
      </w:pPr>
      <w:r>
        <w:rPr>
          <w:sz w:val="21"/>
        </w:rPr>
        <w:t xml:space="preserve">Two derivations enable everything that follows. Mapping Churn to a 0/1 integer means a churn rate becomes an arithmetic mean, so any </w:t>
      </w:r>
      <w:r>
        <w:rPr>
          <w:rFonts w:ascii="Consolas" w:hAnsi="Consolas"/>
          <w:color w:val="8A2C1F"/>
          <w:sz w:val="19"/>
        </w:rPr>
        <w:t>groupby(...)["ChurnFlag"].mean()</w:t>
      </w:r>
      <w:r>
        <w:rPr>
          <w:sz w:val="21"/>
        </w:rPr>
        <w:t xml:space="preserve"> returns a rate directly. The tenure bands are deliberately unequal — six months, six months, twelve, twenty-four, twenty-four — because churn risk is concentrated in the earliest weeks of the relationship and decays thereafter. Equal-width bins would average that early spike away. Note also the lower edge of </w:t>
      </w:r>
      <w:r>
        <w:rPr>
          <w:rFonts w:ascii="Consolas" w:hAnsi="Consolas"/>
          <w:color w:val="8A2C1F"/>
          <w:sz w:val="19"/>
        </w:rPr>
        <w:t>-1</w:t>
      </w:r>
      <w:r>
        <w:rPr>
          <w:sz w:val="21"/>
        </w:rPr>
        <w:t xml:space="preserve"> rather than 0: </w:t>
      </w:r>
      <w:r>
        <w:rPr>
          <w:rFonts w:ascii="Consolas" w:hAnsi="Consolas"/>
          <w:color w:val="8A2C1F"/>
          <w:sz w:val="19"/>
        </w:rPr>
        <w:t>pd.cut</w:t>
      </w:r>
      <w:r>
        <w:rPr>
          <w:sz w:val="21"/>
        </w:rPr>
        <w:t xml:space="preserve"> excludes the left edge by default, so a bin starting at 0 would drop every zero-tenure customer.</w:t>
      </w:r>
    </w:p>
    <w:p>
      <w:pPr>
        <w:keepNext/>
        <w:spacing w:before="200" w:after="60"/>
      </w:pPr>
      <w:r>
        <w:rPr>
          <w:rFonts w:ascii="Calibri" w:hAnsi="Calibri"/>
          <w:b/>
          <w:color w:val="0B5C7A"/>
          <w:sz w:val="22"/>
        </w:rPr>
        <w:t>The reusable churn-rate routine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def create_churn_rate_chart(column, title, filename, order=None):</w:t>
            </w:r>
          </w:p>
          <w:p>
            <w:pPr>
              <w:spacing w:after="0" w:before="0" w:line="240" w:lineRule="auto"/>
            </w:pPr>
            <w:r>
              <w:rPr>
                <w:rFonts w:ascii="Consolas" w:hAnsi="Consolas" w:eastAsia="Consolas"/>
                <w:color w:val="1A232E"/>
                <w:sz w:val="16"/>
              </w:rPr>
              <w:t xml:space="preserve">    summary = (</w:t>
            </w:r>
          </w:p>
          <w:p>
            <w:pPr>
              <w:spacing w:after="0" w:before="0" w:line="240" w:lineRule="auto"/>
            </w:pPr>
            <w:r>
              <w:rPr>
                <w:rFonts w:ascii="Consolas" w:hAnsi="Consolas" w:eastAsia="Consolas"/>
                <w:color w:val="1A232E"/>
                <w:sz w:val="16"/>
              </w:rPr>
              <w:t xml:space="preserve">        df.groupby(column, observed=False)["ChurnFlag"]</w:t>
            </w:r>
          </w:p>
          <w:p>
            <w:pPr>
              <w:spacing w:after="0" w:before="0" w:line="240" w:lineRule="auto"/>
            </w:pPr>
            <w:r>
              <w:rPr>
                <w:rFonts w:ascii="Consolas" w:hAnsi="Consolas" w:eastAsia="Consolas"/>
                <w:color w:val="1A232E"/>
                <w:sz w:val="16"/>
              </w:rPr>
              <w:t xml:space="preserve">        .agg(["mean", "count"])</w:t>
            </w:r>
          </w:p>
          <w:p>
            <w:pPr>
              <w:spacing w:after="0" w:before="0" w:line="240" w:lineRule="auto"/>
            </w:pPr>
            <w:r>
              <w:rPr>
                <w:rFonts w:ascii="Consolas" w:hAnsi="Consolas" w:eastAsia="Consolas"/>
                <w:color w:val="1A232E"/>
                <w:sz w:val="16"/>
              </w:rPr>
              <w:t xml:space="preserve">        .reset_index()</w:t>
            </w:r>
          </w:p>
          <w:p>
            <w:pPr>
              <w:spacing w:after="0" w:before="0" w:line="240" w:lineRule="auto"/>
            </w:pPr>
            <w:r>
              <w:rPr>
                <w:rFonts w:ascii="Consolas" w:hAnsi="Consolas" w:eastAsia="Consolas"/>
                <w:color w:val="1A232E"/>
                <w:sz w:val="16"/>
              </w:rPr>
              <w:t xml:space="preserve">    )</w:t>
            </w:r>
          </w:p>
          <w:p>
            <w:pPr>
              <w:spacing w:after="0" w:before="0" w:line="240" w:lineRule="auto"/>
            </w:pPr>
            <w:r>
              <w:rPr>
                <w:rFonts w:ascii="Consolas" w:hAnsi="Consolas" w:eastAsia="Consolas"/>
                <w:color w:val="1A232E"/>
                <w:sz w:val="16"/>
              </w:rPr>
              <w:t xml:space="preserve">    summary["ChurnRate"] = (summary["mean"] * 100).round(2)</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ax = sns.barplot(data=summary, x=column, y="ChurnRate", order=order,</w:t>
            </w:r>
          </w:p>
          <w:p>
            <w:pPr>
              <w:spacing w:after="0" w:before="0" w:line="240" w:lineRule="auto"/>
            </w:pPr>
            <w:r>
              <w:rPr>
                <w:rFonts w:ascii="Consolas" w:hAnsi="Consolas" w:eastAsia="Consolas"/>
                <w:color w:val="1A232E"/>
                <w:sz w:val="16"/>
              </w:rPr>
              <w:t xml:space="preserve">                     color="teal")</w:t>
            </w:r>
          </w:p>
          <w:p>
            <w:pPr>
              <w:spacing w:after="0" w:before="0" w:line="240" w:lineRule="auto"/>
            </w:pPr>
            <w:r>
              <w:rPr>
                <w:rFonts w:ascii="Consolas" w:hAnsi="Consolas" w:eastAsia="Consolas"/>
                <w:color w:val="1A232E"/>
                <w:sz w:val="16"/>
              </w:rPr>
              <w:t xml:space="preserve">    for container in ax.containers:</w:t>
            </w:r>
          </w:p>
          <w:p>
            <w:pPr>
              <w:spacing w:after="0" w:before="0" w:line="240" w:lineRule="auto"/>
            </w:pPr>
            <w:r>
              <w:rPr>
                <w:rFonts w:ascii="Consolas" w:hAnsi="Consolas" w:eastAsia="Consolas"/>
                <w:color w:val="1A232E"/>
                <w:sz w:val="16"/>
              </w:rPr>
              <w:t xml:space="preserve">        ax.bar_label(container, fmt="%.1f%%", padding=3)</w:t>
            </w:r>
          </w:p>
        </w:tc>
      </w:tr>
    </w:tbl>
    <w:p>
      <w:pPr>
        <w:spacing w:after="80"/>
      </w:pPr>
    </w:p>
    <w:p>
      <w:pPr>
        <w:spacing w:after="120" w:before="0"/>
        <w:jc w:val="both"/>
      </w:pPr>
      <w:r>
        <w:rPr>
          <w:b w:val="0"/>
          <w:i w:val="0"/>
          <w:sz w:val="21"/>
        </w:rPr>
        <w:t>Five of the nine charts are produced by this one function, which is the cleanest piece of engineering in the codebase. It aggregates both the mean and the count in a single pass — the count matters, because a 60 % churn rate over twelve customers is noise while the same rate over two thousand is a finding — prints the numeric table to the console for the report, and annotates each bar with its exact value so the chart is readable without reference to an axis. The optional order argument imposes a logical sequence on categories such as contract length, which would otherwise be sorted alphabetically into a meaningless arrangement.</w:t>
      </w:r>
    </w:p>
    <w:p>
      <w:pPr>
        <w:keepNext/>
        <w:spacing w:before="240" w:after="80"/>
      </w:pPr>
      <w:r>
        <w:rPr>
          <w:rFonts w:ascii="Calibri" w:hAnsi="Calibri"/>
          <w:b/>
          <w:color w:val="1B355E"/>
          <w:sz w:val="25"/>
        </w:rPr>
        <w:t>8.3  Results: univariate distributions</w:t>
      </w:r>
    </w:p>
    <w:p>
      <w:pPr>
        <w:keepNext/>
        <w:spacing w:before="120" w:after="60"/>
        <w:jc w:val="center"/>
      </w:pPr>
      <w:r>
        <w:drawing>
          <wp:inline xmlns:a="http://schemas.openxmlformats.org/drawingml/2006/main" xmlns:pic="http://schemas.openxmlformats.org/drawingml/2006/picture">
            <wp:extent cx="5806440" cy="4127469"/>
            <wp:docPr id="3" name="Picture 3"/>
            <wp:cNvGraphicFramePr>
              <a:graphicFrameLocks noChangeAspect="1"/>
            </wp:cNvGraphicFramePr>
            <a:graphic>
              <a:graphicData uri="http://schemas.openxmlformats.org/drawingml/2006/picture">
                <pic:pic>
                  <pic:nvPicPr>
                    <pic:cNvPr id="0" name="phase3_univariate_analysis.png"/>
                    <pic:cNvPicPr/>
                  </pic:nvPicPr>
                  <pic:blipFill>
                    <a:blip r:embed="rId11"/>
                    <a:stretch>
                      <a:fillRect/>
                    </a:stretch>
                  </pic:blipFill>
                  <pic:spPr>
                    <a:xfrm>
                      <a:off x="0" y="0"/>
                      <a:ext cx="5806440" cy="4127469"/>
                    </a:xfrm>
                    <a:prstGeom prst="rect"/>
                  </pic:spPr>
                </pic:pic>
              </a:graphicData>
            </a:graphic>
          </wp:inline>
        </w:drawing>
      </w:r>
    </w:p>
    <w:p>
      <w:pPr>
        <w:spacing w:after="220"/>
        <w:jc w:val="center"/>
      </w:pPr>
      <w:r>
        <w:rPr>
          <w:i/>
          <w:color w:val="555F6B"/>
          <w:sz w:val="17"/>
        </w:rPr>
        <w:t>Figure 3: Univariate distributions. Clockwise from top left: churn class balance, tenure, contract type and monthly charges.</w:t>
      </w:r>
    </w:p>
    <w:p>
      <w:pPr>
        <w:spacing w:after="120" w:before="0"/>
        <w:jc w:val="both"/>
      </w:pPr>
      <w:r>
        <w:rPr>
          <w:b w:val="0"/>
          <w:i w:val="0"/>
          <w:sz w:val="21"/>
        </w:rPr>
        <w:t>Three shapes in this panel drive the rest of the analysis. Tenure is strongly bimodal, with a large mass of very new customers and a second peak at the 72-month ceiling — the base is split between recent joiners and long-term loyalists, with comparatively few in between. Monthly charges are bimodal as well, separating a low-cost phone-only population near 20 units from a higher-paying bundled population above 70. And month-to-month is by a wide margin the most common contract, which matters because Section 8.4 shows it is also by far the riskiest.</w:t>
      </w:r>
    </w:p>
    <w:p>
      <w:r>
        <w:br w:type="page"/>
      </w:r>
    </w:p>
    <w:p>
      <w:pPr>
        <w:keepNext/>
        <w:spacing w:before="240" w:after="80"/>
      </w:pPr>
      <w:r>
        <w:rPr>
          <w:rFonts w:ascii="Calibri" w:hAnsi="Calibri"/>
          <w:b/>
          <w:color w:val="1B355E"/>
          <w:sz w:val="25"/>
        </w:rPr>
        <w:t>8.4  Results: bivariate churn-rate profiling</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612"/>
        <w:gridCol w:w="2476"/>
        <w:gridCol w:w="1296"/>
        <w:gridCol w:w="1512"/>
        <w:gridCol w:w="2419"/>
      </w:tblGrid>
      <w:tr>
        <w:tc>
          <w:tcPr>
            <w:tcW w:type="dxa" w:w="1613"/>
            <w:shd w:val="clear" w:color="auto" w:fill="1B355E"/>
          </w:tcPr>
          <w:p>
            <w:pPr>
              <w:spacing w:after="20" w:before="20"/>
              <w:jc w:val="center"/>
            </w:pPr>
            <w:r>
              <w:rPr>
                <w:b/>
                <w:color w:val="FFFFFF"/>
                <w:sz w:val="17"/>
              </w:rPr>
              <w:t>Attribute</w:t>
            </w:r>
          </w:p>
        </w:tc>
        <w:tc>
          <w:tcPr>
            <w:tcW w:type="dxa" w:w="2477"/>
            <w:shd w:val="clear" w:color="auto" w:fill="1B355E"/>
          </w:tcPr>
          <w:p>
            <w:pPr>
              <w:spacing w:after="20" w:before="20"/>
              <w:jc w:val="center"/>
            </w:pPr>
            <w:r>
              <w:rPr>
                <w:b/>
                <w:color w:val="FFFFFF"/>
                <w:sz w:val="17"/>
              </w:rPr>
              <w:t>Level</w:t>
            </w:r>
          </w:p>
        </w:tc>
        <w:tc>
          <w:tcPr>
            <w:tcW w:type="dxa" w:w="1296"/>
            <w:shd w:val="clear" w:color="auto" w:fill="1B355E"/>
          </w:tcPr>
          <w:p>
            <w:pPr>
              <w:spacing w:after="20" w:before="20"/>
              <w:jc w:val="center"/>
            </w:pPr>
            <w:r>
              <w:rPr>
                <w:b/>
                <w:color w:val="FFFFFF"/>
                <w:sz w:val="17"/>
              </w:rPr>
              <w:t>Customers</w:t>
            </w:r>
          </w:p>
        </w:tc>
        <w:tc>
          <w:tcPr>
            <w:tcW w:type="dxa" w:w="1512"/>
            <w:shd w:val="clear" w:color="auto" w:fill="1B355E"/>
          </w:tcPr>
          <w:p>
            <w:pPr>
              <w:spacing w:after="20" w:before="20"/>
              <w:jc w:val="center"/>
            </w:pPr>
            <w:r>
              <w:rPr>
                <w:b/>
                <w:color w:val="FFFFFF"/>
                <w:sz w:val="17"/>
              </w:rPr>
              <w:t>Churn rate</w:t>
            </w:r>
          </w:p>
        </w:tc>
        <w:tc>
          <w:tcPr>
            <w:tcW w:type="dxa" w:w="2419"/>
            <w:shd w:val="clear" w:color="auto" w:fill="1B355E"/>
          </w:tcPr>
          <w:p>
            <w:pPr>
              <w:spacing w:after="20" w:before="20"/>
              <w:jc w:val="center"/>
            </w:pPr>
            <w:r>
              <w:rPr>
                <w:b/>
                <w:color w:val="FFFFFF"/>
                <w:sz w:val="17"/>
              </w:rPr>
              <w:t>Lift vs. 26.54 % base</w:t>
            </w:r>
          </w:p>
        </w:tc>
      </w:tr>
      <w:tr>
        <w:tc>
          <w:tcPr>
            <w:tcW w:type="dxa" w:w="1613"/>
          </w:tcPr>
          <w:p>
            <w:pPr>
              <w:spacing w:after="20" w:before="20" w:line="254" w:lineRule="auto"/>
              <w:jc w:val="left"/>
            </w:pPr>
            <w:r>
              <w:rPr>
                <w:sz w:val="16"/>
              </w:rPr>
              <w:t>Contract</w:t>
            </w:r>
          </w:p>
        </w:tc>
        <w:tc>
          <w:tcPr>
            <w:tcW w:type="dxa" w:w="2477"/>
          </w:tcPr>
          <w:p>
            <w:pPr>
              <w:spacing w:after="20" w:before="20" w:line="254" w:lineRule="auto"/>
              <w:jc w:val="center"/>
            </w:pPr>
            <w:r>
              <w:rPr>
                <w:sz w:val="16"/>
              </w:rPr>
              <w:t>Month-to-month</w:t>
            </w:r>
          </w:p>
        </w:tc>
        <w:tc>
          <w:tcPr>
            <w:tcW w:type="dxa" w:w="1296"/>
          </w:tcPr>
          <w:p>
            <w:pPr>
              <w:spacing w:after="20" w:before="20" w:line="254" w:lineRule="auto"/>
              <w:jc w:val="center"/>
            </w:pPr>
            <w:r>
              <w:rPr>
                <w:sz w:val="16"/>
              </w:rPr>
              <w:t>3 875</w:t>
            </w:r>
          </w:p>
        </w:tc>
        <w:tc>
          <w:tcPr>
            <w:tcW w:type="dxa" w:w="1512"/>
          </w:tcPr>
          <w:p>
            <w:pPr>
              <w:spacing w:after="20" w:before="20" w:line="254" w:lineRule="auto"/>
              <w:jc w:val="center"/>
            </w:pPr>
            <w:r>
              <w:rPr>
                <w:b/>
                <w:sz w:val="16"/>
              </w:rPr>
              <w:t>42.71 %</w:t>
            </w:r>
          </w:p>
        </w:tc>
        <w:tc>
          <w:tcPr>
            <w:tcW w:type="dxa" w:w="2419"/>
          </w:tcPr>
          <w:p>
            <w:pPr>
              <w:spacing w:after="20" w:before="20" w:line="254" w:lineRule="auto"/>
              <w:jc w:val="center"/>
            </w:pPr>
            <w:r>
              <w:rPr>
                <w:sz w:val="16"/>
              </w:rPr>
              <w:t>+16.17 pp</w:t>
            </w:r>
          </w:p>
        </w:tc>
      </w:tr>
      <w:tr>
        <w:tc>
          <w:tcPr>
            <w:tcW w:type="dxa" w:w="1613"/>
            <w:shd w:val="clear" w:color="auto" w:fill="F2F5F9"/>
          </w:tcPr>
          <w:p>
            <w:pPr>
              <w:spacing w:after="20" w:before="20" w:line="254" w:lineRule="auto"/>
              <w:jc w:val="left"/>
            </w:pPr>
            <w:r>
              <w:rPr>
                <w:sz w:val="16"/>
              </w:rPr>
            </w:r>
          </w:p>
        </w:tc>
        <w:tc>
          <w:tcPr>
            <w:tcW w:type="dxa" w:w="2477"/>
            <w:shd w:val="clear" w:color="auto" w:fill="F2F5F9"/>
          </w:tcPr>
          <w:p>
            <w:pPr>
              <w:spacing w:after="20" w:before="20" w:line="254" w:lineRule="auto"/>
              <w:jc w:val="center"/>
            </w:pPr>
            <w:r>
              <w:rPr>
                <w:sz w:val="16"/>
              </w:rPr>
              <w:t>One year</w:t>
            </w:r>
          </w:p>
        </w:tc>
        <w:tc>
          <w:tcPr>
            <w:tcW w:type="dxa" w:w="1296"/>
            <w:shd w:val="clear" w:color="auto" w:fill="F2F5F9"/>
          </w:tcPr>
          <w:p>
            <w:pPr>
              <w:spacing w:after="20" w:before="20" w:line="254" w:lineRule="auto"/>
              <w:jc w:val="center"/>
            </w:pPr>
            <w:r>
              <w:rPr>
                <w:sz w:val="16"/>
              </w:rPr>
              <w:t>1 473</w:t>
            </w:r>
          </w:p>
        </w:tc>
        <w:tc>
          <w:tcPr>
            <w:tcW w:type="dxa" w:w="1512"/>
            <w:shd w:val="clear" w:color="auto" w:fill="F2F5F9"/>
          </w:tcPr>
          <w:p>
            <w:pPr>
              <w:spacing w:after="20" w:before="20" w:line="254" w:lineRule="auto"/>
              <w:jc w:val="center"/>
            </w:pPr>
            <w:r>
              <w:rPr>
                <w:sz w:val="16"/>
              </w:rPr>
              <w:t>11.27 %</w:t>
            </w:r>
          </w:p>
        </w:tc>
        <w:tc>
          <w:tcPr>
            <w:tcW w:type="dxa" w:w="2419"/>
            <w:shd w:val="clear" w:color="auto" w:fill="F2F5F9"/>
          </w:tcPr>
          <w:p>
            <w:pPr>
              <w:spacing w:after="20" w:before="20" w:line="254" w:lineRule="auto"/>
              <w:jc w:val="center"/>
            </w:pPr>
            <w:r>
              <w:rPr>
                <w:sz w:val="16"/>
              </w:rPr>
              <w:t>−15.27 pp</w:t>
            </w:r>
          </w:p>
        </w:tc>
      </w:tr>
      <w:tr>
        <w:tc>
          <w:tcPr>
            <w:tcW w:type="dxa" w:w="1613"/>
          </w:tcPr>
          <w:p>
            <w:pPr>
              <w:spacing w:after="20" w:before="20" w:line="254" w:lineRule="auto"/>
              <w:jc w:val="left"/>
            </w:pPr>
            <w:r>
              <w:rPr>
                <w:sz w:val="16"/>
              </w:rPr>
            </w:r>
          </w:p>
        </w:tc>
        <w:tc>
          <w:tcPr>
            <w:tcW w:type="dxa" w:w="2477"/>
          </w:tcPr>
          <w:p>
            <w:pPr>
              <w:spacing w:after="20" w:before="20" w:line="254" w:lineRule="auto"/>
              <w:jc w:val="center"/>
            </w:pPr>
            <w:r>
              <w:rPr>
                <w:sz w:val="16"/>
              </w:rPr>
              <w:t>Two year</w:t>
            </w:r>
          </w:p>
        </w:tc>
        <w:tc>
          <w:tcPr>
            <w:tcW w:type="dxa" w:w="1296"/>
          </w:tcPr>
          <w:p>
            <w:pPr>
              <w:spacing w:after="20" w:before="20" w:line="254" w:lineRule="auto"/>
              <w:jc w:val="center"/>
            </w:pPr>
            <w:r>
              <w:rPr>
                <w:sz w:val="16"/>
              </w:rPr>
              <w:t>1 695</w:t>
            </w:r>
          </w:p>
        </w:tc>
        <w:tc>
          <w:tcPr>
            <w:tcW w:type="dxa" w:w="1512"/>
          </w:tcPr>
          <w:p>
            <w:pPr>
              <w:spacing w:after="20" w:before="20" w:line="254" w:lineRule="auto"/>
              <w:jc w:val="center"/>
            </w:pPr>
            <w:r>
              <w:rPr>
                <w:b/>
                <w:sz w:val="16"/>
              </w:rPr>
              <w:t>2.83 %</w:t>
            </w:r>
          </w:p>
        </w:tc>
        <w:tc>
          <w:tcPr>
            <w:tcW w:type="dxa" w:w="2419"/>
          </w:tcPr>
          <w:p>
            <w:pPr>
              <w:spacing w:after="20" w:before="20" w:line="254" w:lineRule="auto"/>
              <w:jc w:val="center"/>
            </w:pPr>
            <w:r>
              <w:rPr>
                <w:sz w:val="16"/>
              </w:rPr>
              <w:t>−23.71 pp</w:t>
            </w:r>
          </w:p>
        </w:tc>
      </w:tr>
      <w:tr>
        <w:tc>
          <w:tcPr>
            <w:tcW w:type="dxa" w:w="1613"/>
            <w:shd w:val="clear" w:color="auto" w:fill="F2F5F9"/>
          </w:tcPr>
          <w:p>
            <w:pPr>
              <w:spacing w:after="20" w:before="20" w:line="254" w:lineRule="auto"/>
              <w:jc w:val="left"/>
            </w:pPr>
            <w:r>
              <w:rPr>
                <w:sz w:val="16"/>
              </w:rPr>
              <w:t>Payment method</w:t>
            </w:r>
          </w:p>
        </w:tc>
        <w:tc>
          <w:tcPr>
            <w:tcW w:type="dxa" w:w="2477"/>
            <w:shd w:val="clear" w:color="auto" w:fill="F2F5F9"/>
          </w:tcPr>
          <w:p>
            <w:pPr>
              <w:spacing w:after="20" w:before="20" w:line="254" w:lineRule="auto"/>
              <w:jc w:val="center"/>
            </w:pPr>
            <w:r>
              <w:rPr>
                <w:sz w:val="16"/>
              </w:rPr>
              <w:t>Electronic check</w:t>
            </w:r>
          </w:p>
        </w:tc>
        <w:tc>
          <w:tcPr>
            <w:tcW w:type="dxa" w:w="1296"/>
            <w:shd w:val="clear" w:color="auto" w:fill="F2F5F9"/>
          </w:tcPr>
          <w:p>
            <w:pPr>
              <w:spacing w:after="20" w:before="20" w:line="254" w:lineRule="auto"/>
              <w:jc w:val="center"/>
            </w:pPr>
            <w:r>
              <w:rPr>
                <w:sz w:val="16"/>
              </w:rPr>
              <w:t>2 365</w:t>
            </w:r>
          </w:p>
        </w:tc>
        <w:tc>
          <w:tcPr>
            <w:tcW w:type="dxa" w:w="1512"/>
            <w:shd w:val="clear" w:color="auto" w:fill="F2F5F9"/>
          </w:tcPr>
          <w:p>
            <w:pPr>
              <w:spacing w:after="20" w:before="20" w:line="254" w:lineRule="auto"/>
              <w:jc w:val="center"/>
            </w:pPr>
            <w:r>
              <w:rPr>
                <w:b/>
                <w:sz w:val="16"/>
              </w:rPr>
              <w:t>45.29 %</w:t>
            </w:r>
          </w:p>
        </w:tc>
        <w:tc>
          <w:tcPr>
            <w:tcW w:type="dxa" w:w="2419"/>
            <w:shd w:val="clear" w:color="auto" w:fill="F2F5F9"/>
          </w:tcPr>
          <w:p>
            <w:pPr>
              <w:spacing w:after="20" w:before="20" w:line="254" w:lineRule="auto"/>
              <w:jc w:val="center"/>
            </w:pPr>
            <w:r>
              <w:rPr>
                <w:sz w:val="16"/>
              </w:rPr>
              <w:t>+18.75 pp</w:t>
            </w:r>
          </w:p>
        </w:tc>
      </w:tr>
      <w:tr>
        <w:tc>
          <w:tcPr>
            <w:tcW w:type="dxa" w:w="1613"/>
          </w:tcPr>
          <w:p>
            <w:pPr>
              <w:spacing w:after="20" w:before="20" w:line="254" w:lineRule="auto"/>
              <w:jc w:val="left"/>
            </w:pPr>
            <w:r>
              <w:rPr>
                <w:sz w:val="16"/>
              </w:rPr>
            </w:r>
          </w:p>
        </w:tc>
        <w:tc>
          <w:tcPr>
            <w:tcW w:type="dxa" w:w="2477"/>
          </w:tcPr>
          <w:p>
            <w:pPr>
              <w:spacing w:after="20" w:before="20" w:line="254" w:lineRule="auto"/>
              <w:jc w:val="center"/>
            </w:pPr>
            <w:r>
              <w:rPr>
                <w:sz w:val="16"/>
              </w:rPr>
              <w:t>Mailed check</w:t>
            </w:r>
          </w:p>
        </w:tc>
        <w:tc>
          <w:tcPr>
            <w:tcW w:type="dxa" w:w="1296"/>
          </w:tcPr>
          <w:p>
            <w:pPr>
              <w:spacing w:after="20" w:before="20" w:line="254" w:lineRule="auto"/>
              <w:jc w:val="center"/>
            </w:pPr>
            <w:r>
              <w:rPr>
                <w:sz w:val="16"/>
              </w:rPr>
              <w:t>1 612</w:t>
            </w:r>
          </w:p>
        </w:tc>
        <w:tc>
          <w:tcPr>
            <w:tcW w:type="dxa" w:w="1512"/>
          </w:tcPr>
          <w:p>
            <w:pPr>
              <w:spacing w:after="20" w:before="20" w:line="254" w:lineRule="auto"/>
              <w:jc w:val="center"/>
            </w:pPr>
            <w:r>
              <w:rPr>
                <w:sz w:val="16"/>
              </w:rPr>
              <w:t>19.11 %</w:t>
            </w:r>
          </w:p>
        </w:tc>
        <w:tc>
          <w:tcPr>
            <w:tcW w:type="dxa" w:w="2419"/>
          </w:tcPr>
          <w:p>
            <w:pPr>
              <w:spacing w:after="20" w:before="20" w:line="254" w:lineRule="auto"/>
              <w:jc w:val="center"/>
            </w:pPr>
            <w:r>
              <w:rPr>
                <w:sz w:val="16"/>
              </w:rPr>
              <w:t>−7.43 pp</w:t>
            </w:r>
          </w:p>
        </w:tc>
      </w:tr>
      <w:tr>
        <w:tc>
          <w:tcPr>
            <w:tcW w:type="dxa" w:w="1613"/>
            <w:shd w:val="clear" w:color="auto" w:fill="F2F5F9"/>
          </w:tcPr>
          <w:p>
            <w:pPr>
              <w:spacing w:after="20" w:before="20" w:line="254" w:lineRule="auto"/>
              <w:jc w:val="left"/>
            </w:pPr>
            <w:r>
              <w:rPr>
                <w:sz w:val="16"/>
              </w:rPr>
            </w:r>
          </w:p>
        </w:tc>
        <w:tc>
          <w:tcPr>
            <w:tcW w:type="dxa" w:w="2477"/>
            <w:shd w:val="clear" w:color="auto" w:fill="F2F5F9"/>
          </w:tcPr>
          <w:p>
            <w:pPr>
              <w:spacing w:after="20" w:before="20" w:line="254" w:lineRule="auto"/>
              <w:jc w:val="left"/>
            </w:pPr>
            <w:r>
              <w:rPr>
                <w:sz w:val="16"/>
              </w:rPr>
              <w:t>Bank transfer (automatic)</w:t>
            </w:r>
          </w:p>
        </w:tc>
        <w:tc>
          <w:tcPr>
            <w:tcW w:type="dxa" w:w="1296"/>
            <w:shd w:val="clear" w:color="auto" w:fill="F2F5F9"/>
          </w:tcPr>
          <w:p>
            <w:pPr>
              <w:spacing w:after="20" w:before="20" w:line="254" w:lineRule="auto"/>
              <w:jc w:val="center"/>
            </w:pPr>
            <w:r>
              <w:rPr>
                <w:sz w:val="16"/>
              </w:rPr>
              <w:t>1 544</w:t>
            </w:r>
          </w:p>
        </w:tc>
        <w:tc>
          <w:tcPr>
            <w:tcW w:type="dxa" w:w="1512"/>
            <w:shd w:val="clear" w:color="auto" w:fill="F2F5F9"/>
          </w:tcPr>
          <w:p>
            <w:pPr>
              <w:spacing w:after="20" w:before="20" w:line="254" w:lineRule="auto"/>
              <w:jc w:val="center"/>
            </w:pPr>
            <w:r>
              <w:rPr>
                <w:sz w:val="16"/>
              </w:rPr>
              <w:t>16.71 %</w:t>
            </w:r>
          </w:p>
        </w:tc>
        <w:tc>
          <w:tcPr>
            <w:tcW w:type="dxa" w:w="2419"/>
            <w:shd w:val="clear" w:color="auto" w:fill="F2F5F9"/>
          </w:tcPr>
          <w:p>
            <w:pPr>
              <w:spacing w:after="20" w:before="20" w:line="254" w:lineRule="auto"/>
              <w:jc w:val="center"/>
            </w:pPr>
            <w:r>
              <w:rPr>
                <w:sz w:val="16"/>
              </w:rPr>
              <w:t>−9.83 pp</w:t>
            </w:r>
          </w:p>
        </w:tc>
      </w:tr>
      <w:tr>
        <w:tc>
          <w:tcPr>
            <w:tcW w:type="dxa" w:w="1613"/>
          </w:tcPr>
          <w:p>
            <w:pPr>
              <w:spacing w:after="20" w:before="20" w:line="254" w:lineRule="auto"/>
              <w:jc w:val="left"/>
            </w:pPr>
            <w:r>
              <w:rPr>
                <w:sz w:val="16"/>
              </w:rPr>
            </w:r>
          </w:p>
        </w:tc>
        <w:tc>
          <w:tcPr>
            <w:tcW w:type="dxa" w:w="2477"/>
          </w:tcPr>
          <w:p>
            <w:pPr>
              <w:spacing w:after="20" w:before="20" w:line="254" w:lineRule="auto"/>
              <w:jc w:val="left"/>
            </w:pPr>
            <w:r>
              <w:rPr>
                <w:sz w:val="16"/>
              </w:rPr>
              <w:t>Credit card (automatic)</w:t>
            </w:r>
          </w:p>
        </w:tc>
        <w:tc>
          <w:tcPr>
            <w:tcW w:type="dxa" w:w="1296"/>
          </w:tcPr>
          <w:p>
            <w:pPr>
              <w:spacing w:after="20" w:before="20" w:line="254" w:lineRule="auto"/>
              <w:jc w:val="center"/>
            </w:pPr>
            <w:r>
              <w:rPr>
                <w:sz w:val="16"/>
              </w:rPr>
              <w:t>1 522</w:t>
            </w:r>
          </w:p>
        </w:tc>
        <w:tc>
          <w:tcPr>
            <w:tcW w:type="dxa" w:w="1512"/>
          </w:tcPr>
          <w:p>
            <w:pPr>
              <w:spacing w:after="20" w:before="20" w:line="254" w:lineRule="auto"/>
              <w:jc w:val="center"/>
            </w:pPr>
            <w:r>
              <w:rPr>
                <w:sz w:val="16"/>
              </w:rPr>
              <w:t>15.24 %</w:t>
            </w:r>
          </w:p>
        </w:tc>
        <w:tc>
          <w:tcPr>
            <w:tcW w:type="dxa" w:w="2419"/>
          </w:tcPr>
          <w:p>
            <w:pPr>
              <w:spacing w:after="20" w:before="20" w:line="254" w:lineRule="auto"/>
              <w:jc w:val="center"/>
            </w:pPr>
            <w:r>
              <w:rPr>
                <w:sz w:val="16"/>
              </w:rPr>
              <w:t>−11.30 pp</w:t>
            </w:r>
          </w:p>
        </w:tc>
      </w:tr>
      <w:tr>
        <w:tc>
          <w:tcPr>
            <w:tcW w:type="dxa" w:w="1613"/>
            <w:shd w:val="clear" w:color="auto" w:fill="F2F5F9"/>
          </w:tcPr>
          <w:p>
            <w:pPr>
              <w:spacing w:after="20" w:before="20" w:line="254" w:lineRule="auto"/>
              <w:jc w:val="left"/>
            </w:pPr>
            <w:r>
              <w:rPr>
                <w:sz w:val="16"/>
              </w:rPr>
              <w:t>Internet service</w:t>
            </w:r>
          </w:p>
        </w:tc>
        <w:tc>
          <w:tcPr>
            <w:tcW w:type="dxa" w:w="2477"/>
            <w:shd w:val="clear" w:color="auto" w:fill="F2F5F9"/>
          </w:tcPr>
          <w:p>
            <w:pPr>
              <w:spacing w:after="20" w:before="20" w:line="254" w:lineRule="auto"/>
              <w:jc w:val="center"/>
            </w:pPr>
            <w:r>
              <w:rPr>
                <w:sz w:val="16"/>
              </w:rPr>
              <w:t>Fiber optic</w:t>
            </w:r>
          </w:p>
        </w:tc>
        <w:tc>
          <w:tcPr>
            <w:tcW w:type="dxa" w:w="1296"/>
            <w:shd w:val="clear" w:color="auto" w:fill="F2F5F9"/>
          </w:tcPr>
          <w:p>
            <w:pPr>
              <w:spacing w:after="20" w:before="20" w:line="254" w:lineRule="auto"/>
              <w:jc w:val="center"/>
            </w:pPr>
            <w:r>
              <w:rPr>
                <w:sz w:val="16"/>
              </w:rPr>
              <w:t>3 096</w:t>
            </w:r>
          </w:p>
        </w:tc>
        <w:tc>
          <w:tcPr>
            <w:tcW w:type="dxa" w:w="1512"/>
            <w:shd w:val="clear" w:color="auto" w:fill="F2F5F9"/>
          </w:tcPr>
          <w:p>
            <w:pPr>
              <w:spacing w:after="20" w:before="20" w:line="254" w:lineRule="auto"/>
              <w:jc w:val="center"/>
            </w:pPr>
            <w:r>
              <w:rPr>
                <w:b/>
                <w:sz w:val="16"/>
              </w:rPr>
              <w:t>41.89 %</w:t>
            </w:r>
          </w:p>
        </w:tc>
        <w:tc>
          <w:tcPr>
            <w:tcW w:type="dxa" w:w="2419"/>
            <w:shd w:val="clear" w:color="auto" w:fill="F2F5F9"/>
          </w:tcPr>
          <w:p>
            <w:pPr>
              <w:spacing w:after="20" w:before="20" w:line="254" w:lineRule="auto"/>
              <w:jc w:val="center"/>
            </w:pPr>
            <w:r>
              <w:rPr>
                <w:sz w:val="16"/>
              </w:rPr>
              <w:t>+15.35 pp</w:t>
            </w:r>
          </w:p>
        </w:tc>
      </w:tr>
      <w:tr>
        <w:tc>
          <w:tcPr>
            <w:tcW w:type="dxa" w:w="1613"/>
          </w:tcPr>
          <w:p>
            <w:pPr>
              <w:spacing w:after="20" w:before="20" w:line="254" w:lineRule="auto"/>
              <w:jc w:val="left"/>
            </w:pPr>
            <w:r>
              <w:rPr>
                <w:sz w:val="16"/>
              </w:rPr>
            </w:r>
          </w:p>
        </w:tc>
        <w:tc>
          <w:tcPr>
            <w:tcW w:type="dxa" w:w="2477"/>
          </w:tcPr>
          <w:p>
            <w:pPr>
              <w:spacing w:after="20" w:before="20" w:line="254" w:lineRule="auto"/>
              <w:jc w:val="center"/>
            </w:pPr>
            <w:r>
              <w:rPr>
                <w:sz w:val="16"/>
              </w:rPr>
              <w:t>DSL</w:t>
            </w:r>
          </w:p>
        </w:tc>
        <w:tc>
          <w:tcPr>
            <w:tcW w:type="dxa" w:w="1296"/>
          </w:tcPr>
          <w:p>
            <w:pPr>
              <w:spacing w:after="20" w:before="20" w:line="254" w:lineRule="auto"/>
              <w:jc w:val="center"/>
            </w:pPr>
            <w:r>
              <w:rPr>
                <w:sz w:val="16"/>
              </w:rPr>
              <w:t>2 421</w:t>
            </w:r>
          </w:p>
        </w:tc>
        <w:tc>
          <w:tcPr>
            <w:tcW w:type="dxa" w:w="1512"/>
          </w:tcPr>
          <w:p>
            <w:pPr>
              <w:spacing w:after="20" w:before="20" w:line="254" w:lineRule="auto"/>
              <w:jc w:val="center"/>
            </w:pPr>
            <w:r>
              <w:rPr>
                <w:sz w:val="16"/>
              </w:rPr>
              <w:t>18.96 %</w:t>
            </w:r>
          </w:p>
        </w:tc>
        <w:tc>
          <w:tcPr>
            <w:tcW w:type="dxa" w:w="2419"/>
          </w:tcPr>
          <w:p>
            <w:pPr>
              <w:spacing w:after="20" w:before="20" w:line="254" w:lineRule="auto"/>
              <w:jc w:val="center"/>
            </w:pPr>
            <w:r>
              <w:rPr>
                <w:sz w:val="16"/>
              </w:rPr>
              <w:t>−7.58 pp</w:t>
            </w:r>
          </w:p>
        </w:tc>
      </w:tr>
      <w:tr>
        <w:tc>
          <w:tcPr>
            <w:tcW w:type="dxa" w:w="1613"/>
            <w:shd w:val="clear" w:color="auto" w:fill="F2F5F9"/>
          </w:tcPr>
          <w:p>
            <w:pPr>
              <w:spacing w:after="20" w:before="20" w:line="254" w:lineRule="auto"/>
              <w:jc w:val="left"/>
            </w:pPr>
            <w:r>
              <w:rPr>
                <w:sz w:val="16"/>
              </w:rPr>
            </w:r>
          </w:p>
        </w:tc>
        <w:tc>
          <w:tcPr>
            <w:tcW w:type="dxa" w:w="2477"/>
            <w:shd w:val="clear" w:color="auto" w:fill="F2F5F9"/>
          </w:tcPr>
          <w:p>
            <w:pPr>
              <w:spacing w:after="20" w:before="20" w:line="254" w:lineRule="auto"/>
              <w:jc w:val="center"/>
            </w:pPr>
            <w:r>
              <w:rPr>
                <w:sz w:val="16"/>
              </w:rPr>
              <w:t>No internet</w:t>
            </w:r>
          </w:p>
        </w:tc>
        <w:tc>
          <w:tcPr>
            <w:tcW w:type="dxa" w:w="1296"/>
            <w:shd w:val="clear" w:color="auto" w:fill="F2F5F9"/>
          </w:tcPr>
          <w:p>
            <w:pPr>
              <w:spacing w:after="20" w:before="20" w:line="254" w:lineRule="auto"/>
              <w:jc w:val="center"/>
            </w:pPr>
            <w:r>
              <w:rPr>
                <w:sz w:val="16"/>
              </w:rPr>
              <w:t>1 526</w:t>
            </w:r>
          </w:p>
        </w:tc>
        <w:tc>
          <w:tcPr>
            <w:tcW w:type="dxa" w:w="1512"/>
            <w:shd w:val="clear" w:color="auto" w:fill="F2F5F9"/>
          </w:tcPr>
          <w:p>
            <w:pPr>
              <w:spacing w:after="20" w:before="20" w:line="254" w:lineRule="auto"/>
              <w:jc w:val="center"/>
            </w:pPr>
            <w:r>
              <w:rPr>
                <w:sz w:val="16"/>
              </w:rPr>
              <w:t>7.40 %</w:t>
            </w:r>
          </w:p>
        </w:tc>
        <w:tc>
          <w:tcPr>
            <w:tcW w:type="dxa" w:w="2419"/>
            <w:shd w:val="clear" w:color="auto" w:fill="F2F5F9"/>
          </w:tcPr>
          <w:p>
            <w:pPr>
              <w:spacing w:after="20" w:before="20" w:line="254" w:lineRule="auto"/>
              <w:jc w:val="center"/>
            </w:pPr>
            <w:r>
              <w:rPr>
                <w:sz w:val="16"/>
              </w:rPr>
              <w:t>−19.14 pp</w:t>
            </w:r>
          </w:p>
        </w:tc>
      </w:tr>
      <w:tr>
        <w:tc>
          <w:tcPr>
            <w:tcW w:type="dxa" w:w="1613"/>
          </w:tcPr>
          <w:p>
            <w:pPr>
              <w:spacing w:after="20" w:before="20" w:line="254" w:lineRule="auto"/>
              <w:jc w:val="left"/>
            </w:pPr>
            <w:r>
              <w:rPr>
                <w:sz w:val="16"/>
              </w:rPr>
              <w:t>Tech support</w:t>
            </w:r>
          </w:p>
        </w:tc>
        <w:tc>
          <w:tcPr>
            <w:tcW w:type="dxa" w:w="2477"/>
          </w:tcPr>
          <w:p>
            <w:pPr>
              <w:spacing w:after="20" w:before="20" w:line="254" w:lineRule="auto"/>
              <w:jc w:val="center"/>
            </w:pPr>
            <w:r>
              <w:rPr>
                <w:sz w:val="16"/>
              </w:rPr>
              <w:t>No</w:t>
            </w:r>
          </w:p>
        </w:tc>
        <w:tc>
          <w:tcPr>
            <w:tcW w:type="dxa" w:w="1296"/>
          </w:tcPr>
          <w:p>
            <w:pPr>
              <w:spacing w:after="20" w:before="20" w:line="254" w:lineRule="auto"/>
              <w:jc w:val="center"/>
            </w:pPr>
            <w:r>
              <w:rPr>
                <w:sz w:val="16"/>
              </w:rPr>
              <w:t>4 999</w:t>
            </w:r>
          </w:p>
        </w:tc>
        <w:tc>
          <w:tcPr>
            <w:tcW w:type="dxa" w:w="1512"/>
          </w:tcPr>
          <w:p>
            <w:pPr>
              <w:spacing w:after="20" w:before="20" w:line="254" w:lineRule="auto"/>
              <w:jc w:val="center"/>
            </w:pPr>
            <w:r>
              <w:rPr>
                <w:sz w:val="16"/>
              </w:rPr>
              <w:t>31.19 %</w:t>
            </w:r>
          </w:p>
        </w:tc>
        <w:tc>
          <w:tcPr>
            <w:tcW w:type="dxa" w:w="2419"/>
          </w:tcPr>
          <w:p>
            <w:pPr>
              <w:spacing w:after="20" w:before="20" w:line="254" w:lineRule="auto"/>
              <w:jc w:val="center"/>
            </w:pPr>
            <w:r>
              <w:rPr>
                <w:sz w:val="16"/>
              </w:rPr>
              <w:t>+4.65 pp</w:t>
            </w:r>
          </w:p>
        </w:tc>
      </w:tr>
      <w:tr>
        <w:tc>
          <w:tcPr>
            <w:tcW w:type="dxa" w:w="1613"/>
            <w:shd w:val="clear" w:color="auto" w:fill="F2F5F9"/>
          </w:tcPr>
          <w:p>
            <w:pPr>
              <w:spacing w:after="20" w:before="20" w:line="254" w:lineRule="auto"/>
              <w:jc w:val="left"/>
            </w:pPr>
            <w:r>
              <w:rPr>
                <w:sz w:val="16"/>
              </w:rPr>
            </w:r>
          </w:p>
        </w:tc>
        <w:tc>
          <w:tcPr>
            <w:tcW w:type="dxa" w:w="2477"/>
            <w:shd w:val="clear" w:color="auto" w:fill="F2F5F9"/>
          </w:tcPr>
          <w:p>
            <w:pPr>
              <w:spacing w:after="20" w:before="20" w:line="254" w:lineRule="auto"/>
              <w:jc w:val="center"/>
            </w:pPr>
            <w:r>
              <w:rPr>
                <w:sz w:val="16"/>
              </w:rPr>
              <w:t>Yes</w:t>
            </w:r>
          </w:p>
        </w:tc>
        <w:tc>
          <w:tcPr>
            <w:tcW w:type="dxa" w:w="1296"/>
            <w:shd w:val="clear" w:color="auto" w:fill="F2F5F9"/>
          </w:tcPr>
          <w:p>
            <w:pPr>
              <w:spacing w:after="20" w:before="20" w:line="254" w:lineRule="auto"/>
              <w:jc w:val="center"/>
            </w:pPr>
            <w:r>
              <w:rPr>
                <w:sz w:val="16"/>
              </w:rPr>
              <w:t>2 044</w:t>
            </w:r>
          </w:p>
        </w:tc>
        <w:tc>
          <w:tcPr>
            <w:tcW w:type="dxa" w:w="1512"/>
            <w:shd w:val="clear" w:color="auto" w:fill="F2F5F9"/>
          </w:tcPr>
          <w:p>
            <w:pPr>
              <w:spacing w:after="20" w:before="20" w:line="254" w:lineRule="auto"/>
              <w:jc w:val="center"/>
            </w:pPr>
            <w:r>
              <w:rPr>
                <w:sz w:val="16"/>
              </w:rPr>
              <w:t>15.17 %</w:t>
            </w:r>
          </w:p>
        </w:tc>
        <w:tc>
          <w:tcPr>
            <w:tcW w:type="dxa" w:w="2419"/>
            <w:shd w:val="clear" w:color="auto" w:fill="F2F5F9"/>
          </w:tcPr>
          <w:p>
            <w:pPr>
              <w:spacing w:after="20" w:before="20" w:line="254" w:lineRule="auto"/>
              <w:jc w:val="center"/>
            </w:pPr>
            <w:r>
              <w:rPr>
                <w:sz w:val="16"/>
              </w:rPr>
              <w:t>−11.37 pp</w:t>
            </w:r>
          </w:p>
        </w:tc>
      </w:tr>
      <w:tr>
        <w:tc>
          <w:tcPr>
            <w:tcW w:type="dxa" w:w="1613"/>
          </w:tcPr>
          <w:p>
            <w:pPr>
              <w:spacing w:after="20" w:before="20" w:line="254" w:lineRule="auto"/>
              <w:jc w:val="left"/>
            </w:pPr>
            <w:r>
              <w:rPr>
                <w:sz w:val="16"/>
              </w:rPr>
              <w:t>Online security</w:t>
            </w:r>
          </w:p>
        </w:tc>
        <w:tc>
          <w:tcPr>
            <w:tcW w:type="dxa" w:w="2477"/>
          </w:tcPr>
          <w:p>
            <w:pPr>
              <w:spacing w:after="20" w:before="20" w:line="254" w:lineRule="auto"/>
              <w:jc w:val="center"/>
            </w:pPr>
            <w:r>
              <w:rPr>
                <w:sz w:val="16"/>
              </w:rPr>
              <w:t>No</w:t>
            </w:r>
          </w:p>
        </w:tc>
        <w:tc>
          <w:tcPr>
            <w:tcW w:type="dxa" w:w="1296"/>
          </w:tcPr>
          <w:p>
            <w:pPr>
              <w:spacing w:after="20" w:before="20" w:line="254" w:lineRule="auto"/>
              <w:jc w:val="center"/>
            </w:pPr>
            <w:r>
              <w:rPr>
                <w:sz w:val="16"/>
              </w:rPr>
              <w:t>5 024</w:t>
            </w:r>
          </w:p>
        </w:tc>
        <w:tc>
          <w:tcPr>
            <w:tcW w:type="dxa" w:w="1512"/>
          </w:tcPr>
          <w:p>
            <w:pPr>
              <w:spacing w:after="20" w:before="20" w:line="254" w:lineRule="auto"/>
              <w:jc w:val="center"/>
            </w:pPr>
            <w:r>
              <w:rPr>
                <w:sz w:val="16"/>
              </w:rPr>
              <w:t>31.33 %</w:t>
            </w:r>
          </w:p>
        </w:tc>
        <w:tc>
          <w:tcPr>
            <w:tcW w:type="dxa" w:w="2419"/>
          </w:tcPr>
          <w:p>
            <w:pPr>
              <w:spacing w:after="20" w:before="20" w:line="254" w:lineRule="auto"/>
              <w:jc w:val="center"/>
            </w:pPr>
            <w:r>
              <w:rPr>
                <w:sz w:val="16"/>
              </w:rPr>
              <w:t>+4.79 pp</w:t>
            </w:r>
          </w:p>
        </w:tc>
      </w:tr>
      <w:tr>
        <w:tc>
          <w:tcPr>
            <w:tcW w:type="dxa" w:w="1613"/>
            <w:shd w:val="clear" w:color="auto" w:fill="F2F5F9"/>
          </w:tcPr>
          <w:p>
            <w:pPr>
              <w:spacing w:after="20" w:before="20" w:line="254" w:lineRule="auto"/>
              <w:jc w:val="left"/>
            </w:pPr>
            <w:r>
              <w:rPr>
                <w:sz w:val="16"/>
              </w:rPr>
            </w:r>
          </w:p>
        </w:tc>
        <w:tc>
          <w:tcPr>
            <w:tcW w:type="dxa" w:w="2477"/>
            <w:shd w:val="clear" w:color="auto" w:fill="F2F5F9"/>
          </w:tcPr>
          <w:p>
            <w:pPr>
              <w:spacing w:after="20" w:before="20" w:line="254" w:lineRule="auto"/>
              <w:jc w:val="center"/>
            </w:pPr>
            <w:r>
              <w:rPr>
                <w:sz w:val="16"/>
              </w:rPr>
              <w:t>Yes</w:t>
            </w:r>
          </w:p>
        </w:tc>
        <w:tc>
          <w:tcPr>
            <w:tcW w:type="dxa" w:w="1296"/>
            <w:shd w:val="clear" w:color="auto" w:fill="F2F5F9"/>
          </w:tcPr>
          <w:p>
            <w:pPr>
              <w:spacing w:after="20" w:before="20" w:line="254" w:lineRule="auto"/>
              <w:jc w:val="center"/>
            </w:pPr>
            <w:r>
              <w:rPr>
                <w:sz w:val="16"/>
              </w:rPr>
              <w:t>2 019</w:t>
            </w:r>
          </w:p>
        </w:tc>
        <w:tc>
          <w:tcPr>
            <w:tcW w:type="dxa" w:w="1512"/>
            <w:shd w:val="clear" w:color="auto" w:fill="F2F5F9"/>
          </w:tcPr>
          <w:p>
            <w:pPr>
              <w:spacing w:after="20" w:before="20" w:line="254" w:lineRule="auto"/>
              <w:jc w:val="center"/>
            </w:pPr>
            <w:r>
              <w:rPr>
                <w:sz w:val="16"/>
              </w:rPr>
              <w:t>14.61 %</w:t>
            </w:r>
          </w:p>
        </w:tc>
        <w:tc>
          <w:tcPr>
            <w:tcW w:type="dxa" w:w="2419"/>
            <w:shd w:val="clear" w:color="auto" w:fill="F2F5F9"/>
          </w:tcPr>
          <w:p>
            <w:pPr>
              <w:spacing w:after="20" w:before="20" w:line="254" w:lineRule="auto"/>
              <w:jc w:val="center"/>
            </w:pPr>
            <w:r>
              <w:rPr>
                <w:sz w:val="16"/>
              </w:rPr>
              <w:t>−11.93 pp</w:t>
            </w:r>
          </w:p>
        </w:tc>
      </w:tr>
      <w:tr>
        <w:tc>
          <w:tcPr>
            <w:tcW w:type="dxa" w:w="1613"/>
          </w:tcPr>
          <w:p>
            <w:pPr>
              <w:spacing w:after="20" w:before="20" w:line="254" w:lineRule="auto"/>
              <w:jc w:val="left"/>
            </w:pPr>
            <w:r>
              <w:rPr>
                <w:sz w:val="16"/>
              </w:rPr>
              <w:t>Senior citizen</w:t>
            </w:r>
          </w:p>
        </w:tc>
        <w:tc>
          <w:tcPr>
            <w:tcW w:type="dxa" w:w="2477"/>
          </w:tcPr>
          <w:p>
            <w:pPr>
              <w:spacing w:after="20" w:before="20" w:line="254" w:lineRule="auto"/>
              <w:jc w:val="center"/>
            </w:pPr>
            <w:r>
              <w:rPr>
                <w:sz w:val="16"/>
              </w:rPr>
              <w:t>Yes</w:t>
            </w:r>
          </w:p>
        </w:tc>
        <w:tc>
          <w:tcPr>
            <w:tcW w:type="dxa" w:w="1296"/>
          </w:tcPr>
          <w:p>
            <w:pPr>
              <w:spacing w:after="20" w:before="20" w:line="254" w:lineRule="auto"/>
              <w:jc w:val="center"/>
            </w:pPr>
            <w:r>
              <w:rPr>
                <w:sz w:val="16"/>
              </w:rPr>
              <w:t>1 142</w:t>
            </w:r>
          </w:p>
        </w:tc>
        <w:tc>
          <w:tcPr>
            <w:tcW w:type="dxa" w:w="1512"/>
          </w:tcPr>
          <w:p>
            <w:pPr>
              <w:spacing w:after="20" w:before="20" w:line="254" w:lineRule="auto"/>
              <w:jc w:val="center"/>
            </w:pPr>
            <w:r>
              <w:rPr>
                <w:sz w:val="16"/>
              </w:rPr>
              <w:t>41.68 %</w:t>
            </w:r>
          </w:p>
        </w:tc>
        <w:tc>
          <w:tcPr>
            <w:tcW w:type="dxa" w:w="2419"/>
          </w:tcPr>
          <w:p>
            <w:pPr>
              <w:spacing w:after="20" w:before="20" w:line="254" w:lineRule="auto"/>
              <w:jc w:val="center"/>
            </w:pPr>
            <w:r>
              <w:rPr>
                <w:sz w:val="16"/>
              </w:rPr>
              <w:t>+15.14 pp</w:t>
            </w:r>
          </w:p>
        </w:tc>
      </w:tr>
      <w:tr>
        <w:tc>
          <w:tcPr>
            <w:tcW w:type="dxa" w:w="1613"/>
            <w:shd w:val="clear" w:color="auto" w:fill="F2F5F9"/>
          </w:tcPr>
          <w:p>
            <w:pPr>
              <w:spacing w:after="20" w:before="20" w:line="254" w:lineRule="auto"/>
              <w:jc w:val="left"/>
            </w:pPr>
            <w:r>
              <w:rPr>
                <w:sz w:val="16"/>
              </w:rPr>
            </w:r>
          </w:p>
        </w:tc>
        <w:tc>
          <w:tcPr>
            <w:tcW w:type="dxa" w:w="2477"/>
            <w:shd w:val="clear" w:color="auto" w:fill="F2F5F9"/>
          </w:tcPr>
          <w:p>
            <w:pPr>
              <w:spacing w:after="20" w:before="20" w:line="254" w:lineRule="auto"/>
              <w:jc w:val="center"/>
            </w:pPr>
            <w:r>
              <w:rPr>
                <w:sz w:val="16"/>
              </w:rPr>
              <w:t>No</w:t>
            </w:r>
          </w:p>
        </w:tc>
        <w:tc>
          <w:tcPr>
            <w:tcW w:type="dxa" w:w="1296"/>
            <w:shd w:val="clear" w:color="auto" w:fill="F2F5F9"/>
          </w:tcPr>
          <w:p>
            <w:pPr>
              <w:spacing w:after="20" w:before="20" w:line="254" w:lineRule="auto"/>
              <w:jc w:val="center"/>
            </w:pPr>
            <w:r>
              <w:rPr>
                <w:sz w:val="16"/>
              </w:rPr>
              <w:t>5 901</w:t>
            </w:r>
          </w:p>
        </w:tc>
        <w:tc>
          <w:tcPr>
            <w:tcW w:type="dxa" w:w="1512"/>
            <w:shd w:val="clear" w:color="auto" w:fill="F2F5F9"/>
          </w:tcPr>
          <w:p>
            <w:pPr>
              <w:spacing w:after="20" w:before="20" w:line="254" w:lineRule="auto"/>
              <w:jc w:val="center"/>
            </w:pPr>
            <w:r>
              <w:rPr>
                <w:sz w:val="16"/>
              </w:rPr>
              <w:t>23.61 %</w:t>
            </w:r>
          </w:p>
        </w:tc>
        <w:tc>
          <w:tcPr>
            <w:tcW w:type="dxa" w:w="2419"/>
            <w:shd w:val="clear" w:color="auto" w:fill="F2F5F9"/>
          </w:tcPr>
          <w:p>
            <w:pPr>
              <w:spacing w:after="20" w:before="20" w:line="254" w:lineRule="auto"/>
              <w:jc w:val="center"/>
            </w:pPr>
            <w:r>
              <w:rPr>
                <w:sz w:val="16"/>
              </w:rPr>
              <w:t>−2.93 pp</w:t>
            </w:r>
          </w:p>
        </w:tc>
      </w:tr>
      <w:tr>
        <w:tc>
          <w:tcPr>
            <w:tcW w:type="dxa" w:w="1613"/>
          </w:tcPr>
          <w:p>
            <w:pPr>
              <w:spacing w:after="20" w:before="20" w:line="254" w:lineRule="auto"/>
              <w:jc w:val="left"/>
            </w:pPr>
            <w:r>
              <w:rPr>
                <w:sz w:val="16"/>
              </w:rPr>
              <w:t>Paperless billing</w:t>
            </w:r>
          </w:p>
        </w:tc>
        <w:tc>
          <w:tcPr>
            <w:tcW w:type="dxa" w:w="2477"/>
          </w:tcPr>
          <w:p>
            <w:pPr>
              <w:spacing w:after="20" w:before="20" w:line="254" w:lineRule="auto"/>
              <w:jc w:val="center"/>
            </w:pPr>
            <w:r>
              <w:rPr>
                <w:sz w:val="16"/>
              </w:rPr>
              <w:t>Yes</w:t>
            </w:r>
          </w:p>
        </w:tc>
        <w:tc>
          <w:tcPr>
            <w:tcW w:type="dxa" w:w="1296"/>
          </w:tcPr>
          <w:p>
            <w:pPr>
              <w:spacing w:after="20" w:before="20" w:line="254" w:lineRule="auto"/>
              <w:jc w:val="center"/>
            </w:pPr>
            <w:r>
              <w:rPr>
                <w:sz w:val="16"/>
              </w:rPr>
              <w:t>4 171</w:t>
            </w:r>
          </w:p>
        </w:tc>
        <w:tc>
          <w:tcPr>
            <w:tcW w:type="dxa" w:w="1512"/>
          </w:tcPr>
          <w:p>
            <w:pPr>
              <w:spacing w:after="20" w:before="20" w:line="254" w:lineRule="auto"/>
              <w:jc w:val="center"/>
            </w:pPr>
            <w:r>
              <w:rPr>
                <w:sz w:val="16"/>
              </w:rPr>
              <w:t>33.57 %</w:t>
            </w:r>
          </w:p>
        </w:tc>
        <w:tc>
          <w:tcPr>
            <w:tcW w:type="dxa" w:w="2419"/>
          </w:tcPr>
          <w:p>
            <w:pPr>
              <w:spacing w:after="20" w:before="20" w:line="254" w:lineRule="auto"/>
              <w:jc w:val="center"/>
            </w:pPr>
            <w:r>
              <w:rPr>
                <w:sz w:val="16"/>
              </w:rPr>
              <w:t>+7.03 pp</w:t>
            </w:r>
          </w:p>
        </w:tc>
      </w:tr>
      <w:tr>
        <w:tc>
          <w:tcPr>
            <w:tcW w:type="dxa" w:w="1613"/>
            <w:shd w:val="clear" w:color="auto" w:fill="F2F5F9"/>
          </w:tcPr>
          <w:p>
            <w:pPr>
              <w:spacing w:after="20" w:before="20" w:line="254" w:lineRule="auto"/>
              <w:jc w:val="left"/>
            </w:pPr>
            <w:r>
              <w:rPr>
                <w:sz w:val="16"/>
              </w:rPr>
            </w:r>
          </w:p>
        </w:tc>
        <w:tc>
          <w:tcPr>
            <w:tcW w:type="dxa" w:w="2477"/>
            <w:shd w:val="clear" w:color="auto" w:fill="F2F5F9"/>
          </w:tcPr>
          <w:p>
            <w:pPr>
              <w:spacing w:after="20" w:before="20" w:line="254" w:lineRule="auto"/>
              <w:jc w:val="center"/>
            </w:pPr>
            <w:r>
              <w:rPr>
                <w:sz w:val="16"/>
              </w:rPr>
              <w:t>No</w:t>
            </w:r>
          </w:p>
        </w:tc>
        <w:tc>
          <w:tcPr>
            <w:tcW w:type="dxa" w:w="1296"/>
            <w:shd w:val="clear" w:color="auto" w:fill="F2F5F9"/>
          </w:tcPr>
          <w:p>
            <w:pPr>
              <w:spacing w:after="20" w:before="20" w:line="254" w:lineRule="auto"/>
              <w:jc w:val="center"/>
            </w:pPr>
            <w:r>
              <w:rPr>
                <w:sz w:val="16"/>
              </w:rPr>
              <w:t>2 872</w:t>
            </w:r>
          </w:p>
        </w:tc>
        <w:tc>
          <w:tcPr>
            <w:tcW w:type="dxa" w:w="1512"/>
            <w:shd w:val="clear" w:color="auto" w:fill="F2F5F9"/>
          </w:tcPr>
          <w:p>
            <w:pPr>
              <w:spacing w:after="20" w:before="20" w:line="254" w:lineRule="auto"/>
              <w:jc w:val="center"/>
            </w:pPr>
            <w:r>
              <w:rPr>
                <w:sz w:val="16"/>
              </w:rPr>
              <w:t>16.33 %</w:t>
            </w:r>
          </w:p>
        </w:tc>
        <w:tc>
          <w:tcPr>
            <w:tcW w:type="dxa" w:w="2419"/>
            <w:shd w:val="clear" w:color="auto" w:fill="F2F5F9"/>
          </w:tcPr>
          <w:p>
            <w:pPr>
              <w:spacing w:after="20" w:before="20" w:line="254" w:lineRule="auto"/>
              <w:jc w:val="center"/>
            </w:pPr>
            <w:r>
              <w:rPr>
                <w:sz w:val="16"/>
              </w:rPr>
              <w:t>−10.21 pp</w:t>
            </w:r>
          </w:p>
        </w:tc>
      </w:tr>
      <w:tr>
        <w:tc>
          <w:tcPr>
            <w:tcW w:type="dxa" w:w="1613"/>
          </w:tcPr>
          <w:p>
            <w:pPr>
              <w:spacing w:after="20" w:before="20" w:line="254" w:lineRule="auto"/>
              <w:jc w:val="left"/>
            </w:pPr>
            <w:r>
              <w:rPr>
                <w:sz w:val="16"/>
              </w:rPr>
              <w:t>Dependents</w:t>
            </w:r>
          </w:p>
        </w:tc>
        <w:tc>
          <w:tcPr>
            <w:tcW w:type="dxa" w:w="2477"/>
          </w:tcPr>
          <w:p>
            <w:pPr>
              <w:spacing w:after="20" w:before="20" w:line="254" w:lineRule="auto"/>
              <w:jc w:val="center"/>
            </w:pPr>
            <w:r>
              <w:rPr>
                <w:sz w:val="16"/>
              </w:rPr>
              <w:t>No</w:t>
            </w:r>
          </w:p>
        </w:tc>
        <w:tc>
          <w:tcPr>
            <w:tcW w:type="dxa" w:w="1296"/>
          </w:tcPr>
          <w:p>
            <w:pPr>
              <w:spacing w:after="20" w:before="20" w:line="254" w:lineRule="auto"/>
              <w:jc w:val="center"/>
            </w:pPr>
            <w:r>
              <w:rPr>
                <w:sz w:val="16"/>
              </w:rPr>
              <w:t>4 933</w:t>
            </w:r>
          </w:p>
        </w:tc>
        <w:tc>
          <w:tcPr>
            <w:tcW w:type="dxa" w:w="1512"/>
          </w:tcPr>
          <w:p>
            <w:pPr>
              <w:spacing w:after="20" w:before="20" w:line="254" w:lineRule="auto"/>
              <w:jc w:val="center"/>
            </w:pPr>
            <w:r>
              <w:rPr>
                <w:sz w:val="16"/>
              </w:rPr>
              <w:t>31.28 %</w:t>
            </w:r>
          </w:p>
        </w:tc>
        <w:tc>
          <w:tcPr>
            <w:tcW w:type="dxa" w:w="2419"/>
          </w:tcPr>
          <w:p>
            <w:pPr>
              <w:spacing w:after="20" w:before="20" w:line="254" w:lineRule="auto"/>
              <w:jc w:val="center"/>
            </w:pPr>
            <w:r>
              <w:rPr>
                <w:sz w:val="16"/>
              </w:rPr>
              <w:t>+4.74 pp</w:t>
            </w:r>
          </w:p>
        </w:tc>
      </w:tr>
      <w:tr>
        <w:tc>
          <w:tcPr>
            <w:tcW w:type="dxa" w:w="1613"/>
            <w:shd w:val="clear" w:color="auto" w:fill="F2F5F9"/>
          </w:tcPr>
          <w:p>
            <w:pPr>
              <w:spacing w:after="20" w:before="20" w:line="254" w:lineRule="auto"/>
              <w:jc w:val="left"/>
            </w:pPr>
            <w:r>
              <w:rPr>
                <w:sz w:val="16"/>
              </w:rPr>
            </w:r>
          </w:p>
        </w:tc>
        <w:tc>
          <w:tcPr>
            <w:tcW w:type="dxa" w:w="2477"/>
            <w:shd w:val="clear" w:color="auto" w:fill="F2F5F9"/>
          </w:tcPr>
          <w:p>
            <w:pPr>
              <w:spacing w:after="20" w:before="20" w:line="254" w:lineRule="auto"/>
              <w:jc w:val="center"/>
            </w:pPr>
            <w:r>
              <w:rPr>
                <w:sz w:val="16"/>
              </w:rPr>
              <w:t>Yes</w:t>
            </w:r>
          </w:p>
        </w:tc>
        <w:tc>
          <w:tcPr>
            <w:tcW w:type="dxa" w:w="1296"/>
            <w:shd w:val="clear" w:color="auto" w:fill="F2F5F9"/>
          </w:tcPr>
          <w:p>
            <w:pPr>
              <w:spacing w:after="20" w:before="20" w:line="254" w:lineRule="auto"/>
              <w:jc w:val="center"/>
            </w:pPr>
            <w:r>
              <w:rPr>
                <w:sz w:val="16"/>
              </w:rPr>
              <w:t>2 110</w:t>
            </w:r>
          </w:p>
        </w:tc>
        <w:tc>
          <w:tcPr>
            <w:tcW w:type="dxa" w:w="1512"/>
            <w:shd w:val="clear" w:color="auto" w:fill="F2F5F9"/>
          </w:tcPr>
          <w:p>
            <w:pPr>
              <w:spacing w:after="20" w:before="20" w:line="254" w:lineRule="auto"/>
              <w:jc w:val="center"/>
            </w:pPr>
            <w:r>
              <w:rPr>
                <w:sz w:val="16"/>
              </w:rPr>
              <w:t>15.45 %</w:t>
            </w:r>
          </w:p>
        </w:tc>
        <w:tc>
          <w:tcPr>
            <w:tcW w:type="dxa" w:w="2419"/>
            <w:shd w:val="clear" w:color="auto" w:fill="F2F5F9"/>
          </w:tcPr>
          <w:p>
            <w:pPr>
              <w:spacing w:after="20" w:before="20" w:line="254" w:lineRule="auto"/>
              <w:jc w:val="center"/>
            </w:pPr>
            <w:r>
              <w:rPr>
                <w:sz w:val="16"/>
              </w:rPr>
              <w:t>−11.09 pp</w:t>
            </w:r>
          </w:p>
        </w:tc>
      </w:tr>
      <w:tr>
        <w:tc>
          <w:tcPr>
            <w:tcW w:type="dxa" w:w="1613"/>
          </w:tcPr>
          <w:p>
            <w:pPr>
              <w:spacing w:after="20" w:before="20" w:line="254" w:lineRule="auto"/>
              <w:jc w:val="left"/>
            </w:pPr>
            <w:r>
              <w:rPr>
                <w:sz w:val="16"/>
              </w:rPr>
              <w:t>Gender</w:t>
            </w:r>
          </w:p>
        </w:tc>
        <w:tc>
          <w:tcPr>
            <w:tcW w:type="dxa" w:w="2477"/>
          </w:tcPr>
          <w:p>
            <w:pPr>
              <w:spacing w:after="20" w:before="20" w:line="254" w:lineRule="auto"/>
              <w:jc w:val="center"/>
            </w:pPr>
            <w:r>
              <w:rPr>
                <w:sz w:val="16"/>
              </w:rPr>
              <w:t>Female</w:t>
            </w:r>
          </w:p>
        </w:tc>
        <w:tc>
          <w:tcPr>
            <w:tcW w:type="dxa" w:w="1296"/>
          </w:tcPr>
          <w:p>
            <w:pPr>
              <w:spacing w:after="20" w:before="20" w:line="254" w:lineRule="auto"/>
              <w:jc w:val="center"/>
            </w:pPr>
            <w:r>
              <w:rPr>
                <w:sz w:val="16"/>
              </w:rPr>
              <w:t>3 488</w:t>
            </w:r>
          </w:p>
        </w:tc>
        <w:tc>
          <w:tcPr>
            <w:tcW w:type="dxa" w:w="1512"/>
          </w:tcPr>
          <w:p>
            <w:pPr>
              <w:spacing w:after="20" w:before="20" w:line="254" w:lineRule="auto"/>
              <w:jc w:val="center"/>
            </w:pPr>
            <w:r>
              <w:rPr>
                <w:sz w:val="16"/>
              </w:rPr>
              <w:t>26.92 %</w:t>
            </w:r>
          </w:p>
        </w:tc>
        <w:tc>
          <w:tcPr>
            <w:tcW w:type="dxa" w:w="2419"/>
          </w:tcPr>
          <w:p>
            <w:pPr>
              <w:spacing w:after="20" w:before="20" w:line="254" w:lineRule="auto"/>
              <w:jc w:val="center"/>
            </w:pPr>
            <w:r>
              <w:rPr>
                <w:sz w:val="16"/>
              </w:rPr>
              <w:t>+0.38 pp</w:t>
            </w:r>
          </w:p>
        </w:tc>
      </w:tr>
      <w:tr>
        <w:tc>
          <w:tcPr>
            <w:tcW w:type="dxa" w:w="1613"/>
            <w:shd w:val="clear" w:color="auto" w:fill="F2F5F9"/>
          </w:tcPr>
          <w:p>
            <w:pPr>
              <w:spacing w:after="20" w:before="20" w:line="254" w:lineRule="auto"/>
              <w:jc w:val="left"/>
            </w:pPr>
            <w:r>
              <w:rPr>
                <w:sz w:val="16"/>
              </w:rPr>
            </w:r>
          </w:p>
        </w:tc>
        <w:tc>
          <w:tcPr>
            <w:tcW w:type="dxa" w:w="2477"/>
            <w:shd w:val="clear" w:color="auto" w:fill="F2F5F9"/>
          </w:tcPr>
          <w:p>
            <w:pPr>
              <w:spacing w:after="20" w:before="20" w:line="254" w:lineRule="auto"/>
              <w:jc w:val="center"/>
            </w:pPr>
            <w:r>
              <w:rPr>
                <w:sz w:val="16"/>
              </w:rPr>
              <w:t>Male</w:t>
            </w:r>
          </w:p>
        </w:tc>
        <w:tc>
          <w:tcPr>
            <w:tcW w:type="dxa" w:w="1296"/>
            <w:shd w:val="clear" w:color="auto" w:fill="F2F5F9"/>
          </w:tcPr>
          <w:p>
            <w:pPr>
              <w:spacing w:after="20" w:before="20" w:line="254" w:lineRule="auto"/>
              <w:jc w:val="center"/>
            </w:pPr>
            <w:r>
              <w:rPr>
                <w:sz w:val="16"/>
              </w:rPr>
              <w:t>3 555</w:t>
            </w:r>
          </w:p>
        </w:tc>
        <w:tc>
          <w:tcPr>
            <w:tcW w:type="dxa" w:w="1512"/>
            <w:shd w:val="clear" w:color="auto" w:fill="F2F5F9"/>
          </w:tcPr>
          <w:p>
            <w:pPr>
              <w:spacing w:after="20" w:before="20" w:line="254" w:lineRule="auto"/>
              <w:jc w:val="center"/>
            </w:pPr>
            <w:r>
              <w:rPr>
                <w:sz w:val="16"/>
              </w:rPr>
              <w:t>26.16 %</w:t>
            </w:r>
          </w:p>
        </w:tc>
        <w:tc>
          <w:tcPr>
            <w:tcW w:type="dxa" w:w="2419"/>
            <w:shd w:val="clear" w:color="auto" w:fill="F2F5F9"/>
          </w:tcPr>
          <w:p>
            <w:pPr>
              <w:spacing w:after="20" w:before="20" w:line="254" w:lineRule="auto"/>
              <w:jc w:val="center"/>
            </w:pPr>
            <w:r>
              <w:rPr>
                <w:sz w:val="16"/>
              </w:rPr>
              <w:t>−0.38 pp</w:t>
            </w:r>
          </w:p>
        </w:tc>
      </w:tr>
    </w:tbl>
    <w:p>
      <w:pPr>
        <w:spacing w:before="80" w:after="200"/>
        <w:jc w:val="center"/>
      </w:pPr>
      <w:r>
        <w:rPr>
          <w:i/>
          <w:color w:val="555F6B"/>
          <w:sz w:val="17"/>
        </w:rPr>
        <w:t>Table 15: Churn rate by attribute level, measured on the cleaned dataset. Lift is stated in percentage points against the 26.54 % base rate.</w:t>
      </w:r>
    </w:p>
    <w:p>
      <w:pPr>
        <w:spacing w:after="120" w:before="0"/>
        <w:jc w:val="both"/>
      </w:pPr>
      <w:r>
        <w:rPr>
          <w:b w:val="0"/>
          <w:i w:val="0"/>
          <w:sz w:val="21"/>
        </w:rPr>
        <w:t>The gender row is included deliberately, because a null result is as informative as a positive one. A 0.76-point difference across 7 043 records is indistinguishable from noise, which tells us churn in this business is driven by commercial structure — contract, payment mechanism, product mix — and not by demographics. Retention budget spent on demographic targeting would be wasted.</w:t>
      </w:r>
    </w:p>
    <w:p>
      <w:pPr>
        <w:keepNext/>
        <w:spacing w:before="120" w:after="60"/>
        <w:jc w:val="center"/>
      </w:pPr>
      <w:r>
        <w:drawing>
          <wp:inline xmlns:a="http://schemas.openxmlformats.org/drawingml/2006/main" xmlns:pic="http://schemas.openxmlformats.org/drawingml/2006/picture">
            <wp:extent cx="5074920" cy="2776843"/>
            <wp:docPr id="4" name="Picture 4"/>
            <wp:cNvGraphicFramePr>
              <a:graphicFrameLocks noChangeAspect="1"/>
            </wp:cNvGraphicFramePr>
            <a:graphic>
              <a:graphicData uri="http://schemas.openxmlformats.org/drawingml/2006/picture">
                <pic:pic>
                  <pic:nvPicPr>
                    <pic:cNvPr id="0" name="phase3_churn_by_contract.png"/>
                    <pic:cNvPicPr/>
                  </pic:nvPicPr>
                  <pic:blipFill>
                    <a:blip r:embed="rId12"/>
                    <a:stretch>
                      <a:fillRect/>
                    </a:stretch>
                  </pic:blipFill>
                  <pic:spPr>
                    <a:xfrm>
                      <a:off x="0" y="0"/>
                      <a:ext cx="5074920" cy="2776843"/>
                    </a:xfrm>
                    <a:prstGeom prst="rect"/>
                  </pic:spPr>
                </pic:pic>
              </a:graphicData>
            </a:graphic>
          </wp:inline>
        </w:drawing>
      </w:r>
    </w:p>
    <w:p>
      <w:pPr>
        <w:spacing w:after="220"/>
        <w:jc w:val="center"/>
      </w:pPr>
      <w:r>
        <w:rPr>
          <w:i/>
          <w:color w:val="555F6B"/>
          <w:sz w:val="17"/>
        </w:rPr>
        <w:t>Figure 4: Churn rate by contract type. A two-year contract reduces churn to roughly one-fifteenth of the month-to-month rate.</w:t>
      </w:r>
    </w:p>
    <w:p>
      <w:pPr>
        <w:keepNext/>
        <w:spacing w:before="120" w:after="60"/>
        <w:jc w:val="center"/>
      </w:pPr>
      <w:r>
        <w:drawing>
          <wp:inline xmlns:a="http://schemas.openxmlformats.org/drawingml/2006/main" xmlns:pic="http://schemas.openxmlformats.org/drawingml/2006/picture">
            <wp:extent cx="5074920" cy="2808639"/>
            <wp:docPr id="5" name="Picture 5"/>
            <wp:cNvGraphicFramePr>
              <a:graphicFrameLocks noChangeAspect="1"/>
            </wp:cNvGraphicFramePr>
            <a:graphic>
              <a:graphicData uri="http://schemas.openxmlformats.org/drawingml/2006/picture">
                <pic:pic>
                  <pic:nvPicPr>
                    <pic:cNvPr id="0" name="phase3_churn_by_payment_method.png"/>
                    <pic:cNvPicPr/>
                  </pic:nvPicPr>
                  <pic:blipFill>
                    <a:blip r:embed="rId13"/>
                    <a:stretch>
                      <a:fillRect/>
                    </a:stretch>
                  </pic:blipFill>
                  <pic:spPr>
                    <a:xfrm>
                      <a:off x="0" y="0"/>
                      <a:ext cx="5074920" cy="2808639"/>
                    </a:xfrm>
                    <a:prstGeom prst="rect"/>
                  </pic:spPr>
                </pic:pic>
              </a:graphicData>
            </a:graphic>
          </wp:inline>
        </w:drawing>
      </w:r>
    </w:p>
    <w:p>
      <w:pPr>
        <w:spacing w:after="220"/>
        <w:jc w:val="center"/>
      </w:pPr>
      <w:r>
        <w:rPr>
          <w:i/>
          <w:color w:val="555F6B"/>
          <w:sz w:val="17"/>
        </w:rPr>
        <w:t>Figure 5: Churn rate by payment method. Electronic check is the single highest-risk level of any attribute examined.</w:t>
      </w:r>
    </w:p>
    <w:p>
      <w:r>
        <w:br w:type="page"/>
      </w:r>
    </w:p>
    <w:p>
      <w:pPr>
        <w:keepNext/>
        <w:spacing w:before="120" w:after="60"/>
        <w:jc w:val="center"/>
      </w:pPr>
      <w:r>
        <w:drawing>
          <wp:inline xmlns:a="http://schemas.openxmlformats.org/drawingml/2006/main" xmlns:pic="http://schemas.openxmlformats.org/drawingml/2006/picture">
            <wp:extent cx="4892040" cy="2676777"/>
            <wp:docPr id="6" name="Picture 6"/>
            <wp:cNvGraphicFramePr>
              <a:graphicFrameLocks noChangeAspect="1"/>
            </wp:cNvGraphicFramePr>
            <a:graphic>
              <a:graphicData uri="http://schemas.openxmlformats.org/drawingml/2006/picture">
                <pic:pic>
                  <pic:nvPicPr>
                    <pic:cNvPr id="0" name="phase3_churn_by_internet_service.png"/>
                    <pic:cNvPicPr/>
                  </pic:nvPicPr>
                  <pic:blipFill>
                    <a:blip r:embed="rId14"/>
                    <a:stretch>
                      <a:fillRect/>
                    </a:stretch>
                  </pic:blipFill>
                  <pic:spPr>
                    <a:xfrm>
                      <a:off x="0" y="0"/>
                      <a:ext cx="4892040" cy="2676777"/>
                    </a:xfrm>
                    <a:prstGeom prst="rect"/>
                  </pic:spPr>
                </pic:pic>
              </a:graphicData>
            </a:graphic>
          </wp:inline>
        </w:drawing>
      </w:r>
    </w:p>
    <w:p>
      <w:pPr>
        <w:spacing w:after="220"/>
        <w:jc w:val="center"/>
      </w:pPr>
      <w:r>
        <w:rPr>
          <w:i/>
          <w:color w:val="555F6B"/>
          <w:sz w:val="17"/>
        </w:rPr>
        <w:t>Figure 6: Churn rate by internet service. Fibre-optic subscribers churn at more than twice the DSL rate.</w:t>
      </w:r>
    </w:p>
    <w:p>
      <w:pPr>
        <w:keepNext/>
        <w:spacing w:before="120" w:after="60"/>
        <w:jc w:val="center"/>
      </w:pPr>
      <w:r>
        <w:drawing>
          <wp:inline xmlns:a="http://schemas.openxmlformats.org/drawingml/2006/main" xmlns:pic="http://schemas.openxmlformats.org/drawingml/2006/picture">
            <wp:extent cx="4892040" cy="2676777"/>
            <wp:docPr id="7" name="Picture 7"/>
            <wp:cNvGraphicFramePr>
              <a:graphicFrameLocks noChangeAspect="1"/>
            </wp:cNvGraphicFramePr>
            <a:graphic>
              <a:graphicData uri="http://schemas.openxmlformats.org/drawingml/2006/picture">
                <pic:pic>
                  <pic:nvPicPr>
                    <pic:cNvPr id="0" name="phase3_churn_by_tech_support.png"/>
                    <pic:cNvPicPr/>
                  </pic:nvPicPr>
                  <pic:blipFill>
                    <a:blip r:embed="rId15"/>
                    <a:stretch>
                      <a:fillRect/>
                    </a:stretch>
                  </pic:blipFill>
                  <pic:spPr>
                    <a:xfrm>
                      <a:off x="0" y="0"/>
                      <a:ext cx="4892040" cy="2676777"/>
                    </a:xfrm>
                    <a:prstGeom prst="rect"/>
                  </pic:spPr>
                </pic:pic>
              </a:graphicData>
            </a:graphic>
          </wp:inline>
        </w:drawing>
      </w:r>
    </w:p>
    <w:p>
      <w:pPr>
        <w:spacing w:after="220"/>
        <w:jc w:val="center"/>
      </w:pPr>
      <w:r>
        <w:rPr>
          <w:i/>
          <w:color w:val="555F6B"/>
          <w:sz w:val="17"/>
        </w:rPr>
        <w:t>Figure 7: Churn rate by tech-support subscription. Adoption halves the observed churn rate.</w:t>
      </w:r>
    </w:p>
    <w:p>
      <w:pPr>
        <w:keepNext/>
        <w:spacing w:before="120" w:after="60"/>
        <w:jc w:val="center"/>
      </w:pPr>
      <w:r>
        <w:drawing>
          <wp:inline xmlns:a="http://schemas.openxmlformats.org/drawingml/2006/main" xmlns:pic="http://schemas.openxmlformats.org/drawingml/2006/picture">
            <wp:extent cx="4892040" cy="2676777"/>
            <wp:docPr id="8" name="Picture 8"/>
            <wp:cNvGraphicFramePr>
              <a:graphicFrameLocks noChangeAspect="1"/>
            </wp:cNvGraphicFramePr>
            <a:graphic>
              <a:graphicData uri="http://schemas.openxmlformats.org/drawingml/2006/picture">
                <pic:pic>
                  <pic:nvPicPr>
                    <pic:cNvPr id="0" name="phase3_churn_by_senior_citizen.png"/>
                    <pic:cNvPicPr/>
                  </pic:nvPicPr>
                  <pic:blipFill>
                    <a:blip r:embed="rId16"/>
                    <a:stretch>
                      <a:fillRect/>
                    </a:stretch>
                  </pic:blipFill>
                  <pic:spPr>
                    <a:xfrm>
                      <a:off x="0" y="0"/>
                      <a:ext cx="4892040" cy="2676777"/>
                    </a:xfrm>
                    <a:prstGeom prst="rect"/>
                  </pic:spPr>
                </pic:pic>
              </a:graphicData>
            </a:graphic>
          </wp:inline>
        </w:drawing>
      </w:r>
    </w:p>
    <w:p>
      <w:pPr>
        <w:spacing w:after="220"/>
        <w:jc w:val="center"/>
      </w:pPr>
      <w:r>
        <w:rPr>
          <w:i/>
          <w:color w:val="555F6B"/>
          <w:sz w:val="17"/>
        </w:rPr>
        <w:t>Figure 8: Churn rate by senior-citizen status.</w:t>
      </w:r>
    </w:p>
    <w:p>
      <w:r>
        <w:br w:type="page"/>
      </w:r>
    </w:p>
    <w:p>
      <w:pPr>
        <w:keepNext/>
        <w:spacing w:before="240" w:after="80"/>
      </w:pPr>
      <w:r>
        <w:rPr>
          <w:rFonts w:ascii="Calibri" w:hAnsi="Calibri"/>
          <w:b/>
          <w:color w:val="1B355E"/>
          <w:sz w:val="25"/>
        </w:rPr>
        <w:t>8.5  Results: correlation structure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736"/>
        <w:gridCol w:w="1368"/>
        <w:gridCol w:w="5212"/>
      </w:tblGrid>
      <w:tr>
        <w:tc>
          <w:tcPr>
            <w:tcW w:type="dxa" w:w="2736"/>
            <w:shd w:val="clear" w:color="auto" w:fill="1B355E"/>
          </w:tcPr>
          <w:p>
            <w:pPr>
              <w:spacing w:after="20" w:before="20"/>
              <w:jc w:val="center"/>
            </w:pPr>
            <w:r>
              <w:rPr>
                <w:b/>
                <w:color w:val="FFFFFF"/>
                <w:sz w:val="17"/>
              </w:rPr>
              <w:t>Variable pair</w:t>
            </w:r>
          </w:p>
        </w:tc>
        <w:tc>
          <w:tcPr>
            <w:tcW w:type="dxa" w:w="1368"/>
            <w:shd w:val="clear" w:color="auto" w:fill="1B355E"/>
          </w:tcPr>
          <w:p>
            <w:pPr>
              <w:spacing w:after="20" w:before="20"/>
              <w:jc w:val="center"/>
            </w:pPr>
            <w:r>
              <w:rPr>
                <w:b/>
                <w:color w:val="FFFFFF"/>
                <w:sz w:val="17"/>
              </w:rPr>
              <w:t>Pearson r</w:t>
            </w:r>
          </w:p>
        </w:tc>
        <w:tc>
          <w:tcPr>
            <w:tcW w:type="dxa" w:w="5213"/>
            <w:shd w:val="clear" w:color="auto" w:fill="1B355E"/>
          </w:tcPr>
          <w:p>
            <w:pPr>
              <w:spacing w:after="20" w:before="20"/>
              <w:jc w:val="center"/>
            </w:pPr>
            <w:r>
              <w:rPr>
                <w:b/>
                <w:color w:val="FFFFFF"/>
                <w:sz w:val="17"/>
              </w:rPr>
              <w:t>Reading</w:t>
            </w:r>
          </w:p>
        </w:tc>
      </w:tr>
      <w:tr>
        <w:tc>
          <w:tcPr>
            <w:tcW w:type="dxa" w:w="2736"/>
          </w:tcPr>
          <w:p>
            <w:pPr>
              <w:spacing w:after="20" w:before="20" w:line="254" w:lineRule="auto"/>
              <w:jc w:val="left"/>
            </w:pPr>
            <w:r>
              <w:rPr>
                <w:rFonts w:ascii="Consolas" w:hAnsi="Consolas" w:eastAsia="Consolas"/>
                <w:color w:val="8A2C1F"/>
                <w:sz w:val="15"/>
              </w:rPr>
              <w:t>tenure</w:t>
            </w:r>
            <w:r>
              <w:rPr>
                <w:sz w:val="16"/>
              </w:rPr>
              <w:t xml:space="preserve"> ↔ </w:t>
            </w:r>
            <w:r>
              <w:rPr>
                <w:rFonts w:ascii="Consolas" w:hAnsi="Consolas" w:eastAsia="Consolas"/>
                <w:color w:val="8A2C1F"/>
                <w:sz w:val="15"/>
              </w:rPr>
              <w:t>ChurnFlag</w:t>
            </w:r>
          </w:p>
        </w:tc>
        <w:tc>
          <w:tcPr>
            <w:tcW w:type="dxa" w:w="1368"/>
          </w:tcPr>
          <w:p>
            <w:pPr>
              <w:spacing w:after="20" w:before="20" w:line="254" w:lineRule="auto"/>
              <w:jc w:val="center"/>
            </w:pPr>
            <w:r>
              <w:rPr>
                <w:b/>
                <w:sz w:val="16"/>
              </w:rPr>
              <w:t>−0.352</w:t>
            </w:r>
          </w:p>
        </w:tc>
        <w:tc>
          <w:tcPr>
            <w:tcW w:type="dxa" w:w="5213"/>
          </w:tcPr>
          <w:p>
            <w:pPr>
              <w:spacing w:after="20" w:before="20" w:line="254" w:lineRule="auto"/>
              <w:jc w:val="left"/>
            </w:pPr>
            <w:r>
              <w:rPr>
                <w:sz w:val="16"/>
              </w:rPr>
              <w:t>the strongest single linear signal; longer relationships churn less</w:t>
            </w:r>
          </w:p>
        </w:tc>
      </w:tr>
      <w:tr>
        <w:tc>
          <w:tcPr>
            <w:tcW w:type="dxa" w:w="2736"/>
            <w:shd w:val="clear" w:color="auto" w:fill="F2F5F9"/>
          </w:tcPr>
          <w:p>
            <w:pPr>
              <w:spacing w:after="20" w:before="20" w:line="254" w:lineRule="auto"/>
              <w:jc w:val="left"/>
            </w:pPr>
            <w:r>
              <w:rPr>
                <w:rFonts w:ascii="Consolas" w:hAnsi="Consolas" w:eastAsia="Consolas"/>
                <w:color w:val="8A2C1F"/>
                <w:sz w:val="15"/>
              </w:rPr>
              <w:t>TotalCharges</w:t>
            </w:r>
            <w:r>
              <w:rPr>
                <w:sz w:val="16"/>
              </w:rPr>
              <w:t xml:space="preserve"> ↔ </w:t>
            </w:r>
            <w:r>
              <w:rPr>
                <w:rFonts w:ascii="Consolas" w:hAnsi="Consolas" w:eastAsia="Consolas"/>
                <w:color w:val="8A2C1F"/>
                <w:sz w:val="15"/>
              </w:rPr>
              <w:t>ChurnFlag</w:t>
            </w:r>
          </w:p>
        </w:tc>
        <w:tc>
          <w:tcPr>
            <w:tcW w:type="dxa" w:w="1368"/>
            <w:shd w:val="clear" w:color="auto" w:fill="F2F5F9"/>
          </w:tcPr>
          <w:p>
            <w:pPr>
              <w:spacing w:after="20" w:before="20" w:line="254" w:lineRule="auto"/>
              <w:jc w:val="center"/>
            </w:pPr>
            <w:r>
              <w:rPr>
                <w:sz w:val="16"/>
              </w:rPr>
              <w:t>−0.198</w:t>
            </w:r>
          </w:p>
        </w:tc>
        <w:tc>
          <w:tcPr>
            <w:tcW w:type="dxa" w:w="5213"/>
            <w:shd w:val="clear" w:color="auto" w:fill="F2F5F9"/>
          </w:tcPr>
          <w:p>
            <w:pPr>
              <w:spacing w:after="20" w:before="20" w:line="254" w:lineRule="auto"/>
              <w:jc w:val="left"/>
            </w:pPr>
            <w:r>
              <w:rPr>
                <w:sz w:val="16"/>
              </w:rPr>
              <w:t>accumulated spend is a proxy for tenure, not an independent driver</w:t>
            </w:r>
          </w:p>
        </w:tc>
      </w:tr>
      <w:tr>
        <w:tc>
          <w:tcPr>
            <w:tcW w:type="dxa" w:w="2736"/>
          </w:tcPr>
          <w:p>
            <w:pPr>
              <w:spacing w:after="20" w:before="20" w:line="254" w:lineRule="auto"/>
              <w:jc w:val="left"/>
            </w:pPr>
            <w:r>
              <w:rPr>
                <w:rFonts w:ascii="Consolas" w:hAnsi="Consolas" w:eastAsia="Consolas"/>
                <w:color w:val="8A2C1F"/>
                <w:sz w:val="15"/>
              </w:rPr>
              <w:t>MonthlyCharges</w:t>
            </w:r>
            <w:r>
              <w:rPr>
                <w:sz w:val="16"/>
              </w:rPr>
              <w:t xml:space="preserve"> ↔ </w:t>
            </w:r>
            <w:r>
              <w:rPr>
                <w:rFonts w:ascii="Consolas" w:hAnsi="Consolas" w:eastAsia="Consolas"/>
                <w:color w:val="8A2C1F"/>
                <w:sz w:val="15"/>
              </w:rPr>
              <w:t>ChurnFlag</w:t>
            </w:r>
          </w:p>
        </w:tc>
        <w:tc>
          <w:tcPr>
            <w:tcW w:type="dxa" w:w="1368"/>
          </w:tcPr>
          <w:p>
            <w:pPr>
              <w:spacing w:after="20" w:before="20" w:line="254" w:lineRule="auto"/>
              <w:jc w:val="center"/>
            </w:pPr>
            <w:r>
              <w:rPr>
                <w:sz w:val="16"/>
              </w:rPr>
              <w:t>+0.193</w:t>
            </w:r>
          </w:p>
        </w:tc>
        <w:tc>
          <w:tcPr>
            <w:tcW w:type="dxa" w:w="5213"/>
          </w:tcPr>
          <w:p>
            <w:pPr>
              <w:spacing w:after="20" w:before="20" w:line="254" w:lineRule="auto"/>
              <w:jc w:val="left"/>
            </w:pPr>
            <w:r>
              <w:rPr>
                <w:sz w:val="16"/>
              </w:rPr>
              <w:t>higher recurring price raises risk</w:t>
            </w:r>
          </w:p>
        </w:tc>
      </w:tr>
      <w:tr>
        <w:tc>
          <w:tcPr>
            <w:tcW w:type="dxa" w:w="2736"/>
            <w:shd w:val="clear" w:color="auto" w:fill="F2F5F9"/>
          </w:tcPr>
          <w:p>
            <w:pPr>
              <w:spacing w:after="20" w:before="20" w:line="254" w:lineRule="auto"/>
              <w:jc w:val="left"/>
            </w:pPr>
            <w:r>
              <w:rPr>
                <w:rFonts w:ascii="Consolas" w:hAnsi="Consolas" w:eastAsia="Consolas"/>
                <w:color w:val="8A2C1F"/>
                <w:sz w:val="15"/>
              </w:rPr>
              <w:t>SeniorCitizen</w:t>
            </w:r>
            <w:r>
              <w:rPr>
                <w:sz w:val="16"/>
              </w:rPr>
              <w:t xml:space="preserve"> ↔ </w:t>
            </w:r>
            <w:r>
              <w:rPr>
                <w:rFonts w:ascii="Consolas" w:hAnsi="Consolas" w:eastAsia="Consolas"/>
                <w:color w:val="8A2C1F"/>
                <w:sz w:val="15"/>
              </w:rPr>
              <w:t>ChurnFlag</w:t>
            </w:r>
          </w:p>
        </w:tc>
        <w:tc>
          <w:tcPr>
            <w:tcW w:type="dxa" w:w="1368"/>
            <w:shd w:val="clear" w:color="auto" w:fill="F2F5F9"/>
          </w:tcPr>
          <w:p>
            <w:pPr>
              <w:spacing w:after="20" w:before="20" w:line="254" w:lineRule="auto"/>
              <w:jc w:val="center"/>
            </w:pPr>
            <w:r>
              <w:rPr>
                <w:sz w:val="16"/>
              </w:rPr>
              <w:t>+0.151</w:t>
            </w:r>
          </w:p>
        </w:tc>
        <w:tc>
          <w:tcPr>
            <w:tcW w:type="dxa" w:w="5213"/>
            <w:shd w:val="clear" w:color="auto" w:fill="F2F5F9"/>
          </w:tcPr>
          <w:p>
            <w:pPr>
              <w:spacing w:after="20" w:before="20" w:line="254" w:lineRule="auto"/>
              <w:jc w:val="left"/>
            </w:pPr>
            <w:r>
              <w:rPr>
                <w:sz w:val="16"/>
              </w:rPr>
              <w:t>consistent with the 41.68 % rate in Table 15</w:t>
            </w:r>
          </w:p>
        </w:tc>
      </w:tr>
      <w:tr>
        <w:tc>
          <w:tcPr>
            <w:tcW w:type="dxa" w:w="2736"/>
          </w:tcPr>
          <w:p>
            <w:pPr>
              <w:spacing w:after="20" w:before="20" w:line="254" w:lineRule="auto"/>
              <w:jc w:val="left"/>
            </w:pPr>
            <w:r>
              <w:rPr>
                <w:rFonts w:ascii="Consolas" w:hAnsi="Consolas" w:eastAsia="Consolas"/>
                <w:color w:val="8A2C1F"/>
                <w:sz w:val="15"/>
              </w:rPr>
              <w:t>tenure</w:t>
            </w:r>
            <w:r>
              <w:rPr>
                <w:sz w:val="16"/>
              </w:rPr>
              <w:t xml:space="preserve"> ↔ </w:t>
            </w:r>
            <w:r>
              <w:rPr>
                <w:rFonts w:ascii="Consolas" w:hAnsi="Consolas" w:eastAsia="Consolas"/>
                <w:color w:val="8A2C1F"/>
                <w:sz w:val="15"/>
              </w:rPr>
              <w:t>TotalCharges</w:t>
            </w:r>
          </w:p>
        </w:tc>
        <w:tc>
          <w:tcPr>
            <w:tcW w:type="dxa" w:w="1368"/>
          </w:tcPr>
          <w:p>
            <w:pPr>
              <w:spacing w:after="20" w:before="20" w:line="254" w:lineRule="auto"/>
              <w:jc w:val="center"/>
            </w:pPr>
            <w:r>
              <w:rPr>
                <w:b/>
                <w:sz w:val="16"/>
              </w:rPr>
              <w:t>+0.826</w:t>
            </w:r>
          </w:p>
        </w:tc>
        <w:tc>
          <w:tcPr>
            <w:tcW w:type="dxa" w:w="5213"/>
          </w:tcPr>
          <w:p>
            <w:pPr>
              <w:spacing w:after="20" w:before="20" w:line="254" w:lineRule="auto"/>
              <w:jc w:val="left"/>
            </w:pPr>
            <w:r>
              <w:rPr>
                <w:sz w:val="16"/>
              </w:rPr>
              <w:t>near-collinear by construction; both encode relationship length</w:t>
            </w:r>
          </w:p>
        </w:tc>
      </w:tr>
      <w:tr>
        <w:tc>
          <w:tcPr>
            <w:tcW w:type="dxa" w:w="2736"/>
            <w:shd w:val="clear" w:color="auto" w:fill="F2F5F9"/>
          </w:tcPr>
          <w:p>
            <w:pPr>
              <w:spacing w:after="20" w:before="20" w:line="254" w:lineRule="auto"/>
              <w:jc w:val="left"/>
            </w:pPr>
            <w:r>
              <w:rPr>
                <w:rFonts w:ascii="Consolas" w:hAnsi="Consolas" w:eastAsia="Consolas"/>
                <w:color w:val="8A2C1F"/>
                <w:sz w:val="15"/>
              </w:rPr>
              <w:t>MonthlyCharges</w:t>
            </w:r>
            <w:r>
              <w:rPr>
                <w:sz w:val="16"/>
              </w:rPr>
              <w:t xml:space="preserve"> ↔ </w:t>
            </w:r>
            <w:r>
              <w:rPr>
                <w:rFonts w:ascii="Consolas" w:hAnsi="Consolas" w:eastAsia="Consolas"/>
                <w:color w:val="8A2C1F"/>
                <w:sz w:val="15"/>
              </w:rPr>
              <w:t>TotalCharges</w:t>
            </w:r>
          </w:p>
        </w:tc>
        <w:tc>
          <w:tcPr>
            <w:tcW w:type="dxa" w:w="1368"/>
            <w:shd w:val="clear" w:color="auto" w:fill="F2F5F9"/>
          </w:tcPr>
          <w:p>
            <w:pPr>
              <w:spacing w:after="20" w:before="20" w:line="254" w:lineRule="auto"/>
              <w:jc w:val="center"/>
            </w:pPr>
            <w:r>
              <w:rPr>
                <w:sz w:val="16"/>
              </w:rPr>
              <w:t>+0.651</w:t>
            </w:r>
          </w:p>
        </w:tc>
        <w:tc>
          <w:tcPr>
            <w:tcW w:type="dxa" w:w="5213"/>
            <w:shd w:val="clear" w:color="auto" w:fill="F2F5F9"/>
          </w:tcPr>
          <w:p>
            <w:pPr>
              <w:spacing w:after="20" w:before="20" w:line="254" w:lineRule="auto"/>
              <w:jc w:val="left"/>
            </w:pPr>
            <w:r>
              <w:rPr>
                <w:sz w:val="16"/>
              </w:rPr>
              <w:t>expected, since total is the product of rate and duration</w:t>
            </w:r>
          </w:p>
        </w:tc>
      </w:tr>
    </w:tbl>
    <w:p>
      <w:pPr>
        <w:spacing w:before="80" w:after="200"/>
        <w:jc w:val="center"/>
      </w:pPr>
      <w:r>
        <w:rPr>
          <w:i/>
          <w:color w:val="555F6B"/>
          <w:sz w:val="17"/>
        </w:rPr>
        <w:t>Table 16: Pearson correlations among the numeric attributes and the churn flag.</w:t>
      </w:r>
    </w:p>
    <w:p>
      <w:pPr>
        <w:keepNext/>
        <w:spacing w:before="120" w:after="60"/>
        <w:jc w:val="center"/>
      </w:pPr>
      <w:r>
        <w:drawing>
          <wp:inline xmlns:a="http://schemas.openxmlformats.org/drawingml/2006/main" xmlns:pic="http://schemas.openxmlformats.org/drawingml/2006/picture">
            <wp:extent cx="4617720" cy="4045438"/>
            <wp:docPr id="9" name="Picture 9"/>
            <wp:cNvGraphicFramePr>
              <a:graphicFrameLocks noChangeAspect="1"/>
            </wp:cNvGraphicFramePr>
            <a:graphic>
              <a:graphicData uri="http://schemas.openxmlformats.org/drawingml/2006/picture">
                <pic:pic>
                  <pic:nvPicPr>
                    <pic:cNvPr id="0" name="phase3_correlation_heatmap.png"/>
                    <pic:cNvPicPr/>
                  </pic:nvPicPr>
                  <pic:blipFill>
                    <a:blip r:embed="rId17"/>
                    <a:stretch>
                      <a:fillRect/>
                    </a:stretch>
                  </pic:blipFill>
                  <pic:spPr>
                    <a:xfrm>
                      <a:off x="0" y="0"/>
                      <a:ext cx="4617720" cy="4045438"/>
                    </a:xfrm>
                    <a:prstGeom prst="rect"/>
                  </pic:spPr>
                </pic:pic>
              </a:graphicData>
            </a:graphic>
          </wp:inline>
        </w:drawing>
      </w:r>
    </w:p>
    <w:p>
      <w:pPr>
        <w:spacing w:after="220"/>
        <w:jc w:val="center"/>
      </w:pPr>
      <w:r>
        <w:rPr>
          <w:i/>
          <w:color w:val="555F6B"/>
          <w:sz w:val="17"/>
        </w:rPr>
        <w:t>Figure 9: Correlation heat map of the numeric attributes.</w:t>
      </w:r>
    </w:p>
    <w:p>
      <w:pPr>
        <w:spacing w:after="120"/>
        <w:jc w:val="both"/>
      </w:pPr>
      <w:r>
        <w:rPr>
          <w:sz w:val="21"/>
        </w:rPr>
        <w:t xml:space="preserve">The 0.826 correlation between tenure and TotalCharges is the finding with the most practical consequence. The two variables are close to collinear because total charges are, almost by definition, monthly charges multiplied by tenure. For the tree-based models this is harmless — they will simply split on whichever variable is more convenient — but for Logistic Regression it inflates the standard errors of both coefficients and makes their individual magnitudes unreliable. The phase 6 implementation mitigates this with an </w:t>
      </w:r>
      <w:r>
        <w:rPr>
          <w:b/>
          <w:sz w:val="21"/>
        </w:rPr>
        <w:t>L2 penalty</w:t>
      </w:r>
      <w:r>
        <w:rPr>
          <w:sz w:val="21"/>
        </w:rPr>
        <w:t>, which shrinks correlated coefficients toward one another rather than letting one dominate arbitrarily.</w:t>
      </w:r>
    </w:p>
    <w:p>
      <w:r>
        <w:br w:type="page"/>
      </w:r>
    </w:p>
    <w:p>
      <w:pPr>
        <w:keepNext/>
        <w:spacing w:before="240" w:after="80"/>
      </w:pPr>
      <w:r>
        <w:rPr>
          <w:rFonts w:ascii="Calibri" w:hAnsi="Calibri"/>
          <w:b/>
          <w:color w:val="1B355E"/>
          <w:sz w:val="25"/>
        </w:rPr>
        <w:t>8.6  Results: behavioural and cohort analysis</w:t>
      </w:r>
    </w:p>
    <w:p>
      <w:pPr>
        <w:keepNext/>
        <w:spacing w:before="120" w:after="60"/>
        <w:jc w:val="center"/>
      </w:pPr>
      <w:r>
        <w:drawing>
          <wp:inline xmlns:a="http://schemas.openxmlformats.org/drawingml/2006/main" xmlns:pic="http://schemas.openxmlformats.org/drawingml/2006/picture">
            <wp:extent cx="5349240" cy="3173278"/>
            <wp:docPr id="10" name="Picture 10"/>
            <wp:cNvGraphicFramePr>
              <a:graphicFrameLocks noChangeAspect="1"/>
            </wp:cNvGraphicFramePr>
            <a:graphic>
              <a:graphicData uri="http://schemas.openxmlformats.org/drawingml/2006/picture">
                <pic:pic>
                  <pic:nvPicPr>
                    <pic:cNvPr id="0" name="phase3_tenure_monthlycharges_churn.png"/>
                    <pic:cNvPicPr/>
                  </pic:nvPicPr>
                  <pic:blipFill>
                    <a:blip r:embed="rId18"/>
                    <a:stretch>
                      <a:fillRect/>
                    </a:stretch>
                  </pic:blipFill>
                  <pic:spPr>
                    <a:xfrm>
                      <a:off x="0" y="0"/>
                      <a:ext cx="5349240" cy="3173278"/>
                    </a:xfrm>
                    <a:prstGeom prst="rect"/>
                  </pic:spPr>
                </pic:pic>
              </a:graphicData>
            </a:graphic>
          </wp:inline>
        </w:drawing>
      </w:r>
    </w:p>
    <w:p>
      <w:pPr>
        <w:spacing w:after="220"/>
        <w:jc w:val="center"/>
      </w:pPr>
      <w:r>
        <w:rPr>
          <w:i/>
          <w:color w:val="555F6B"/>
          <w:sz w:val="17"/>
        </w:rPr>
        <w:t>Figure 10: Tenure against monthly charges, coloured by churn outcome. The dense red region in the upper-left quadrant identifies new, high-paying customers.</w:t>
      </w:r>
    </w:p>
    <w:p>
      <w:pPr>
        <w:spacing w:after="120" w:before="0"/>
        <w:jc w:val="both"/>
      </w:pPr>
      <w:r>
        <w:rPr>
          <w:b w:val="0"/>
          <w:i w:val="0"/>
          <w:sz w:val="21"/>
        </w:rPr>
        <w:t>This scatter is the most operationally useful chart phase 3 produces. Churned customers concentrate visibly in the upper-left region — short tenure combined with high monthly charges. That combination is exactly the profile of a customer who has recently signed up for an expensive bundle and has not yet accumulated any reason to stay. It is also, as Section 10.4 shows, the profile that K-Means isolates without being told anything about churn.</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584"/>
        <w:gridCol w:w="1296"/>
        <w:gridCol w:w="1468"/>
        <w:gridCol w:w="1411"/>
        <w:gridCol w:w="3556"/>
      </w:tblGrid>
      <w:tr>
        <w:tc>
          <w:tcPr>
            <w:tcW w:type="dxa" w:w="1584"/>
            <w:shd w:val="clear" w:color="auto" w:fill="1B355E"/>
          </w:tcPr>
          <w:p>
            <w:pPr>
              <w:spacing w:after="20" w:before="20"/>
              <w:jc w:val="center"/>
            </w:pPr>
            <w:r>
              <w:rPr>
                <w:b/>
                <w:color w:val="FFFFFF"/>
                <w:sz w:val="17"/>
              </w:rPr>
              <w:t>Tenure band</w:t>
            </w:r>
          </w:p>
        </w:tc>
        <w:tc>
          <w:tcPr>
            <w:tcW w:type="dxa" w:w="1296"/>
            <w:shd w:val="clear" w:color="auto" w:fill="1B355E"/>
          </w:tcPr>
          <w:p>
            <w:pPr>
              <w:spacing w:after="20" w:before="20"/>
              <w:jc w:val="center"/>
            </w:pPr>
            <w:r>
              <w:rPr>
                <w:b/>
                <w:color w:val="FFFFFF"/>
                <w:sz w:val="17"/>
              </w:rPr>
              <w:t>Customers</w:t>
            </w:r>
          </w:p>
        </w:tc>
        <w:tc>
          <w:tcPr>
            <w:tcW w:type="dxa" w:w="1469"/>
            <w:shd w:val="clear" w:color="auto" w:fill="1B355E"/>
          </w:tcPr>
          <w:p>
            <w:pPr>
              <w:spacing w:after="20" w:before="20"/>
              <w:jc w:val="center"/>
            </w:pPr>
            <w:r>
              <w:rPr>
                <w:b/>
                <w:color w:val="FFFFFF"/>
                <w:sz w:val="17"/>
              </w:rPr>
              <w:t>Share of base</w:t>
            </w:r>
          </w:p>
        </w:tc>
        <w:tc>
          <w:tcPr>
            <w:tcW w:type="dxa" w:w="1411"/>
            <w:shd w:val="clear" w:color="auto" w:fill="1B355E"/>
          </w:tcPr>
          <w:p>
            <w:pPr>
              <w:spacing w:after="20" w:before="20"/>
              <w:jc w:val="center"/>
            </w:pPr>
            <w:r>
              <w:rPr>
                <w:b/>
                <w:color w:val="FFFFFF"/>
                <w:sz w:val="17"/>
              </w:rPr>
              <w:t>Churn rate</w:t>
            </w:r>
          </w:p>
        </w:tc>
        <w:tc>
          <w:tcPr>
            <w:tcW w:type="dxa" w:w="3557"/>
            <w:shd w:val="clear" w:color="auto" w:fill="1B355E"/>
          </w:tcPr>
          <w:p>
            <w:pPr>
              <w:spacing w:after="20" w:before="20"/>
              <w:jc w:val="center"/>
            </w:pPr>
            <w:r>
              <w:rPr>
                <w:b/>
                <w:color w:val="FFFFFF"/>
                <w:sz w:val="17"/>
              </w:rPr>
              <w:t>Reading</w:t>
            </w:r>
          </w:p>
        </w:tc>
      </w:tr>
      <w:tr>
        <w:tc>
          <w:tcPr>
            <w:tcW w:type="dxa" w:w="1584"/>
          </w:tcPr>
          <w:p>
            <w:pPr>
              <w:spacing w:after="20" w:before="20" w:line="254" w:lineRule="auto"/>
              <w:jc w:val="left"/>
            </w:pPr>
            <w:r>
              <w:rPr>
                <w:sz w:val="16"/>
              </w:rPr>
              <w:t>0-6 months</w:t>
            </w:r>
          </w:p>
        </w:tc>
        <w:tc>
          <w:tcPr>
            <w:tcW w:type="dxa" w:w="1296"/>
          </w:tcPr>
          <w:p>
            <w:pPr>
              <w:spacing w:after="20" w:before="20" w:line="254" w:lineRule="auto"/>
              <w:jc w:val="center"/>
            </w:pPr>
            <w:r>
              <w:rPr>
                <w:sz w:val="16"/>
              </w:rPr>
              <w:t>1 481</w:t>
            </w:r>
          </w:p>
        </w:tc>
        <w:tc>
          <w:tcPr>
            <w:tcW w:type="dxa" w:w="1469"/>
          </w:tcPr>
          <w:p>
            <w:pPr>
              <w:spacing w:after="20" w:before="20" w:line="254" w:lineRule="auto"/>
              <w:jc w:val="center"/>
            </w:pPr>
            <w:r>
              <w:rPr>
                <w:sz w:val="16"/>
              </w:rPr>
              <w:t>21.03 %</w:t>
            </w:r>
          </w:p>
        </w:tc>
        <w:tc>
          <w:tcPr>
            <w:tcW w:type="dxa" w:w="1411"/>
          </w:tcPr>
          <w:p>
            <w:pPr>
              <w:spacing w:after="20" w:before="20" w:line="254" w:lineRule="auto"/>
              <w:jc w:val="center"/>
            </w:pPr>
            <w:r>
              <w:rPr>
                <w:b/>
                <w:sz w:val="16"/>
              </w:rPr>
              <w:t>52.94 %</w:t>
            </w:r>
          </w:p>
        </w:tc>
        <w:tc>
          <w:tcPr>
            <w:tcW w:type="dxa" w:w="3557"/>
          </w:tcPr>
          <w:p>
            <w:pPr>
              <w:spacing w:after="20" w:before="20" w:line="254" w:lineRule="auto"/>
              <w:jc w:val="left"/>
            </w:pPr>
            <w:r>
              <w:rPr>
                <w:sz w:val="16"/>
              </w:rPr>
              <w:t>more than half leave within two quarters</w:t>
            </w:r>
          </w:p>
        </w:tc>
      </w:tr>
      <w:tr>
        <w:tc>
          <w:tcPr>
            <w:tcW w:type="dxa" w:w="1584"/>
            <w:shd w:val="clear" w:color="auto" w:fill="F2F5F9"/>
          </w:tcPr>
          <w:p>
            <w:pPr>
              <w:spacing w:after="20" w:before="20" w:line="254" w:lineRule="auto"/>
              <w:jc w:val="left"/>
            </w:pPr>
            <w:r>
              <w:rPr>
                <w:sz w:val="16"/>
              </w:rPr>
              <w:t>7-12 months</w:t>
            </w:r>
          </w:p>
        </w:tc>
        <w:tc>
          <w:tcPr>
            <w:tcW w:type="dxa" w:w="1296"/>
            <w:shd w:val="clear" w:color="auto" w:fill="F2F5F9"/>
          </w:tcPr>
          <w:p>
            <w:pPr>
              <w:spacing w:after="20" w:before="20" w:line="254" w:lineRule="auto"/>
              <w:jc w:val="center"/>
            </w:pPr>
            <w:r>
              <w:rPr>
                <w:sz w:val="16"/>
              </w:rPr>
              <w:t>705</w:t>
            </w:r>
          </w:p>
        </w:tc>
        <w:tc>
          <w:tcPr>
            <w:tcW w:type="dxa" w:w="1469"/>
            <w:shd w:val="clear" w:color="auto" w:fill="F2F5F9"/>
          </w:tcPr>
          <w:p>
            <w:pPr>
              <w:spacing w:after="20" w:before="20" w:line="254" w:lineRule="auto"/>
              <w:jc w:val="center"/>
            </w:pPr>
            <w:r>
              <w:rPr>
                <w:sz w:val="16"/>
              </w:rPr>
              <w:t>10.01 %</w:t>
            </w:r>
          </w:p>
        </w:tc>
        <w:tc>
          <w:tcPr>
            <w:tcW w:type="dxa" w:w="1411"/>
            <w:shd w:val="clear" w:color="auto" w:fill="F2F5F9"/>
          </w:tcPr>
          <w:p>
            <w:pPr>
              <w:spacing w:after="20" w:before="20" w:line="254" w:lineRule="auto"/>
              <w:jc w:val="center"/>
            </w:pPr>
            <w:r>
              <w:rPr>
                <w:sz w:val="16"/>
              </w:rPr>
              <w:t>35.89 %</w:t>
            </w:r>
          </w:p>
        </w:tc>
        <w:tc>
          <w:tcPr>
            <w:tcW w:type="dxa" w:w="3557"/>
            <w:shd w:val="clear" w:color="auto" w:fill="F2F5F9"/>
          </w:tcPr>
          <w:p>
            <w:pPr>
              <w:spacing w:after="20" w:before="20" w:line="254" w:lineRule="auto"/>
              <w:jc w:val="left"/>
            </w:pPr>
            <w:r>
              <w:rPr>
                <w:sz w:val="16"/>
              </w:rPr>
              <w:t>risk falls but stays above base</w:t>
            </w:r>
          </w:p>
        </w:tc>
      </w:tr>
      <w:tr>
        <w:tc>
          <w:tcPr>
            <w:tcW w:type="dxa" w:w="1584"/>
          </w:tcPr>
          <w:p>
            <w:pPr>
              <w:spacing w:after="20" w:before="20" w:line="254" w:lineRule="auto"/>
              <w:jc w:val="left"/>
            </w:pPr>
            <w:r>
              <w:rPr>
                <w:sz w:val="16"/>
              </w:rPr>
              <w:t>13-24 months</w:t>
            </w:r>
          </w:p>
        </w:tc>
        <w:tc>
          <w:tcPr>
            <w:tcW w:type="dxa" w:w="1296"/>
          </w:tcPr>
          <w:p>
            <w:pPr>
              <w:spacing w:after="20" w:before="20" w:line="254" w:lineRule="auto"/>
              <w:jc w:val="center"/>
            </w:pPr>
            <w:r>
              <w:rPr>
                <w:sz w:val="16"/>
              </w:rPr>
              <w:t>1 024</w:t>
            </w:r>
          </w:p>
        </w:tc>
        <w:tc>
          <w:tcPr>
            <w:tcW w:type="dxa" w:w="1469"/>
          </w:tcPr>
          <w:p>
            <w:pPr>
              <w:spacing w:after="20" w:before="20" w:line="254" w:lineRule="auto"/>
              <w:jc w:val="center"/>
            </w:pPr>
            <w:r>
              <w:rPr>
                <w:sz w:val="16"/>
              </w:rPr>
              <w:t>14.54 %</w:t>
            </w:r>
          </w:p>
        </w:tc>
        <w:tc>
          <w:tcPr>
            <w:tcW w:type="dxa" w:w="1411"/>
          </w:tcPr>
          <w:p>
            <w:pPr>
              <w:spacing w:after="20" w:before="20" w:line="254" w:lineRule="auto"/>
              <w:jc w:val="center"/>
            </w:pPr>
            <w:r>
              <w:rPr>
                <w:sz w:val="16"/>
              </w:rPr>
              <w:t>28.71 %</w:t>
            </w:r>
          </w:p>
        </w:tc>
        <w:tc>
          <w:tcPr>
            <w:tcW w:type="dxa" w:w="3557"/>
          </w:tcPr>
          <w:p>
            <w:pPr>
              <w:spacing w:after="20" w:before="20" w:line="254" w:lineRule="auto"/>
              <w:jc w:val="left"/>
            </w:pPr>
            <w:r>
              <w:rPr>
                <w:sz w:val="16"/>
              </w:rPr>
              <w:t>approaching the base rate</w:t>
            </w:r>
          </w:p>
        </w:tc>
      </w:tr>
      <w:tr>
        <w:tc>
          <w:tcPr>
            <w:tcW w:type="dxa" w:w="1584"/>
            <w:shd w:val="clear" w:color="auto" w:fill="F2F5F9"/>
          </w:tcPr>
          <w:p>
            <w:pPr>
              <w:spacing w:after="20" w:before="20" w:line="254" w:lineRule="auto"/>
              <w:jc w:val="left"/>
            </w:pPr>
            <w:r>
              <w:rPr>
                <w:sz w:val="16"/>
              </w:rPr>
              <w:t>25-48 months</w:t>
            </w:r>
          </w:p>
        </w:tc>
        <w:tc>
          <w:tcPr>
            <w:tcW w:type="dxa" w:w="1296"/>
            <w:shd w:val="clear" w:color="auto" w:fill="F2F5F9"/>
          </w:tcPr>
          <w:p>
            <w:pPr>
              <w:spacing w:after="20" w:before="20" w:line="254" w:lineRule="auto"/>
              <w:jc w:val="center"/>
            </w:pPr>
            <w:r>
              <w:rPr>
                <w:sz w:val="16"/>
              </w:rPr>
              <w:t>1 594</w:t>
            </w:r>
          </w:p>
        </w:tc>
        <w:tc>
          <w:tcPr>
            <w:tcW w:type="dxa" w:w="1469"/>
            <w:shd w:val="clear" w:color="auto" w:fill="F2F5F9"/>
          </w:tcPr>
          <w:p>
            <w:pPr>
              <w:spacing w:after="20" w:before="20" w:line="254" w:lineRule="auto"/>
              <w:jc w:val="center"/>
            </w:pPr>
            <w:r>
              <w:rPr>
                <w:sz w:val="16"/>
              </w:rPr>
              <w:t>22.63 %</w:t>
            </w:r>
          </w:p>
        </w:tc>
        <w:tc>
          <w:tcPr>
            <w:tcW w:type="dxa" w:w="1411"/>
            <w:shd w:val="clear" w:color="auto" w:fill="F2F5F9"/>
          </w:tcPr>
          <w:p>
            <w:pPr>
              <w:spacing w:after="20" w:before="20" w:line="254" w:lineRule="auto"/>
              <w:jc w:val="center"/>
            </w:pPr>
            <w:r>
              <w:rPr>
                <w:sz w:val="16"/>
              </w:rPr>
              <w:t>20.39 %</w:t>
            </w:r>
          </w:p>
        </w:tc>
        <w:tc>
          <w:tcPr>
            <w:tcW w:type="dxa" w:w="3557"/>
            <w:shd w:val="clear" w:color="auto" w:fill="F2F5F9"/>
          </w:tcPr>
          <w:p>
            <w:pPr>
              <w:spacing w:after="20" w:before="20" w:line="254" w:lineRule="auto"/>
              <w:jc w:val="center"/>
            </w:pPr>
            <w:r>
              <w:rPr>
                <w:sz w:val="16"/>
              </w:rPr>
              <w:t>settled relationship</w:t>
            </w:r>
          </w:p>
        </w:tc>
      </w:tr>
      <w:tr>
        <w:tc>
          <w:tcPr>
            <w:tcW w:type="dxa" w:w="1584"/>
          </w:tcPr>
          <w:p>
            <w:pPr>
              <w:spacing w:after="20" w:before="20" w:line="254" w:lineRule="auto"/>
              <w:jc w:val="left"/>
            </w:pPr>
            <w:r>
              <w:rPr>
                <w:sz w:val="16"/>
              </w:rPr>
              <w:t>49-72 months</w:t>
            </w:r>
          </w:p>
        </w:tc>
        <w:tc>
          <w:tcPr>
            <w:tcW w:type="dxa" w:w="1296"/>
          </w:tcPr>
          <w:p>
            <w:pPr>
              <w:spacing w:after="20" w:before="20" w:line="254" w:lineRule="auto"/>
              <w:jc w:val="center"/>
            </w:pPr>
            <w:r>
              <w:rPr>
                <w:sz w:val="16"/>
              </w:rPr>
              <w:t>2 239</w:t>
            </w:r>
          </w:p>
        </w:tc>
        <w:tc>
          <w:tcPr>
            <w:tcW w:type="dxa" w:w="1469"/>
          </w:tcPr>
          <w:p>
            <w:pPr>
              <w:spacing w:after="20" w:before="20" w:line="254" w:lineRule="auto"/>
              <w:jc w:val="center"/>
            </w:pPr>
            <w:r>
              <w:rPr>
                <w:sz w:val="16"/>
              </w:rPr>
              <w:t>31.79 %</w:t>
            </w:r>
          </w:p>
        </w:tc>
        <w:tc>
          <w:tcPr>
            <w:tcW w:type="dxa" w:w="1411"/>
          </w:tcPr>
          <w:p>
            <w:pPr>
              <w:spacing w:after="20" w:before="20" w:line="254" w:lineRule="auto"/>
              <w:jc w:val="center"/>
            </w:pPr>
            <w:r>
              <w:rPr>
                <w:b/>
                <w:sz w:val="16"/>
              </w:rPr>
              <w:t>9.51 %</w:t>
            </w:r>
          </w:p>
        </w:tc>
        <w:tc>
          <w:tcPr>
            <w:tcW w:type="dxa" w:w="3557"/>
          </w:tcPr>
          <w:p>
            <w:pPr>
              <w:spacing w:after="20" w:before="20" w:line="254" w:lineRule="auto"/>
              <w:jc w:val="center"/>
            </w:pPr>
            <w:r>
              <w:rPr>
                <w:sz w:val="16"/>
              </w:rPr>
              <w:t>loyal core of the base</w:t>
            </w:r>
          </w:p>
        </w:tc>
      </w:tr>
    </w:tbl>
    <w:p>
      <w:pPr>
        <w:spacing w:before="80" w:after="200"/>
        <w:jc w:val="center"/>
      </w:pPr>
      <w:r>
        <w:rPr>
          <w:i/>
          <w:color w:val="555F6B"/>
          <w:sz w:val="17"/>
        </w:rPr>
        <w:t>Table 17: Churn rate by tenure cohort, showing monotonic decay of risk with relationship age.</w:t>
      </w:r>
    </w:p>
    <w:p>
      <w:pPr>
        <w:keepNext/>
        <w:spacing w:before="120" w:after="60"/>
        <w:jc w:val="center"/>
      </w:pPr>
      <w:r>
        <w:drawing>
          <wp:inline xmlns:a="http://schemas.openxmlformats.org/drawingml/2006/main" xmlns:pic="http://schemas.openxmlformats.org/drawingml/2006/picture">
            <wp:extent cx="5257800" cy="2584342"/>
            <wp:docPr id="11" name="Picture 11"/>
            <wp:cNvGraphicFramePr>
              <a:graphicFrameLocks noChangeAspect="1"/>
            </wp:cNvGraphicFramePr>
            <a:graphic>
              <a:graphicData uri="http://schemas.openxmlformats.org/drawingml/2006/picture">
                <pic:pic>
                  <pic:nvPicPr>
                    <pic:cNvPr id="0" name="phase3_churn_by_tenure_band.png"/>
                    <pic:cNvPicPr/>
                  </pic:nvPicPr>
                  <pic:blipFill>
                    <a:blip r:embed="rId19"/>
                    <a:stretch>
                      <a:fillRect/>
                    </a:stretch>
                  </pic:blipFill>
                  <pic:spPr>
                    <a:xfrm>
                      <a:off x="0" y="0"/>
                      <a:ext cx="5257800" cy="2584342"/>
                    </a:xfrm>
                    <a:prstGeom prst="rect"/>
                  </pic:spPr>
                </pic:pic>
              </a:graphicData>
            </a:graphic>
          </wp:inline>
        </w:drawing>
      </w:r>
    </w:p>
    <w:p>
      <w:pPr>
        <w:spacing w:after="220"/>
        <w:jc w:val="center"/>
      </w:pPr>
      <w:r>
        <w:rPr>
          <w:i/>
          <w:color w:val="555F6B"/>
          <w:sz w:val="17"/>
        </w:rPr>
        <w:t>Figure 11: Churn rate by tenure band. Risk decays monotonically from 52.94 % to 9.51 %.</w:t>
      </w:r>
    </w:p>
    <w:p>
      <w:pPr>
        <w:spacing w:after="120" w:before="0"/>
        <w:jc w:val="both"/>
      </w:pPr>
      <w:r>
        <w:rPr>
          <w:b w:val="0"/>
          <w:i w:val="0"/>
          <w:sz w:val="21"/>
        </w:rPr>
        <w:t>The cohort table carries the clearest strategic message in the entire exploratory phase. Churn risk falls monotonically and steeply with tenure: a customer in their first six months is five and a half times more likely to leave than one past four years. The practical implication is that retention effort has a window. Intervening with a customer at month two addresses a 52.94 % risk; the same intervention at month fifty addresses a 9.51 % risk and is largely wasted. Onboarding, not long-term loyalty programming, is where retention spend earns its return.</w:t>
      </w:r>
    </w:p>
    <w:p>
      <w:r>
        <w:br w:type="page"/>
      </w:r>
    </w:p>
    <w:p>
      <w:pPr>
        <w:spacing w:after="0"/>
      </w:pPr>
    </w:p>
    <w:p>
      <w:pPr>
        <w:keepNext/>
        <w:spacing w:before="80" w:after="40"/>
        <w:pBdr>
          <w:bottom w:val="single" w:sz="10" w:space="3" w:color="1B355E"/>
        </w:pBdr>
      </w:pPr>
      <w:r>
        <w:rPr>
          <w:rFonts w:ascii="Calibri" w:hAnsi="Calibri"/>
          <w:b/>
          <w:color w:val="1B355E"/>
          <w:sz w:val="30"/>
        </w:rPr>
        <w:t>9.  Phase 4 — Feature Engineering</w:t>
      </w:r>
    </w:p>
    <w:p>
      <w:pPr>
        <w:spacing w:after="40"/>
      </w:pPr>
    </w:p>
    <w:p>
      <w:pPr>
        <w:keepNext/>
        <w:spacing w:before="240" w:after="80"/>
      </w:pPr>
      <w:r>
        <w:rPr>
          <w:rFonts w:ascii="Calibri" w:hAnsi="Calibri"/>
          <w:b/>
          <w:color w:val="1B355E"/>
          <w:sz w:val="25"/>
        </w:rPr>
        <w:t>9.1  Purpose</w:t>
      </w:r>
    </w:p>
    <w:p>
      <w:pPr>
        <w:spacing w:after="120" w:before="0"/>
        <w:jc w:val="both"/>
      </w:pPr>
      <w:r>
        <w:rPr>
          <w:b w:val="0"/>
          <w:i w:val="0"/>
          <w:sz w:val="21"/>
        </w:rPr>
        <w:t>Phase 4 translates the exploratory findings into model inputs. Each of the seven constructed features encodes a specific business hypothesis discovered in phase 3, rather than an arbitrary algebraic combination of columns. The phase then encodes all categorical fields and standardises all numeric fields, producing a fully numeric matrix.</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232"/>
        <w:gridCol w:w="7084"/>
      </w:tblGrid>
      <w:tr>
        <w:tc>
          <w:tcPr>
            <w:tcW w:type="dxa" w:w="2232"/>
            <w:shd w:val="clear" w:color="auto" w:fill="1B355E"/>
          </w:tcPr>
          <w:p>
            <w:pPr>
              <w:spacing w:after="20" w:before="20"/>
              <w:jc w:val="center"/>
            </w:pPr>
            <w:r>
              <w:rPr>
                <w:b/>
                <w:color w:val="FFFFFF"/>
                <w:sz w:val="17"/>
              </w:rPr>
              <w:t>Property</w:t>
            </w:r>
          </w:p>
        </w:tc>
        <w:tc>
          <w:tcPr>
            <w:tcW w:type="dxa" w:w="7085"/>
            <w:shd w:val="clear" w:color="auto" w:fill="1B355E"/>
          </w:tcPr>
          <w:p>
            <w:pPr>
              <w:spacing w:after="20" w:before="20"/>
              <w:jc w:val="center"/>
            </w:pPr>
            <w:r>
              <w:rPr>
                <w:b/>
                <w:color w:val="FFFFFF"/>
                <w:sz w:val="17"/>
              </w:rPr>
              <w:t>Value</w:t>
            </w:r>
          </w:p>
        </w:tc>
      </w:tr>
      <w:tr>
        <w:tc>
          <w:tcPr>
            <w:tcW w:type="dxa" w:w="2232"/>
          </w:tcPr>
          <w:p>
            <w:pPr>
              <w:spacing w:after="20" w:before="20" w:line="254" w:lineRule="auto"/>
              <w:jc w:val="left"/>
            </w:pPr>
            <w:r>
              <w:rPr>
                <w:sz w:val="17"/>
              </w:rPr>
              <w:t>Input</w:t>
            </w:r>
          </w:p>
        </w:tc>
        <w:tc>
          <w:tcPr>
            <w:tcW w:type="dxa" w:w="7085"/>
          </w:tcPr>
          <w:p>
            <w:pPr>
              <w:spacing w:after="20" w:before="20" w:line="254" w:lineRule="auto"/>
              <w:jc w:val="left"/>
            </w:pPr>
            <w:r>
              <w:rPr>
                <w:rFonts w:ascii="Consolas" w:hAnsi="Consolas" w:eastAsia="Consolas"/>
                <w:color w:val="8A2C1F"/>
                <w:sz w:val="16"/>
              </w:rPr>
              <w:t>data/Customer-Churn-Cleaned.csv</w:t>
            </w:r>
            <w:r>
              <w:rPr>
                <w:sz w:val="17"/>
              </w:rPr>
              <w:t xml:space="preserve"> — 7 043 × 21</w:t>
            </w:r>
          </w:p>
        </w:tc>
      </w:tr>
      <w:tr>
        <w:tc>
          <w:tcPr>
            <w:tcW w:type="dxa" w:w="2232"/>
            <w:shd w:val="clear" w:color="auto" w:fill="F2F5F9"/>
          </w:tcPr>
          <w:p>
            <w:pPr>
              <w:spacing w:after="20" w:before="20" w:line="254" w:lineRule="auto"/>
              <w:jc w:val="left"/>
            </w:pPr>
            <w:r>
              <w:rPr>
                <w:sz w:val="17"/>
              </w:rPr>
              <w:t>Output</w:t>
            </w:r>
          </w:p>
        </w:tc>
        <w:tc>
          <w:tcPr>
            <w:tcW w:type="dxa" w:w="7085"/>
            <w:shd w:val="clear" w:color="auto" w:fill="F2F5F9"/>
          </w:tcPr>
          <w:p>
            <w:pPr>
              <w:spacing w:after="20" w:before="20" w:line="254" w:lineRule="auto"/>
              <w:jc w:val="left"/>
            </w:pPr>
            <w:r>
              <w:rPr>
                <w:rFonts w:ascii="Consolas" w:hAnsi="Consolas" w:eastAsia="Consolas"/>
                <w:color w:val="8A2C1F"/>
                <w:sz w:val="16"/>
              </w:rPr>
              <w:t>data/Customer-Churn-Model-Ready.csv</w:t>
            </w:r>
            <w:r>
              <w:rPr>
                <w:sz w:val="17"/>
              </w:rPr>
              <w:t xml:space="preserve"> — 7 043 × 36</w:t>
            </w:r>
          </w:p>
        </w:tc>
      </w:tr>
      <w:tr>
        <w:tc>
          <w:tcPr>
            <w:tcW w:type="dxa" w:w="2232"/>
          </w:tcPr>
          <w:p>
            <w:pPr>
              <w:spacing w:after="20" w:before="20" w:line="254" w:lineRule="auto"/>
              <w:jc w:val="left"/>
            </w:pPr>
            <w:r>
              <w:rPr>
                <w:sz w:val="17"/>
              </w:rPr>
              <w:t>Lines of code</w:t>
            </w:r>
          </w:p>
        </w:tc>
        <w:tc>
          <w:tcPr>
            <w:tcW w:type="dxa" w:w="7085"/>
          </w:tcPr>
          <w:p>
            <w:pPr>
              <w:spacing w:after="20" w:before="20" w:line="254" w:lineRule="auto"/>
              <w:jc w:val="center"/>
            </w:pPr>
            <w:r>
              <w:rPr>
                <w:sz w:val="17"/>
              </w:rPr>
              <w:t>235</w:t>
            </w:r>
          </w:p>
        </w:tc>
      </w:tr>
      <w:tr>
        <w:tc>
          <w:tcPr>
            <w:tcW w:type="dxa" w:w="2232"/>
            <w:shd w:val="clear" w:color="auto" w:fill="F2F5F9"/>
          </w:tcPr>
          <w:p>
            <w:pPr>
              <w:spacing w:after="20" w:before="20" w:line="254" w:lineRule="auto"/>
              <w:jc w:val="left"/>
            </w:pPr>
            <w:r>
              <w:rPr>
                <w:sz w:val="17"/>
              </w:rPr>
              <w:t>Features constructed</w:t>
            </w:r>
          </w:p>
        </w:tc>
        <w:tc>
          <w:tcPr>
            <w:tcW w:type="dxa" w:w="7085"/>
            <w:shd w:val="clear" w:color="auto" w:fill="F2F5F9"/>
          </w:tcPr>
          <w:p>
            <w:pPr>
              <w:spacing w:after="20" w:before="20" w:line="254" w:lineRule="auto"/>
              <w:jc w:val="center"/>
            </w:pPr>
            <w:r>
              <w:rPr>
                <w:sz w:val="17"/>
              </w:rPr>
              <w:t>7</w:t>
            </w:r>
          </w:p>
        </w:tc>
      </w:tr>
      <w:tr>
        <w:tc>
          <w:tcPr>
            <w:tcW w:type="dxa" w:w="2232"/>
          </w:tcPr>
          <w:p>
            <w:pPr>
              <w:spacing w:after="20" w:before="20" w:line="254" w:lineRule="auto"/>
              <w:jc w:val="left"/>
            </w:pPr>
            <w:r>
              <w:rPr>
                <w:sz w:val="17"/>
              </w:rPr>
              <w:t>Encoding</w:t>
            </w:r>
          </w:p>
        </w:tc>
        <w:tc>
          <w:tcPr>
            <w:tcW w:type="dxa" w:w="7085"/>
          </w:tcPr>
          <w:p>
            <w:pPr>
              <w:spacing w:after="20" w:before="20" w:line="254" w:lineRule="auto"/>
              <w:jc w:val="left"/>
            </w:pPr>
            <w:r>
              <w:rPr>
                <w:sz w:val="17"/>
              </w:rPr>
              <w:t xml:space="preserve">one-hot, </w:t>
            </w:r>
            <w:r>
              <w:rPr>
                <w:rFonts w:ascii="Consolas" w:hAnsi="Consolas" w:eastAsia="Consolas"/>
                <w:color w:val="8A2C1F"/>
                <w:sz w:val="16"/>
              </w:rPr>
              <w:t>drop_first=True</w:t>
            </w:r>
          </w:p>
        </w:tc>
      </w:tr>
      <w:tr>
        <w:tc>
          <w:tcPr>
            <w:tcW w:type="dxa" w:w="2232"/>
            <w:shd w:val="clear" w:color="auto" w:fill="F2F5F9"/>
          </w:tcPr>
          <w:p>
            <w:pPr>
              <w:spacing w:after="20" w:before="20" w:line="254" w:lineRule="auto"/>
              <w:jc w:val="left"/>
            </w:pPr>
            <w:r>
              <w:rPr>
                <w:sz w:val="17"/>
              </w:rPr>
              <w:t>Scaling</w:t>
            </w:r>
          </w:p>
        </w:tc>
        <w:tc>
          <w:tcPr>
            <w:tcW w:type="dxa" w:w="7085"/>
            <w:shd w:val="clear" w:color="auto" w:fill="F2F5F9"/>
          </w:tcPr>
          <w:p>
            <w:pPr>
              <w:spacing w:after="20" w:before="20" w:line="254" w:lineRule="auto"/>
              <w:jc w:val="left"/>
            </w:pPr>
            <w:r>
              <w:rPr>
                <w:rFonts w:ascii="Consolas" w:hAnsi="Consolas" w:eastAsia="Consolas"/>
                <w:color w:val="8A2C1F"/>
                <w:sz w:val="16"/>
              </w:rPr>
              <w:t>StandardScaler</w:t>
            </w:r>
            <w:r>
              <w:rPr>
                <w:sz w:val="17"/>
              </w:rPr>
              <w:t>, target excluded</w:t>
            </w:r>
          </w:p>
        </w:tc>
      </w:tr>
    </w:tbl>
    <w:p>
      <w:pPr>
        <w:spacing w:before="80" w:after="200"/>
        <w:jc w:val="center"/>
      </w:pPr>
      <w:r>
        <w:rPr>
          <w:i/>
          <w:color w:val="555F6B"/>
          <w:sz w:val="17"/>
        </w:rPr>
        <w:t>Table 18: Phase 4 interface summary.</w:t>
      </w:r>
    </w:p>
    <w:p>
      <w:pPr>
        <w:keepNext/>
        <w:spacing w:before="240" w:after="80"/>
      </w:pPr>
      <w:r>
        <w:rPr>
          <w:rFonts w:ascii="Calibri" w:hAnsi="Calibri"/>
          <w:b/>
          <w:color w:val="1B355E"/>
          <w:sz w:val="25"/>
        </w:rPr>
        <w:t>9.2  The seven engineered features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699"/>
        <w:gridCol w:w="2476"/>
        <w:gridCol w:w="5140"/>
      </w:tblGrid>
      <w:tr>
        <w:tc>
          <w:tcPr>
            <w:tcW w:type="dxa" w:w="1699"/>
            <w:shd w:val="clear" w:color="auto" w:fill="1B355E"/>
          </w:tcPr>
          <w:p>
            <w:pPr>
              <w:spacing w:after="20" w:before="20"/>
              <w:jc w:val="center"/>
            </w:pPr>
            <w:r>
              <w:rPr>
                <w:b/>
                <w:color w:val="FFFFFF"/>
                <w:sz w:val="17"/>
              </w:rPr>
              <w:t>Feature</w:t>
            </w:r>
          </w:p>
        </w:tc>
        <w:tc>
          <w:tcPr>
            <w:tcW w:type="dxa" w:w="2477"/>
            <w:shd w:val="clear" w:color="auto" w:fill="1B355E"/>
          </w:tcPr>
          <w:p>
            <w:pPr>
              <w:spacing w:after="20" w:before="20"/>
              <w:jc w:val="center"/>
            </w:pPr>
            <w:r>
              <w:rPr>
                <w:b/>
                <w:color w:val="FFFFFF"/>
                <w:sz w:val="17"/>
              </w:rPr>
              <w:t>Construction</w:t>
            </w:r>
          </w:p>
        </w:tc>
        <w:tc>
          <w:tcPr>
            <w:tcW w:type="dxa" w:w="5141"/>
            <w:shd w:val="clear" w:color="auto" w:fill="1B355E"/>
          </w:tcPr>
          <w:p>
            <w:pPr>
              <w:spacing w:after="20" w:before="20"/>
              <w:jc w:val="center"/>
            </w:pPr>
            <w:r>
              <w:rPr>
                <w:b/>
                <w:color w:val="FFFFFF"/>
                <w:sz w:val="17"/>
              </w:rPr>
              <w:t>Business hypothesis it encodes</w:t>
            </w:r>
          </w:p>
        </w:tc>
      </w:tr>
      <w:tr>
        <w:tc>
          <w:tcPr>
            <w:tcW w:type="dxa" w:w="1699"/>
          </w:tcPr>
          <w:p>
            <w:pPr>
              <w:spacing w:after="20" w:before="20" w:line="254" w:lineRule="auto"/>
              <w:jc w:val="left"/>
            </w:pPr>
            <w:r>
              <w:rPr>
                <w:rFonts w:ascii="Consolas" w:hAnsi="Consolas" w:eastAsia="Consolas"/>
                <w:color w:val="8A2C1F"/>
                <w:sz w:val="15"/>
              </w:rPr>
              <w:t>TenureBand</w:t>
            </w:r>
          </w:p>
        </w:tc>
        <w:tc>
          <w:tcPr>
            <w:tcW w:type="dxa" w:w="2477"/>
          </w:tcPr>
          <w:p>
            <w:pPr>
              <w:spacing w:after="20" w:before="20" w:line="254" w:lineRule="auto"/>
              <w:jc w:val="left"/>
            </w:pPr>
            <w:r>
              <w:rPr>
                <w:rFonts w:ascii="Consolas" w:hAnsi="Consolas" w:eastAsia="Consolas"/>
                <w:color w:val="8A2C1F"/>
                <w:sz w:val="15"/>
              </w:rPr>
              <w:t>pd.cut</w:t>
            </w:r>
            <w:r>
              <w:rPr>
                <w:sz w:val="16"/>
              </w:rPr>
              <w:t xml:space="preserve"> on tenure into 5 unequal bands</w:t>
            </w:r>
          </w:p>
        </w:tc>
        <w:tc>
          <w:tcPr>
            <w:tcW w:type="dxa" w:w="5141"/>
          </w:tcPr>
          <w:p>
            <w:pPr>
              <w:spacing w:after="20" w:before="20" w:line="254" w:lineRule="auto"/>
              <w:jc w:val="left"/>
            </w:pPr>
            <w:r>
              <w:rPr>
                <w:sz w:val="16"/>
              </w:rPr>
              <w:t>risk decays non-linearly with relationship age; a linear tenure term cannot express the 52.94 % → 9.51 % curve</w:t>
            </w:r>
          </w:p>
        </w:tc>
      </w:tr>
      <w:tr>
        <w:tc>
          <w:tcPr>
            <w:tcW w:type="dxa" w:w="1699"/>
            <w:shd w:val="clear" w:color="auto" w:fill="F2F5F9"/>
          </w:tcPr>
          <w:p>
            <w:pPr>
              <w:spacing w:after="20" w:before="20" w:line="254" w:lineRule="auto"/>
              <w:jc w:val="left"/>
            </w:pPr>
            <w:r>
              <w:rPr>
                <w:rFonts w:ascii="Consolas" w:hAnsi="Consolas" w:eastAsia="Consolas"/>
                <w:color w:val="8A2C1F"/>
                <w:sz w:val="15"/>
              </w:rPr>
              <w:t>ARPU</w:t>
            </w:r>
          </w:p>
        </w:tc>
        <w:tc>
          <w:tcPr>
            <w:tcW w:type="dxa" w:w="2477"/>
            <w:shd w:val="clear" w:color="auto" w:fill="F2F5F9"/>
          </w:tcPr>
          <w:p>
            <w:pPr>
              <w:spacing w:after="20" w:before="20" w:line="254" w:lineRule="auto"/>
              <w:jc w:val="left"/>
            </w:pPr>
            <w:r>
              <w:rPr>
                <w:rFonts w:ascii="Consolas" w:hAnsi="Consolas" w:eastAsia="Consolas"/>
                <w:color w:val="8A2C1F"/>
                <w:sz w:val="15"/>
              </w:rPr>
              <w:t>TotalCharges / tenure</w:t>
            </w:r>
            <w:r>
              <w:rPr>
                <w:sz w:val="16"/>
              </w:rPr>
              <w:t>, guarded for tenure = 0</w:t>
            </w:r>
          </w:p>
        </w:tc>
        <w:tc>
          <w:tcPr>
            <w:tcW w:type="dxa" w:w="5141"/>
            <w:shd w:val="clear" w:color="auto" w:fill="F2F5F9"/>
          </w:tcPr>
          <w:p>
            <w:pPr>
              <w:spacing w:after="20" w:before="20" w:line="254" w:lineRule="auto"/>
              <w:jc w:val="left"/>
            </w:pPr>
            <w:r>
              <w:rPr>
                <w:sz w:val="16"/>
              </w:rPr>
              <w:t>average revenue actually realised per active month, as distinct from the list price billed</w:t>
            </w:r>
          </w:p>
        </w:tc>
      </w:tr>
      <w:tr>
        <w:tc>
          <w:tcPr>
            <w:tcW w:type="dxa" w:w="1699"/>
          </w:tcPr>
          <w:p>
            <w:pPr>
              <w:spacing w:after="20" w:before="20" w:line="254" w:lineRule="auto"/>
              <w:jc w:val="left"/>
            </w:pPr>
            <w:r>
              <w:rPr>
                <w:rFonts w:ascii="Consolas" w:hAnsi="Consolas" w:eastAsia="Consolas"/>
                <w:color w:val="8A2C1F"/>
                <w:sz w:val="15"/>
              </w:rPr>
              <w:t>ChargeRatio</w:t>
            </w:r>
          </w:p>
        </w:tc>
        <w:tc>
          <w:tcPr>
            <w:tcW w:type="dxa" w:w="2477"/>
          </w:tcPr>
          <w:p>
            <w:pPr>
              <w:spacing w:after="20" w:before="20" w:line="254" w:lineRule="auto"/>
              <w:jc w:val="left"/>
            </w:pPr>
            <w:r>
              <w:rPr>
                <w:rFonts w:ascii="Consolas" w:hAnsi="Consolas" w:eastAsia="Consolas"/>
                <w:color w:val="8A2C1F"/>
                <w:sz w:val="15"/>
              </w:rPr>
              <w:t>MonthlyCharges / ARPU</w:t>
            </w:r>
          </w:p>
        </w:tc>
        <w:tc>
          <w:tcPr>
            <w:tcW w:type="dxa" w:w="5141"/>
          </w:tcPr>
          <w:p>
            <w:pPr>
              <w:spacing w:after="20" w:before="20" w:line="254" w:lineRule="auto"/>
              <w:jc w:val="left"/>
            </w:pPr>
            <w:r>
              <w:rPr>
                <w:sz w:val="16"/>
              </w:rPr>
              <w:t>a value above 1 means the customer now pays more than their historical average — a recent price rise, and a plausible trigger for departure</w:t>
            </w:r>
          </w:p>
        </w:tc>
      </w:tr>
      <w:tr>
        <w:tc>
          <w:tcPr>
            <w:tcW w:type="dxa" w:w="1699"/>
            <w:shd w:val="clear" w:color="auto" w:fill="F2F5F9"/>
          </w:tcPr>
          <w:p>
            <w:pPr>
              <w:spacing w:after="20" w:before="20" w:line="254" w:lineRule="auto"/>
              <w:jc w:val="left"/>
            </w:pPr>
            <w:r>
              <w:rPr>
                <w:rFonts w:ascii="Consolas" w:hAnsi="Consolas" w:eastAsia="Consolas"/>
                <w:color w:val="8A2C1F"/>
                <w:sz w:val="15"/>
              </w:rPr>
              <w:t>ServiceCount</w:t>
            </w:r>
          </w:p>
        </w:tc>
        <w:tc>
          <w:tcPr>
            <w:tcW w:type="dxa" w:w="2477"/>
            <w:shd w:val="clear" w:color="auto" w:fill="F2F5F9"/>
          </w:tcPr>
          <w:p>
            <w:pPr>
              <w:spacing w:after="20" w:before="20" w:line="254" w:lineRule="auto"/>
              <w:jc w:val="left"/>
            </w:pPr>
            <w:r>
              <w:rPr>
                <w:sz w:val="16"/>
              </w:rPr>
              <w:t>count of "Yes" across 6 add-on columns</w:t>
            </w:r>
          </w:p>
        </w:tc>
        <w:tc>
          <w:tcPr>
            <w:tcW w:type="dxa" w:w="5141"/>
            <w:shd w:val="clear" w:color="auto" w:fill="F2F5F9"/>
          </w:tcPr>
          <w:p>
            <w:pPr>
              <w:spacing w:after="20" w:before="20" w:line="254" w:lineRule="auto"/>
              <w:jc w:val="left"/>
            </w:pPr>
            <w:r>
              <w:rPr>
                <w:sz w:val="16"/>
              </w:rPr>
              <w:t>product entanglement; each additional service raises the switching cost</w:t>
            </w:r>
          </w:p>
        </w:tc>
      </w:tr>
      <w:tr>
        <w:tc>
          <w:tcPr>
            <w:tcW w:type="dxa" w:w="1699"/>
          </w:tcPr>
          <w:p>
            <w:pPr>
              <w:spacing w:after="20" w:before="20" w:line="254" w:lineRule="auto"/>
              <w:jc w:val="left"/>
            </w:pPr>
            <w:r>
              <w:rPr>
                <w:rFonts w:ascii="Consolas" w:hAnsi="Consolas" w:eastAsia="Consolas"/>
                <w:color w:val="8A2C1F"/>
                <w:sz w:val="15"/>
              </w:rPr>
              <w:t>ContractRiskFlag</w:t>
            </w:r>
          </w:p>
        </w:tc>
        <w:tc>
          <w:tcPr>
            <w:tcW w:type="dxa" w:w="2477"/>
          </w:tcPr>
          <w:p>
            <w:pPr>
              <w:spacing w:after="20" w:before="20" w:line="254" w:lineRule="auto"/>
              <w:jc w:val="left"/>
            </w:pPr>
            <w:r>
              <w:rPr>
                <w:sz w:val="16"/>
              </w:rPr>
              <w:t>1 if contract is month-to-month</w:t>
            </w:r>
          </w:p>
        </w:tc>
        <w:tc>
          <w:tcPr>
            <w:tcW w:type="dxa" w:w="5141"/>
          </w:tcPr>
          <w:p>
            <w:pPr>
              <w:spacing w:after="20" w:before="20" w:line="254" w:lineRule="auto"/>
              <w:jc w:val="left"/>
            </w:pPr>
            <w:r>
              <w:rPr>
                <w:sz w:val="16"/>
              </w:rPr>
              <w:t>isolates the single strongest driver found in phase 3 as a binary flag</w:t>
            </w:r>
          </w:p>
        </w:tc>
      </w:tr>
      <w:tr>
        <w:tc>
          <w:tcPr>
            <w:tcW w:type="dxa" w:w="1699"/>
            <w:shd w:val="clear" w:color="auto" w:fill="F2F5F9"/>
          </w:tcPr>
          <w:p>
            <w:pPr>
              <w:spacing w:after="20" w:before="20" w:line="254" w:lineRule="auto"/>
              <w:jc w:val="left"/>
            </w:pPr>
            <w:r>
              <w:rPr>
                <w:rFonts w:ascii="Consolas" w:hAnsi="Consolas" w:eastAsia="Consolas"/>
                <w:color w:val="8A2C1F"/>
                <w:sz w:val="15"/>
              </w:rPr>
              <w:t>ValueTier</w:t>
            </w:r>
          </w:p>
        </w:tc>
        <w:tc>
          <w:tcPr>
            <w:tcW w:type="dxa" w:w="2477"/>
            <w:shd w:val="clear" w:color="auto" w:fill="F2F5F9"/>
          </w:tcPr>
          <w:p>
            <w:pPr>
              <w:spacing w:after="20" w:before="20" w:line="254" w:lineRule="auto"/>
              <w:jc w:val="left"/>
            </w:pPr>
            <w:r>
              <w:rPr>
                <w:rFonts w:ascii="Consolas" w:hAnsi="Consolas" w:eastAsia="Consolas"/>
                <w:color w:val="8A2C1F"/>
                <w:sz w:val="15"/>
              </w:rPr>
              <w:t>pd.qcut</w:t>
            </w:r>
            <w:r>
              <w:rPr>
                <w:sz w:val="16"/>
              </w:rPr>
              <w:t xml:space="preserve"> on ARPU into 4 quartiles</w:t>
            </w:r>
          </w:p>
        </w:tc>
        <w:tc>
          <w:tcPr>
            <w:tcW w:type="dxa" w:w="5141"/>
            <w:shd w:val="clear" w:color="auto" w:fill="F2F5F9"/>
          </w:tcPr>
          <w:p>
            <w:pPr>
              <w:spacing w:after="20" w:before="20" w:line="254" w:lineRule="auto"/>
              <w:jc w:val="left"/>
            </w:pPr>
            <w:r>
              <w:rPr>
                <w:sz w:val="16"/>
              </w:rPr>
              <w:t>revenue-based prioritisation, so retention effort can be ranked by customer worth</w:t>
            </w:r>
          </w:p>
        </w:tc>
      </w:tr>
      <w:tr>
        <w:tc>
          <w:tcPr>
            <w:tcW w:type="dxa" w:w="1699"/>
          </w:tcPr>
          <w:p>
            <w:pPr>
              <w:spacing w:after="20" w:before="20" w:line="254" w:lineRule="auto"/>
              <w:jc w:val="left"/>
            </w:pPr>
            <w:r>
              <w:rPr>
                <w:rFonts w:ascii="Consolas" w:hAnsi="Consolas" w:eastAsia="Consolas"/>
                <w:color w:val="8A2C1F"/>
                <w:sz w:val="15"/>
              </w:rPr>
              <w:t>AutoPayFlag</w:t>
            </w:r>
          </w:p>
        </w:tc>
        <w:tc>
          <w:tcPr>
            <w:tcW w:type="dxa" w:w="2477"/>
          </w:tcPr>
          <w:p>
            <w:pPr>
              <w:spacing w:after="20" w:before="20" w:line="254" w:lineRule="auto"/>
              <w:jc w:val="left"/>
            </w:pPr>
            <w:r>
              <w:rPr>
                <w:sz w:val="16"/>
              </w:rPr>
              <w:t>1 if payment method is automatic</w:t>
            </w:r>
          </w:p>
        </w:tc>
        <w:tc>
          <w:tcPr>
            <w:tcW w:type="dxa" w:w="5141"/>
          </w:tcPr>
          <w:p>
            <w:pPr>
              <w:spacing w:after="20" w:before="20" w:line="254" w:lineRule="auto"/>
              <w:jc w:val="left"/>
            </w:pPr>
            <w:r>
              <w:rPr>
                <w:sz w:val="16"/>
              </w:rPr>
              <w:t>automatic payment removes a recurring cancellation decision point</w:t>
            </w:r>
          </w:p>
        </w:tc>
      </w:tr>
    </w:tbl>
    <w:p>
      <w:pPr>
        <w:spacing w:before="80" w:after="200"/>
        <w:jc w:val="center"/>
      </w:pPr>
      <w:r>
        <w:rPr>
          <w:i/>
          <w:color w:val="555F6B"/>
          <w:sz w:val="17"/>
        </w:rPr>
        <w:t>Table 19: The seven engineered features, their construction and the hypothesis each encodes.</w:t>
      </w:r>
    </w:p>
    <w:p>
      <w:pPr>
        <w:keepNext/>
        <w:spacing w:before="240" w:after="80"/>
      </w:pPr>
      <w:r>
        <w:rPr>
          <w:rFonts w:ascii="Calibri" w:hAnsi="Calibri"/>
          <w:b/>
          <w:color w:val="1B355E"/>
          <w:sz w:val="25"/>
        </w:rPr>
        <w:t>9.3  Code walk-through</w:t>
      </w:r>
    </w:p>
    <w:p>
      <w:pPr>
        <w:keepNext/>
        <w:spacing w:before="200" w:after="60"/>
      </w:pPr>
      <w:r>
        <w:rPr>
          <w:rFonts w:ascii="Calibri" w:hAnsi="Calibri"/>
          <w:b/>
          <w:color w:val="0B5C7A"/>
          <w:sz w:val="22"/>
        </w:rPr>
        <w:t>Division guarded against zero tenure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df["ARPU"] = 0.0</w:t>
            </w:r>
          </w:p>
          <w:p>
            <w:pPr>
              <w:spacing w:after="0" w:before="0" w:line="240" w:lineRule="auto"/>
            </w:pPr>
            <w:r>
              <w:rPr>
                <w:rFonts w:ascii="Consolas" w:hAnsi="Consolas" w:eastAsia="Consolas"/>
                <w:color w:val="1A232E"/>
                <w:sz w:val="16"/>
              </w:rPr>
              <w:t>non_zero_tenure = df["tenure"] &gt; 0</w:t>
            </w:r>
          </w:p>
          <w:p>
            <w:pPr>
              <w:spacing w:after="0" w:before="0" w:line="240" w:lineRule="auto"/>
            </w:pPr>
            <w:r>
              <w:rPr>
                <w:rFonts w:ascii="Consolas" w:hAnsi="Consolas" w:eastAsia="Consolas"/>
                <w:color w:val="1A232E"/>
                <w:sz w:val="16"/>
              </w:rPr>
              <w:t>df.loc[non_zero_tenure, "ARPU"] = (</w:t>
            </w:r>
          </w:p>
          <w:p>
            <w:pPr>
              <w:spacing w:after="0" w:before="0" w:line="240" w:lineRule="auto"/>
            </w:pPr>
            <w:r>
              <w:rPr>
                <w:rFonts w:ascii="Consolas" w:hAnsi="Consolas" w:eastAsia="Consolas"/>
                <w:color w:val="1A232E"/>
                <w:sz w:val="16"/>
              </w:rPr>
              <w:t xml:space="preserve">    df.loc[non_zero_tenure, "TotalCharges"] / df.loc[non_zero_tenure, "tenure"]</w:t>
            </w:r>
          </w:p>
          <w:p>
            <w:pPr>
              <w:spacing w:after="0" w:before="0" w:line="240" w:lineRule="auto"/>
            </w:pPr>
            <w:r>
              <w:rPr>
                <w:rFonts w:ascii="Consolas" w:hAnsi="Consolas" w:eastAsia="Consolas"/>
                <w:color w:val="1A232E"/>
                <w:sz w:val="16"/>
              </w:rPr>
              <w: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df["ChargeRatio"] = 0.0</w:t>
            </w:r>
          </w:p>
          <w:p>
            <w:pPr>
              <w:spacing w:after="0" w:before="0" w:line="240" w:lineRule="auto"/>
            </w:pPr>
            <w:r>
              <w:rPr>
                <w:rFonts w:ascii="Consolas" w:hAnsi="Consolas" w:eastAsia="Consolas"/>
                <w:color w:val="1A232E"/>
                <w:sz w:val="16"/>
              </w:rPr>
              <w:t>valid_charge_ratio = (df["tenure"] &gt; 0) &amp; (df["TotalCharges"] &gt; 0)</w:t>
            </w:r>
          </w:p>
          <w:p>
            <w:pPr>
              <w:spacing w:after="0" w:before="0" w:line="240" w:lineRule="auto"/>
            </w:pPr>
            <w:r>
              <w:rPr>
                <w:rFonts w:ascii="Consolas" w:hAnsi="Consolas" w:eastAsia="Consolas"/>
                <w:color w:val="1A232E"/>
                <w:sz w:val="16"/>
              </w:rPr>
              <w:t>df.loc[valid_charge_ratio, "ChargeRatio"] = (</w:t>
            </w:r>
          </w:p>
          <w:p>
            <w:pPr>
              <w:spacing w:after="0" w:before="0" w:line="240" w:lineRule="auto"/>
            </w:pPr>
            <w:r>
              <w:rPr>
                <w:rFonts w:ascii="Consolas" w:hAnsi="Consolas" w:eastAsia="Consolas"/>
                <w:color w:val="1A232E"/>
                <w:sz w:val="16"/>
              </w:rPr>
              <w:t xml:space="preserve">    df.loc[valid_charge_ratio, "MonthlyCharges"] /</w:t>
            </w:r>
          </w:p>
          <w:p>
            <w:pPr>
              <w:spacing w:after="0" w:before="0" w:line="240" w:lineRule="auto"/>
            </w:pPr>
            <w:r>
              <w:rPr>
                <w:rFonts w:ascii="Consolas" w:hAnsi="Consolas" w:eastAsia="Consolas"/>
                <w:color w:val="1A232E"/>
                <w:sz w:val="16"/>
              </w:rPr>
              <w:t xml:space="preserve">    (df.loc[valid_charge_ratio, "TotalCharges"] / df.loc[valid_charge_ratio, "tenure"])</w:t>
            </w:r>
          </w:p>
          <w:p>
            <w:pPr>
              <w:spacing w:after="0" w:before="0" w:line="240" w:lineRule="auto"/>
            </w:pPr>
            <w:r>
              <w:rPr>
                <w:rFonts w:ascii="Consolas" w:hAnsi="Consolas" w:eastAsia="Consolas"/>
                <w:color w:val="1A232E"/>
                <w:sz w:val="16"/>
              </w:rPr>
              <w:t>)</w:t>
            </w:r>
          </w:p>
        </w:tc>
      </w:tr>
    </w:tbl>
    <w:p>
      <w:pPr>
        <w:spacing w:after="80"/>
      </w:pPr>
    </w:p>
    <w:p>
      <w:pPr>
        <w:spacing w:after="120" w:before="0"/>
        <w:jc w:val="both"/>
      </w:pPr>
      <w:r>
        <w:rPr>
          <w:b w:val="0"/>
          <w:i w:val="0"/>
          <w:sz w:val="21"/>
        </w:rPr>
        <w:t>Both derived ratios divide by a quantity that is zero for the eleven newly joined customers. The pattern used here — initialise the whole column to a safe default, compute a boolean mask of the rows where the division is defined, then assign only into those rows — avoids producing infinity or NaN entirely. The alternative of computing first and repairing afterwards is fragile, because an inf that survives into StandardScaler poisons the mean and standard deviation of the entire column and silently corrupts every other row. ChargeRatio adds a second condition on TotalCharges for the same reason, since its denominator contains a nested division.</w:t>
      </w:r>
    </w:p>
    <w:p>
      <w:pPr>
        <w:keepNext/>
        <w:spacing w:before="200" w:after="60"/>
      </w:pPr>
      <w:r>
        <w:rPr>
          <w:rFonts w:ascii="Calibri" w:hAnsi="Calibri"/>
          <w:b/>
          <w:color w:val="0B5C7A"/>
          <w:sz w:val="22"/>
        </w:rPr>
        <w:t>Vectorised service counting</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service_columns = ["OnlineSecurity", "OnlineBackup", "DeviceProtection",</w:t>
            </w:r>
          </w:p>
          <w:p>
            <w:pPr>
              <w:spacing w:after="0" w:before="0" w:line="240" w:lineRule="auto"/>
            </w:pPr>
            <w:r>
              <w:rPr>
                <w:rFonts w:ascii="Consolas" w:hAnsi="Consolas" w:eastAsia="Consolas"/>
                <w:color w:val="1A232E"/>
                <w:sz w:val="16"/>
              </w:rPr>
              <w:t xml:space="preserve">                   "TechSupport", "StreamingTV", "StreamingMovies"]</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df["ServiceCount"] = df[service_columns].eq("Yes").sum(axis=1)</w:t>
            </w:r>
          </w:p>
        </w:tc>
      </w:tr>
    </w:tbl>
    <w:p>
      <w:pPr>
        <w:spacing w:after="80"/>
      </w:pPr>
    </w:p>
    <w:p>
      <w:pPr>
        <w:spacing w:after="120"/>
        <w:jc w:val="both"/>
      </w:pPr>
      <w:r>
        <w:rPr>
          <w:sz w:val="21"/>
        </w:rPr>
        <w:t xml:space="preserve">A single vectorised expression replaces what would otherwise be a row loop. </w:t>
      </w:r>
      <w:r>
        <w:rPr>
          <w:rFonts w:ascii="Consolas" w:hAnsi="Consolas"/>
          <w:color w:val="8A2C1F"/>
          <w:sz w:val="19"/>
        </w:rPr>
        <w:t>.eq("Yes")</w:t>
      </w:r>
      <w:r>
        <w:rPr>
          <w:sz w:val="21"/>
        </w:rPr>
        <w:t xml:space="preserve"> produces a boolean frame of the same shape, and summing along axis 1 counts the True values per row. This construction is only correct because phase 2 folded "No internet service" into "No"; without that standardisation the third label would count as neither Yes nor No and the tally would still be right, but the column would carry a hidden third state into the one-hot encoder.</w:t>
      </w:r>
    </w:p>
    <w:p>
      <w:pPr>
        <w:keepNext/>
        <w:spacing w:before="200" w:after="60"/>
      </w:pPr>
      <w:r>
        <w:rPr>
          <w:rFonts w:ascii="Calibri" w:hAnsi="Calibri"/>
          <w:b/>
          <w:color w:val="0B5C7A"/>
          <w:sz w:val="22"/>
        </w:rPr>
        <w:t>Encoding and scaling</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model_df = df.drop(columns=[ID_COLUMN, TARGET_COLUMN])</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categorical_columns = model_df.select_dtypes(include=["object", "category"]).columns.tolist()</w:t>
            </w:r>
          </w:p>
          <w:p>
            <w:pPr>
              <w:spacing w:after="0" w:before="0" w:line="240" w:lineRule="auto"/>
            </w:pPr>
            <w:r>
              <w:rPr>
                <w:rFonts w:ascii="Consolas" w:hAnsi="Consolas" w:eastAsia="Consolas"/>
                <w:color w:val="1A232E"/>
                <w:sz w:val="16"/>
              </w:rPr>
              <w:t>model_df = pd.get_dummies(model_df, columns=categorical_columns,</w:t>
            </w:r>
          </w:p>
          <w:p>
            <w:pPr>
              <w:spacing w:after="0" w:before="0" w:line="240" w:lineRule="auto"/>
            </w:pPr>
            <w:r>
              <w:rPr>
                <w:rFonts w:ascii="Consolas" w:hAnsi="Consolas" w:eastAsia="Consolas"/>
                <w:color w:val="1A232E"/>
                <w:sz w:val="16"/>
              </w:rPr>
              <w:t xml:space="preserve">                          drop_first=True, dtype=int)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numeric_columns_to_scale = [c for c in numeric_columns if c != "ChurnFlag"]</w:t>
            </w:r>
          </w:p>
          <w:p>
            <w:pPr>
              <w:spacing w:after="0" w:before="0" w:line="240" w:lineRule="auto"/>
            </w:pPr>
            <w:r>
              <w:rPr>
                <w:rFonts w:ascii="Consolas" w:hAnsi="Consolas" w:eastAsia="Consolas"/>
                <w:color w:val="1A232E"/>
                <w:sz w:val="16"/>
              </w:rPr>
              <w:t>scaler = StandardScaler()</w:t>
            </w:r>
          </w:p>
          <w:p>
            <w:pPr>
              <w:spacing w:after="0" w:before="0" w:line="240" w:lineRule="auto"/>
            </w:pPr>
            <w:r>
              <w:rPr>
                <w:rFonts w:ascii="Consolas" w:hAnsi="Consolas" w:eastAsia="Consolas"/>
                <w:color w:val="1A232E"/>
                <w:sz w:val="16"/>
              </w:rPr>
              <w:t>model_df[numeric_columns_to_scale] = scaler.fit_transform(</w:t>
            </w:r>
          </w:p>
          <w:p>
            <w:pPr>
              <w:spacing w:after="0" w:before="0" w:line="240" w:lineRule="auto"/>
            </w:pPr>
            <w:r>
              <w:rPr>
                <w:rFonts w:ascii="Consolas" w:hAnsi="Consolas" w:eastAsia="Consolas"/>
                <w:color w:val="1A232E"/>
                <w:sz w:val="16"/>
              </w:rPr>
              <w:t xml:space="preserve">    model_df[numeric_columns_to_scale])</w:t>
            </w:r>
          </w:p>
        </w:tc>
      </w:tr>
    </w:tbl>
    <w:p>
      <w:pPr>
        <w:spacing w:after="80"/>
      </w:pPr>
    </w:p>
    <w:p>
      <w:pPr>
        <w:spacing w:after="120" w:before="0"/>
        <w:jc w:val="both"/>
      </w:pPr>
      <w:r>
        <w:rPr>
          <w:b w:val="0"/>
          <w:i w:val="0"/>
          <w:sz w:val="21"/>
        </w:rPr>
        <w:t>Two details here are correct and easy to get wrong. The drop_first argument removes one dummy column per categorical variable, which prevents the dummy-variable trap — a perfectly collinear set of indicators that makes a linear model's coefficient matrix singular. And the scaling list explicitly excludes ChurnFlag: standardising the target would convert a clean 0/1 label into continuous values and break every classifier downstream.</w:t>
      </w:r>
    </w:p>
    <w:p>
      <w:pPr>
        <w:keepNext/>
        <w:spacing w:before="240" w:after="80"/>
      </w:pPr>
      <w:r>
        <w:rPr>
          <w:rFonts w:ascii="Calibri" w:hAnsi="Calibri"/>
          <w:b/>
          <w:color w:val="1B355E"/>
          <w:sz w:val="25"/>
        </w:rPr>
        <w:t>9.4  Results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332"/>
        <w:gridCol w:w="3484"/>
        <w:gridCol w:w="3499"/>
      </w:tblGrid>
      <w:tr>
        <w:tc>
          <w:tcPr>
            <w:tcW w:type="dxa" w:w="2333"/>
            <w:shd w:val="clear" w:color="auto" w:fill="1B355E"/>
          </w:tcPr>
          <w:p>
            <w:pPr>
              <w:spacing w:after="20" w:before="20"/>
              <w:jc w:val="center"/>
            </w:pPr>
            <w:r>
              <w:rPr>
                <w:b/>
                <w:color w:val="FFFFFF"/>
                <w:sz w:val="17"/>
              </w:rPr>
              <w:t>Property</w:t>
            </w:r>
          </w:p>
        </w:tc>
        <w:tc>
          <w:tcPr>
            <w:tcW w:type="dxa" w:w="3485"/>
            <w:shd w:val="clear" w:color="auto" w:fill="1B355E"/>
          </w:tcPr>
          <w:p>
            <w:pPr>
              <w:spacing w:after="20" w:before="20"/>
              <w:jc w:val="center"/>
            </w:pPr>
            <w:r>
              <w:rPr>
                <w:b/>
                <w:color w:val="FFFFFF"/>
                <w:sz w:val="17"/>
              </w:rPr>
              <w:t>Before phase 4</w:t>
            </w:r>
          </w:p>
        </w:tc>
        <w:tc>
          <w:tcPr>
            <w:tcW w:type="dxa" w:w="3499"/>
            <w:shd w:val="clear" w:color="auto" w:fill="1B355E"/>
          </w:tcPr>
          <w:p>
            <w:pPr>
              <w:spacing w:after="20" w:before="20"/>
              <w:jc w:val="center"/>
            </w:pPr>
            <w:r>
              <w:rPr>
                <w:b/>
                <w:color w:val="FFFFFF"/>
                <w:sz w:val="17"/>
              </w:rPr>
              <w:t>After phase 4</w:t>
            </w:r>
          </w:p>
        </w:tc>
      </w:tr>
      <w:tr>
        <w:tc>
          <w:tcPr>
            <w:tcW w:type="dxa" w:w="2333"/>
          </w:tcPr>
          <w:p>
            <w:pPr>
              <w:spacing w:after="20" w:before="20" w:line="254" w:lineRule="auto"/>
              <w:jc w:val="left"/>
            </w:pPr>
            <w:r>
              <w:rPr>
                <w:sz w:val="17"/>
              </w:rPr>
              <w:t>Rows</w:t>
            </w:r>
          </w:p>
        </w:tc>
        <w:tc>
          <w:tcPr>
            <w:tcW w:type="dxa" w:w="3485"/>
          </w:tcPr>
          <w:p>
            <w:pPr>
              <w:spacing w:after="20" w:before="20" w:line="254" w:lineRule="auto"/>
              <w:jc w:val="center"/>
            </w:pPr>
            <w:r>
              <w:rPr>
                <w:sz w:val="17"/>
              </w:rPr>
              <w:t>7 043</w:t>
            </w:r>
          </w:p>
        </w:tc>
        <w:tc>
          <w:tcPr>
            <w:tcW w:type="dxa" w:w="3499"/>
          </w:tcPr>
          <w:p>
            <w:pPr>
              <w:spacing w:after="20" w:before="20" w:line="254" w:lineRule="auto"/>
              <w:jc w:val="center"/>
            </w:pPr>
            <w:r>
              <w:rPr>
                <w:sz w:val="17"/>
              </w:rPr>
              <w:t>7 043</w:t>
            </w:r>
          </w:p>
        </w:tc>
      </w:tr>
      <w:tr>
        <w:tc>
          <w:tcPr>
            <w:tcW w:type="dxa" w:w="2333"/>
            <w:shd w:val="clear" w:color="auto" w:fill="F2F5F9"/>
          </w:tcPr>
          <w:p>
            <w:pPr>
              <w:spacing w:after="20" w:before="20" w:line="254" w:lineRule="auto"/>
              <w:jc w:val="left"/>
            </w:pPr>
            <w:r>
              <w:rPr>
                <w:sz w:val="17"/>
              </w:rPr>
              <w:t>Columns</w:t>
            </w:r>
          </w:p>
        </w:tc>
        <w:tc>
          <w:tcPr>
            <w:tcW w:type="dxa" w:w="3485"/>
            <w:shd w:val="clear" w:color="auto" w:fill="F2F5F9"/>
          </w:tcPr>
          <w:p>
            <w:pPr>
              <w:spacing w:after="20" w:before="20" w:line="254" w:lineRule="auto"/>
              <w:jc w:val="center"/>
            </w:pPr>
            <w:r>
              <w:rPr>
                <w:sz w:val="17"/>
              </w:rPr>
              <w:t>21</w:t>
            </w:r>
          </w:p>
        </w:tc>
        <w:tc>
          <w:tcPr>
            <w:tcW w:type="dxa" w:w="3499"/>
            <w:shd w:val="clear" w:color="auto" w:fill="F2F5F9"/>
          </w:tcPr>
          <w:p>
            <w:pPr>
              <w:spacing w:after="20" w:before="20" w:line="254" w:lineRule="auto"/>
              <w:jc w:val="center"/>
            </w:pPr>
            <w:r>
              <w:rPr>
                <w:b/>
                <w:sz w:val="17"/>
              </w:rPr>
              <w:t>36</w:t>
            </w:r>
          </w:p>
        </w:tc>
      </w:tr>
      <w:tr>
        <w:tc>
          <w:tcPr>
            <w:tcW w:type="dxa" w:w="2333"/>
          </w:tcPr>
          <w:p>
            <w:pPr>
              <w:spacing w:after="20" w:before="20" w:line="254" w:lineRule="auto"/>
              <w:jc w:val="left"/>
            </w:pPr>
            <w:r>
              <w:rPr>
                <w:sz w:val="17"/>
              </w:rPr>
              <w:t>Data types</w:t>
            </w:r>
          </w:p>
        </w:tc>
        <w:tc>
          <w:tcPr>
            <w:tcW w:type="dxa" w:w="3485"/>
          </w:tcPr>
          <w:p>
            <w:pPr>
              <w:spacing w:after="20" w:before="20" w:line="254" w:lineRule="auto"/>
              <w:jc w:val="center"/>
            </w:pPr>
            <w:r>
              <w:rPr>
                <w:sz w:val="17"/>
              </w:rPr>
              <w:t>18 object, 3 numeric</w:t>
            </w:r>
          </w:p>
        </w:tc>
        <w:tc>
          <w:tcPr>
            <w:tcW w:type="dxa" w:w="3499"/>
          </w:tcPr>
          <w:p>
            <w:pPr>
              <w:spacing w:after="20" w:before="20" w:line="254" w:lineRule="auto"/>
              <w:jc w:val="center"/>
            </w:pPr>
            <w:r>
              <w:rPr>
                <w:sz w:val="17"/>
              </w:rPr>
              <w:t>all numeric</w:t>
            </w:r>
          </w:p>
        </w:tc>
      </w:tr>
      <w:tr>
        <w:tc>
          <w:tcPr>
            <w:tcW w:type="dxa" w:w="2333"/>
            <w:shd w:val="clear" w:color="auto" w:fill="F2F5F9"/>
          </w:tcPr>
          <w:p>
            <w:pPr>
              <w:spacing w:after="20" w:before="20" w:line="254" w:lineRule="auto"/>
              <w:jc w:val="left"/>
            </w:pPr>
            <w:r>
              <w:rPr>
                <w:sz w:val="17"/>
              </w:rPr>
              <w:t>Identifier</w:t>
            </w:r>
          </w:p>
        </w:tc>
        <w:tc>
          <w:tcPr>
            <w:tcW w:type="dxa" w:w="3485"/>
            <w:shd w:val="clear" w:color="auto" w:fill="F2F5F9"/>
          </w:tcPr>
          <w:p>
            <w:pPr>
              <w:spacing w:after="20" w:before="20" w:line="254" w:lineRule="auto"/>
              <w:jc w:val="center"/>
            </w:pPr>
            <w:r>
              <w:rPr>
                <w:rFonts w:ascii="Consolas" w:hAnsi="Consolas" w:eastAsia="Consolas"/>
                <w:color w:val="8A2C1F"/>
                <w:sz w:val="16"/>
              </w:rPr>
              <w:t>customerID</w:t>
            </w:r>
            <w:r>
              <w:rPr>
                <w:sz w:val="17"/>
              </w:rPr>
              <w:t xml:space="preserve"> present</w:t>
            </w:r>
          </w:p>
        </w:tc>
        <w:tc>
          <w:tcPr>
            <w:tcW w:type="dxa" w:w="3499"/>
            <w:shd w:val="clear" w:color="auto" w:fill="F2F5F9"/>
          </w:tcPr>
          <w:p>
            <w:pPr>
              <w:spacing w:after="20" w:before="20" w:line="254" w:lineRule="auto"/>
              <w:jc w:val="center"/>
            </w:pPr>
            <w:r>
              <w:rPr>
                <w:sz w:val="17"/>
              </w:rPr>
              <w:t>dropped</w:t>
            </w:r>
          </w:p>
        </w:tc>
      </w:tr>
      <w:tr>
        <w:tc>
          <w:tcPr>
            <w:tcW w:type="dxa" w:w="2333"/>
          </w:tcPr>
          <w:p>
            <w:pPr>
              <w:spacing w:after="20" w:before="20" w:line="254" w:lineRule="auto"/>
              <w:jc w:val="left"/>
            </w:pPr>
            <w:r>
              <w:rPr>
                <w:sz w:val="17"/>
              </w:rPr>
              <w:t>Target</w:t>
            </w:r>
          </w:p>
        </w:tc>
        <w:tc>
          <w:tcPr>
            <w:tcW w:type="dxa" w:w="3485"/>
          </w:tcPr>
          <w:p>
            <w:pPr>
              <w:spacing w:after="20" w:before="20" w:line="254" w:lineRule="auto"/>
              <w:jc w:val="center"/>
            </w:pPr>
            <w:r>
              <w:rPr>
                <w:rFonts w:ascii="Consolas" w:hAnsi="Consolas" w:eastAsia="Consolas"/>
                <w:color w:val="8A2C1F"/>
                <w:sz w:val="16"/>
              </w:rPr>
              <w:t>Churn</w:t>
            </w:r>
            <w:r>
              <w:rPr>
                <w:sz w:val="17"/>
              </w:rPr>
              <w:t xml:space="preserve"> as Yes/No text</w:t>
            </w:r>
          </w:p>
        </w:tc>
        <w:tc>
          <w:tcPr>
            <w:tcW w:type="dxa" w:w="3499"/>
          </w:tcPr>
          <w:p>
            <w:pPr>
              <w:spacing w:after="20" w:before="20" w:line="254" w:lineRule="auto"/>
              <w:jc w:val="left"/>
            </w:pPr>
            <w:r>
              <w:rPr>
                <w:rFonts w:ascii="Consolas" w:hAnsi="Consolas" w:eastAsia="Consolas"/>
                <w:color w:val="8A2C1F"/>
                <w:sz w:val="16"/>
              </w:rPr>
              <w:t>ChurnFlag</w:t>
            </w:r>
            <w:r>
              <w:rPr>
                <w:sz w:val="17"/>
              </w:rPr>
              <w:t xml:space="preserve"> as 0/1 integer</w:t>
            </w:r>
          </w:p>
        </w:tc>
      </w:tr>
      <w:tr>
        <w:tc>
          <w:tcPr>
            <w:tcW w:type="dxa" w:w="2333"/>
            <w:shd w:val="clear" w:color="auto" w:fill="F2F5F9"/>
          </w:tcPr>
          <w:p>
            <w:pPr>
              <w:spacing w:after="20" w:before="20" w:line="254" w:lineRule="auto"/>
              <w:jc w:val="left"/>
            </w:pPr>
            <w:r>
              <w:rPr>
                <w:sz w:val="17"/>
              </w:rPr>
              <w:t>Missing values</w:t>
            </w:r>
          </w:p>
        </w:tc>
        <w:tc>
          <w:tcPr>
            <w:tcW w:type="dxa" w:w="3485"/>
            <w:shd w:val="clear" w:color="auto" w:fill="F2F5F9"/>
          </w:tcPr>
          <w:p>
            <w:pPr>
              <w:spacing w:after="20" w:before="20" w:line="254" w:lineRule="auto"/>
              <w:jc w:val="center"/>
            </w:pPr>
            <w:r>
              <w:rPr>
                <w:sz w:val="17"/>
              </w:rPr>
              <w:t>0</w:t>
            </w:r>
          </w:p>
        </w:tc>
        <w:tc>
          <w:tcPr>
            <w:tcW w:type="dxa" w:w="3499"/>
            <w:shd w:val="clear" w:color="auto" w:fill="F2F5F9"/>
          </w:tcPr>
          <w:p>
            <w:pPr>
              <w:spacing w:after="20" w:before="20" w:line="254" w:lineRule="auto"/>
              <w:jc w:val="center"/>
            </w:pPr>
            <w:r>
              <w:rPr>
                <w:sz w:val="17"/>
              </w:rPr>
              <w:t>0</w:t>
            </w:r>
          </w:p>
        </w:tc>
      </w:tr>
      <w:tr>
        <w:tc>
          <w:tcPr>
            <w:tcW w:type="dxa" w:w="2333"/>
          </w:tcPr>
          <w:p>
            <w:pPr>
              <w:spacing w:after="20" w:before="20" w:line="254" w:lineRule="auto"/>
              <w:jc w:val="left"/>
            </w:pPr>
            <w:r>
              <w:rPr>
                <w:sz w:val="17"/>
              </w:rPr>
              <w:t>Numeric scaling</w:t>
            </w:r>
          </w:p>
        </w:tc>
        <w:tc>
          <w:tcPr>
            <w:tcW w:type="dxa" w:w="3485"/>
          </w:tcPr>
          <w:p>
            <w:pPr>
              <w:spacing w:after="20" w:before="20" w:line="254" w:lineRule="auto"/>
              <w:jc w:val="center"/>
            </w:pPr>
            <w:r>
              <w:rPr>
                <w:sz w:val="17"/>
              </w:rPr>
              <w:t>raw units</w:t>
            </w:r>
          </w:p>
        </w:tc>
        <w:tc>
          <w:tcPr>
            <w:tcW w:type="dxa" w:w="3499"/>
          </w:tcPr>
          <w:p>
            <w:pPr>
              <w:spacing w:after="20" w:before="20" w:line="254" w:lineRule="auto"/>
              <w:jc w:val="left"/>
            </w:pPr>
            <w:r>
              <w:rPr>
                <w:sz w:val="17"/>
              </w:rPr>
              <w:t>zero mean, unit variance</w:t>
            </w:r>
          </w:p>
        </w:tc>
      </w:tr>
    </w:tbl>
    <w:p>
      <w:pPr>
        <w:spacing w:before="80" w:after="200"/>
        <w:jc w:val="center"/>
      </w:pPr>
      <w:r>
        <w:rPr>
          <w:i/>
          <w:color w:val="555F6B"/>
          <w:sz w:val="17"/>
        </w:rPr>
        <w:t>Table 20: Structural transformation applied by phase 4.</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555"/>
        <w:gridCol w:w="1324"/>
        <w:gridCol w:w="1224"/>
        <w:gridCol w:w="1411"/>
        <w:gridCol w:w="3801"/>
      </w:tblGrid>
      <w:tr>
        <w:tc>
          <w:tcPr>
            <w:tcW w:type="dxa" w:w="1555"/>
            <w:shd w:val="clear" w:color="auto" w:fill="1B355E"/>
          </w:tcPr>
          <w:p>
            <w:pPr>
              <w:spacing w:after="20" w:before="20"/>
              <w:jc w:val="center"/>
            </w:pPr>
            <w:r>
              <w:rPr>
                <w:b/>
                <w:color w:val="FFFFFF"/>
                <w:sz w:val="17"/>
              </w:rPr>
              <w:t>Service count</w:t>
            </w:r>
          </w:p>
        </w:tc>
        <w:tc>
          <w:tcPr>
            <w:tcW w:type="dxa" w:w="1325"/>
            <w:shd w:val="clear" w:color="auto" w:fill="1B355E"/>
          </w:tcPr>
          <w:p>
            <w:pPr>
              <w:spacing w:after="20" w:before="20"/>
              <w:jc w:val="center"/>
            </w:pPr>
            <w:r>
              <w:rPr>
                <w:b/>
                <w:color w:val="FFFFFF"/>
                <w:sz w:val="17"/>
              </w:rPr>
              <w:t>Customers</w:t>
            </w:r>
          </w:p>
        </w:tc>
        <w:tc>
          <w:tcPr>
            <w:tcW w:type="dxa" w:w="1224"/>
            <w:shd w:val="clear" w:color="auto" w:fill="1B355E"/>
          </w:tcPr>
          <w:p>
            <w:pPr>
              <w:spacing w:after="20" w:before="20"/>
              <w:jc w:val="center"/>
            </w:pPr>
            <w:r>
              <w:rPr>
                <w:b/>
                <w:color w:val="FFFFFF"/>
                <w:sz w:val="17"/>
              </w:rPr>
              <w:t>Share</w:t>
            </w:r>
          </w:p>
        </w:tc>
        <w:tc>
          <w:tcPr>
            <w:tcW w:type="dxa" w:w="1411"/>
            <w:shd w:val="clear" w:color="auto" w:fill="1B355E"/>
          </w:tcPr>
          <w:p>
            <w:pPr>
              <w:spacing w:after="20" w:before="20"/>
              <w:jc w:val="center"/>
            </w:pPr>
            <w:r>
              <w:rPr>
                <w:b/>
                <w:color w:val="FFFFFF"/>
                <w:sz w:val="17"/>
              </w:rPr>
              <w:t>Churn rate</w:t>
            </w:r>
          </w:p>
        </w:tc>
        <w:tc>
          <w:tcPr>
            <w:tcW w:type="dxa" w:w="3802"/>
            <w:shd w:val="clear" w:color="auto" w:fill="1B355E"/>
          </w:tcPr>
          <w:p>
            <w:pPr>
              <w:spacing w:after="20" w:before="20"/>
              <w:jc w:val="center"/>
            </w:pPr>
            <w:r>
              <w:rPr>
                <w:b/>
                <w:color w:val="FFFFFF"/>
                <w:sz w:val="17"/>
              </w:rPr>
              <w:t>Reading</w:t>
            </w:r>
          </w:p>
        </w:tc>
      </w:tr>
      <w:tr>
        <w:tc>
          <w:tcPr>
            <w:tcW w:type="dxa" w:w="1555"/>
          </w:tcPr>
          <w:p>
            <w:pPr>
              <w:spacing w:after="20" w:before="20" w:line="254" w:lineRule="auto"/>
              <w:jc w:val="left"/>
            </w:pPr>
            <w:r>
              <w:rPr>
                <w:sz w:val="16"/>
              </w:rPr>
              <w:t>0 add-ons</w:t>
            </w:r>
          </w:p>
        </w:tc>
        <w:tc>
          <w:tcPr>
            <w:tcW w:type="dxa" w:w="1325"/>
          </w:tcPr>
          <w:p>
            <w:pPr>
              <w:spacing w:after="20" w:before="20" w:line="254" w:lineRule="auto"/>
              <w:jc w:val="center"/>
            </w:pPr>
            <w:r>
              <w:rPr>
                <w:sz w:val="16"/>
              </w:rPr>
              <w:t>2 219</w:t>
            </w:r>
          </w:p>
        </w:tc>
        <w:tc>
          <w:tcPr>
            <w:tcW w:type="dxa" w:w="1224"/>
          </w:tcPr>
          <w:p>
            <w:pPr>
              <w:spacing w:after="20" w:before="20" w:line="254" w:lineRule="auto"/>
              <w:jc w:val="center"/>
            </w:pPr>
            <w:r>
              <w:rPr>
                <w:sz w:val="16"/>
              </w:rPr>
              <w:t>31.51 %</w:t>
            </w:r>
          </w:p>
        </w:tc>
        <w:tc>
          <w:tcPr>
            <w:tcW w:type="dxa" w:w="1411"/>
          </w:tcPr>
          <w:p>
            <w:pPr>
              <w:spacing w:after="20" w:before="20" w:line="254" w:lineRule="auto"/>
              <w:jc w:val="center"/>
            </w:pPr>
            <w:r>
              <w:rPr>
                <w:sz w:val="16"/>
              </w:rPr>
              <w:t>21.41 %</w:t>
            </w:r>
          </w:p>
        </w:tc>
        <w:tc>
          <w:tcPr>
            <w:tcW w:type="dxa" w:w="3802"/>
          </w:tcPr>
          <w:p>
            <w:pPr>
              <w:spacing w:after="20" w:before="20" w:line="254" w:lineRule="auto"/>
              <w:jc w:val="left"/>
            </w:pPr>
            <w:r>
              <w:rPr>
                <w:sz w:val="16"/>
              </w:rPr>
              <w:t>largely no-internet customers, structurally low risk</w:t>
            </w:r>
          </w:p>
        </w:tc>
      </w:tr>
      <w:tr>
        <w:tc>
          <w:tcPr>
            <w:tcW w:type="dxa" w:w="1555"/>
            <w:shd w:val="clear" w:color="auto" w:fill="F2F5F9"/>
          </w:tcPr>
          <w:p>
            <w:pPr>
              <w:spacing w:after="20" w:before="20" w:line="254" w:lineRule="auto"/>
              <w:jc w:val="left"/>
            </w:pPr>
            <w:r>
              <w:rPr>
                <w:sz w:val="16"/>
              </w:rPr>
              <w:t>1 add-on</w:t>
            </w:r>
          </w:p>
        </w:tc>
        <w:tc>
          <w:tcPr>
            <w:tcW w:type="dxa" w:w="1325"/>
            <w:shd w:val="clear" w:color="auto" w:fill="F2F5F9"/>
          </w:tcPr>
          <w:p>
            <w:pPr>
              <w:spacing w:after="20" w:before="20" w:line="254" w:lineRule="auto"/>
              <w:jc w:val="center"/>
            </w:pPr>
            <w:r>
              <w:rPr>
                <w:sz w:val="16"/>
              </w:rPr>
              <w:t>966</w:t>
            </w:r>
          </w:p>
        </w:tc>
        <w:tc>
          <w:tcPr>
            <w:tcW w:type="dxa" w:w="1224"/>
            <w:shd w:val="clear" w:color="auto" w:fill="F2F5F9"/>
          </w:tcPr>
          <w:p>
            <w:pPr>
              <w:spacing w:after="20" w:before="20" w:line="254" w:lineRule="auto"/>
              <w:jc w:val="center"/>
            </w:pPr>
            <w:r>
              <w:rPr>
                <w:sz w:val="16"/>
              </w:rPr>
              <w:t>13.72 %</w:t>
            </w:r>
          </w:p>
        </w:tc>
        <w:tc>
          <w:tcPr>
            <w:tcW w:type="dxa" w:w="1411"/>
            <w:shd w:val="clear" w:color="auto" w:fill="F2F5F9"/>
          </w:tcPr>
          <w:p>
            <w:pPr>
              <w:spacing w:after="20" w:before="20" w:line="254" w:lineRule="auto"/>
              <w:jc w:val="center"/>
            </w:pPr>
            <w:r>
              <w:rPr>
                <w:b/>
                <w:sz w:val="16"/>
              </w:rPr>
              <w:t>45.76 %</w:t>
            </w:r>
          </w:p>
        </w:tc>
        <w:tc>
          <w:tcPr>
            <w:tcW w:type="dxa" w:w="3802"/>
            <w:shd w:val="clear" w:color="auto" w:fill="F2F5F9"/>
          </w:tcPr>
          <w:p>
            <w:pPr>
              <w:spacing w:after="20" w:before="20" w:line="254" w:lineRule="auto"/>
              <w:jc w:val="left"/>
            </w:pPr>
            <w:r>
              <w:rPr>
                <w:sz w:val="16"/>
              </w:rPr>
              <w:t>the peak-risk group in the entire base</w:t>
            </w:r>
          </w:p>
        </w:tc>
      </w:tr>
      <w:tr>
        <w:tc>
          <w:tcPr>
            <w:tcW w:type="dxa" w:w="1555"/>
          </w:tcPr>
          <w:p>
            <w:pPr>
              <w:spacing w:after="20" w:before="20" w:line="254" w:lineRule="auto"/>
              <w:jc w:val="left"/>
            </w:pPr>
            <w:r>
              <w:rPr>
                <w:sz w:val="16"/>
              </w:rPr>
              <w:t>2 add-ons</w:t>
            </w:r>
          </w:p>
        </w:tc>
        <w:tc>
          <w:tcPr>
            <w:tcW w:type="dxa" w:w="1325"/>
          </w:tcPr>
          <w:p>
            <w:pPr>
              <w:spacing w:after="20" w:before="20" w:line="254" w:lineRule="auto"/>
              <w:jc w:val="center"/>
            </w:pPr>
            <w:r>
              <w:rPr>
                <w:sz w:val="16"/>
              </w:rPr>
              <w:t>1 033</w:t>
            </w:r>
          </w:p>
        </w:tc>
        <w:tc>
          <w:tcPr>
            <w:tcW w:type="dxa" w:w="1224"/>
          </w:tcPr>
          <w:p>
            <w:pPr>
              <w:spacing w:after="20" w:before="20" w:line="254" w:lineRule="auto"/>
              <w:jc w:val="center"/>
            </w:pPr>
            <w:r>
              <w:rPr>
                <w:sz w:val="16"/>
              </w:rPr>
              <w:t>14.67 %</w:t>
            </w:r>
          </w:p>
        </w:tc>
        <w:tc>
          <w:tcPr>
            <w:tcW w:type="dxa" w:w="1411"/>
          </w:tcPr>
          <w:p>
            <w:pPr>
              <w:spacing w:after="20" w:before="20" w:line="254" w:lineRule="auto"/>
              <w:jc w:val="center"/>
            </w:pPr>
            <w:r>
              <w:rPr>
                <w:sz w:val="16"/>
              </w:rPr>
              <w:t>35.82 %</w:t>
            </w:r>
          </w:p>
        </w:tc>
        <w:tc>
          <w:tcPr>
            <w:tcW w:type="dxa" w:w="3802"/>
          </w:tcPr>
          <w:p>
            <w:pPr>
              <w:spacing w:after="20" w:before="20" w:line="254" w:lineRule="auto"/>
              <w:jc w:val="center"/>
            </w:pPr>
            <w:r>
              <w:rPr>
                <w:sz w:val="16"/>
              </w:rPr>
              <w:t>risk falling</w:t>
            </w:r>
          </w:p>
        </w:tc>
      </w:tr>
      <w:tr>
        <w:tc>
          <w:tcPr>
            <w:tcW w:type="dxa" w:w="1555"/>
            <w:shd w:val="clear" w:color="auto" w:fill="F2F5F9"/>
          </w:tcPr>
          <w:p>
            <w:pPr>
              <w:spacing w:after="20" w:before="20" w:line="254" w:lineRule="auto"/>
              <w:jc w:val="left"/>
            </w:pPr>
            <w:r>
              <w:rPr>
                <w:sz w:val="16"/>
              </w:rPr>
              <w:t>3 add-ons</w:t>
            </w:r>
          </w:p>
        </w:tc>
        <w:tc>
          <w:tcPr>
            <w:tcW w:type="dxa" w:w="1325"/>
            <w:shd w:val="clear" w:color="auto" w:fill="F2F5F9"/>
          </w:tcPr>
          <w:p>
            <w:pPr>
              <w:spacing w:after="20" w:before="20" w:line="254" w:lineRule="auto"/>
              <w:jc w:val="center"/>
            </w:pPr>
            <w:r>
              <w:rPr>
                <w:sz w:val="16"/>
              </w:rPr>
              <w:t>1 118</w:t>
            </w:r>
          </w:p>
        </w:tc>
        <w:tc>
          <w:tcPr>
            <w:tcW w:type="dxa" w:w="1224"/>
            <w:shd w:val="clear" w:color="auto" w:fill="F2F5F9"/>
          </w:tcPr>
          <w:p>
            <w:pPr>
              <w:spacing w:after="20" w:before="20" w:line="254" w:lineRule="auto"/>
              <w:jc w:val="center"/>
            </w:pPr>
            <w:r>
              <w:rPr>
                <w:sz w:val="16"/>
              </w:rPr>
              <w:t>15.87 %</w:t>
            </w:r>
          </w:p>
        </w:tc>
        <w:tc>
          <w:tcPr>
            <w:tcW w:type="dxa" w:w="1411"/>
            <w:shd w:val="clear" w:color="auto" w:fill="F2F5F9"/>
          </w:tcPr>
          <w:p>
            <w:pPr>
              <w:spacing w:after="20" w:before="20" w:line="254" w:lineRule="auto"/>
              <w:jc w:val="center"/>
            </w:pPr>
            <w:r>
              <w:rPr>
                <w:sz w:val="16"/>
              </w:rPr>
              <w:t>27.37 %</w:t>
            </w:r>
          </w:p>
        </w:tc>
        <w:tc>
          <w:tcPr>
            <w:tcW w:type="dxa" w:w="3802"/>
            <w:shd w:val="clear" w:color="auto" w:fill="F2F5F9"/>
          </w:tcPr>
          <w:p>
            <w:pPr>
              <w:spacing w:after="20" w:before="20" w:line="254" w:lineRule="auto"/>
              <w:jc w:val="center"/>
            </w:pPr>
            <w:r>
              <w:rPr>
                <w:sz w:val="16"/>
              </w:rPr>
              <w:t>at the base rate</w:t>
            </w:r>
          </w:p>
        </w:tc>
      </w:tr>
      <w:tr>
        <w:tc>
          <w:tcPr>
            <w:tcW w:type="dxa" w:w="1555"/>
          </w:tcPr>
          <w:p>
            <w:pPr>
              <w:spacing w:after="20" w:before="20" w:line="254" w:lineRule="auto"/>
              <w:jc w:val="left"/>
            </w:pPr>
            <w:r>
              <w:rPr>
                <w:sz w:val="16"/>
              </w:rPr>
              <w:t>4 add-ons</w:t>
            </w:r>
          </w:p>
        </w:tc>
        <w:tc>
          <w:tcPr>
            <w:tcW w:type="dxa" w:w="1325"/>
          </w:tcPr>
          <w:p>
            <w:pPr>
              <w:spacing w:after="20" w:before="20" w:line="254" w:lineRule="auto"/>
              <w:jc w:val="center"/>
            </w:pPr>
            <w:r>
              <w:rPr>
                <w:sz w:val="16"/>
              </w:rPr>
              <w:t>852</w:t>
            </w:r>
          </w:p>
        </w:tc>
        <w:tc>
          <w:tcPr>
            <w:tcW w:type="dxa" w:w="1224"/>
          </w:tcPr>
          <w:p>
            <w:pPr>
              <w:spacing w:after="20" w:before="20" w:line="254" w:lineRule="auto"/>
              <w:jc w:val="center"/>
            </w:pPr>
            <w:r>
              <w:rPr>
                <w:sz w:val="16"/>
              </w:rPr>
              <w:t>12.10 %</w:t>
            </w:r>
          </w:p>
        </w:tc>
        <w:tc>
          <w:tcPr>
            <w:tcW w:type="dxa" w:w="1411"/>
          </w:tcPr>
          <w:p>
            <w:pPr>
              <w:spacing w:after="20" w:before="20" w:line="254" w:lineRule="auto"/>
              <w:jc w:val="center"/>
            </w:pPr>
            <w:r>
              <w:rPr>
                <w:sz w:val="16"/>
              </w:rPr>
              <w:t>22.30 %</w:t>
            </w:r>
          </w:p>
        </w:tc>
        <w:tc>
          <w:tcPr>
            <w:tcW w:type="dxa" w:w="3802"/>
          </w:tcPr>
          <w:p>
            <w:pPr>
              <w:spacing w:after="20" w:before="20" w:line="254" w:lineRule="auto"/>
              <w:jc w:val="center"/>
            </w:pPr>
            <w:r>
              <w:rPr>
                <w:sz w:val="16"/>
              </w:rPr>
              <w:t>below base</w:t>
            </w:r>
          </w:p>
        </w:tc>
      </w:tr>
      <w:tr>
        <w:tc>
          <w:tcPr>
            <w:tcW w:type="dxa" w:w="1555"/>
            <w:shd w:val="clear" w:color="auto" w:fill="F2F5F9"/>
          </w:tcPr>
          <w:p>
            <w:pPr>
              <w:spacing w:after="20" w:before="20" w:line="254" w:lineRule="auto"/>
              <w:jc w:val="left"/>
            </w:pPr>
            <w:r>
              <w:rPr>
                <w:sz w:val="16"/>
              </w:rPr>
              <w:t>5 add-ons</w:t>
            </w:r>
          </w:p>
        </w:tc>
        <w:tc>
          <w:tcPr>
            <w:tcW w:type="dxa" w:w="1325"/>
            <w:shd w:val="clear" w:color="auto" w:fill="F2F5F9"/>
          </w:tcPr>
          <w:p>
            <w:pPr>
              <w:spacing w:after="20" w:before="20" w:line="254" w:lineRule="auto"/>
              <w:jc w:val="center"/>
            </w:pPr>
            <w:r>
              <w:rPr>
                <w:sz w:val="16"/>
              </w:rPr>
              <w:t>571</w:t>
            </w:r>
          </w:p>
        </w:tc>
        <w:tc>
          <w:tcPr>
            <w:tcW w:type="dxa" w:w="1224"/>
            <w:shd w:val="clear" w:color="auto" w:fill="F2F5F9"/>
          </w:tcPr>
          <w:p>
            <w:pPr>
              <w:spacing w:after="20" w:before="20" w:line="254" w:lineRule="auto"/>
              <w:jc w:val="center"/>
            </w:pPr>
            <w:r>
              <w:rPr>
                <w:sz w:val="16"/>
              </w:rPr>
              <w:t>8.11 %</w:t>
            </w:r>
          </w:p>
        </w:tc>
        <w:tc>
          <w:tcPr>
            <w:tcW w:type="dxa" w:w="1411"/>
            <w:shd w:val="clear" w:color="auto" w:fill="F2F5F9"/>
          </w:tcPr>
          <w:p>
            <w:pPr>
              <w:spacing w:after="20" w:before="20" w:line="254" w:lineRule="auto"/>
              <w:jc w:val="center"/>
            </w:pPr>
            <w:r>
              <w:rPr>
                <w:sz w:val="16"/>
              </w:rPr>
              <w:t>12.43 %</w:t>
            </w:r>
          </w:p>
        </w:tc>
        <w:tc>
          <w:tcPr>
            <w:tcW w:type="dxa" w:w="3802"/>
            <w:shd w:val="clear" w:color="auto" w:fill="F2F5F9"/>
          </w:tcPr>
          <w:p>
            <w:pPr>
              <w:spacing w:after="20" w:before="20" w:line="254" w:lineRule="auto"/>
              <w:jc w:val="center"/>
            </w:pPr>
            <w:r>
              <w:rPr>
                <w:sz w:val="16"/>
              </w:rPr>
              <w:t>entangled</w:t>
            </w:r>
          </w:p>
        </w:tc>
      </w:tr>
      <w:tr>
        <w:tc>
          <w:tcPr>
            <w:tcW w:type="dxa" w:w="1555"/>
          </w:tcPr>
          <w:p>
            <w:pPr>
              <w:spacing w:after="20" w:before="20" w:line="254" w:lineRule="auto"/>
              <w:jc w:val="left"/>
            </w:pPr>
            <w:r>
              <w:rPr>
                <w:sz w:val="16"/>
              </w:rPr>
              <w:t>6 add-ons</w:t>
            </w:r>
          </w:p>
        </w:tc>
        <w:tc>
          <w:tcPr>
            <w:tcW w:type="dxa" w:w="1325"/>
          </w:tcPr>
          <w:p>
            <w:pPr>
              <w:spacing w:after="20" w:before="20" w:line="254" w:lineRule="auto"/>
              <w:jc w:val="center"/>
            </w:pPr>
            <w:r>
              <w:rPr>
                <w:sz w:val="16"/>
              </w:rPr>
              <w:t>284</w:t>
            </w:r>
          </w:p>
        </w:tc>
        <w:tc>
          <w:tcPr>
            <w:tcW w:type="dxa" w:w="1224"/>
          </w:tcPr>
          <w:p>
            <w:pPr>
              <w:spacing w:after="20" w:before="20" w:line="254" w:lineRule="auto"/>
              <w:jc w:val="center"/>
            </w:pPr>
            <w:r>
              <w:rPr>
                <w:sz w:val="16"/>
              </w:rPr>
              <w:t>4.03 %</w:t>
            </w:r>
          </w:p>
        </w:tc>
        <w:tc>
          <w:tcPr>
            <w:tcW w:type="dxa" w:w="1411"/>
          </w:tcPr>
          <w:p>
            <w:pPr>
              <w:spacing w:after="20" w:before="20" w:line="254" w:lineRule="auto"/>
              <w:jc w:val="center"/>
            </w:pPr>
            <w:r>
              <w:rPr>
                <w:b/>
                <w:sz w:val="16"/>
              </w:rPr>
              <w:t>5.28 %</w:t>
            </w:r>
          </w:p>
        </w:tc>
        <w:tc>
          <w:tcPr>
            <w:tcW w:type="dxa" w:w="3802"/>
          </w:tcPr>
          <w:p>
            <w:pPr>
              <w:spacing w:after="20" w:before="20" w:line="254" w:lineRule="auto"/>
              <w:jc w:val="left"/>
            </w:pPr>
            <w:r>
              <w:rPr>
                <w:sz w:val="16"/>
              </w:rPr>
              <w:t>fully bundled; lowest risk of any group</w:t>
            </w:r>
          </w:p>
        </w:tc>
      </w:tr>
    </w:tbl>
    <w:p>
      <w:pPr>
        <w:spacing w:before="80" w:after="200"/>
        <w:jc w:val="center"/>
      </w:pPr>
      <w:r>
        <w:rPr>
          <w:i/>
          <w:color w:val="555F6B"/>
          <w:sz w:val="17"/>
        </w:rPr>
        <w:t>Table 21: Churn rate by number of add-on services, showing the non-monotonic relationship between product adoption and retention.</w:t>
      </w:r>
    </w:p>
    <w:p>
      <w:pPr>
        <w:spacing w:after="120" w:before="0"/>
        <w:jc w:val="both"/>
      </w:pPr>
      <w:r>
        <w:rPr>
          <w:b w:val="0"/>
          <w:i w:val="0"/>
          <w:sz w:val="21"/>
        </w:rPr>
        <w:t>The ServiceCount profile is the most interesting result phase 4 produces, because it is not monotonic. Risk peaks at exactly one add-on (45.76 %) and then falls steadily to 5.28 % at six. The zero-add-on group sits low at 21.41 % but for a different reason: it is dominated by customers with no internet service at all, who have little to churn from. The actionable reading is that a single add-on is the worst place for a customer to sit — they are paying for a bundle without being anchored by it — and that moving a customer from one service to three materially reduces risk. Because a straight line cannot represent a curve that rises then falls, this is also a concrete argument for including tree-based models in phase 6.</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728"/>
        <w:gridCol w:w="2520"/>
        <w:gridCol w:w="1728"/>
        <w:gridCol w:w="3340"/>
      </w:tblGrid>
      <w:tr>
        <w:tc>
          <w:tcPr>
            <w:tcW w:type="dxa" w:w="1728"/>
            <w:shd w:val="clear" w:color="auto" w:fill="1B355E"/>
          </w:tcPr>
          <w:p>
            <w:pPr>
              <w:spacing w:after="20" w:before="20"/>
              <w:jc w:val="center"/>
            </w:pPr>
            <w:r>
              <w:rPr>
                <w:b/>
                <w:color w:val="FFFFFF"/>
                <w:sz w:val="17"/>
              </w:rPr>
              <w:t>Value tier</w:t>
            </w:r>
          </w:p>
        </w:tc>
        <w:tc>
          <w:tcPr>
            <w:tcW w:type="dxa" w:w="2520"/>
            <w:shd w:val="clear" w:color="auto" w:fill="1B355E"/>
          </w:tcPr>
          <w:p>
            <w:pPr>
              <w:spacing w:after="20" w:before="20"/>
              <w:jc w:val="center"/>
            </w:pPr>
            <w:r>
              <w:rPr>
                <w:b/>
                <w:color w:val="FFFFFF"/>
                <w:sz w:val="17"/>
              </w:rPr>
              <w:t>ARPU range</w:t>
            </w:r>
          </w:p>
        </w:tc>
        <w:tc>
          <w:tcPr>
            <w:tcW w:type="dxa" w:w="1728"/>
            <w:shd w:val="clear" w:color="auto" w:fill="1B355E"/>
          </w:tcPr>
          <w:p>
            <w:pPr>
              <w:spacing w:after="20" w:before="20"/>
              <w:jc w:val="center"/>
            </w:pPr>
            <w:r>
              <w:rPr>
                <w:b/>
                <w:color w:val="FFFFFF"/>
                <w:sz w:val="17"/>
              </w:rPr>
              <w:t>Customers</w:t>
            </w:r>
          </w:p>
        </w:tc>
        <w:tc>
          <w:tcPr>
            <w:tcW w:type="dxa" w:w="3341"/>
            <w:shd w:val="clear" w:color="auto" w:fill="1B355E"/>
          </w:tcPr>
          <w:p>
            <w:pPr>
              <w:spacing w:after="20" w:before="20"/>
              <w:jc w:val="center"/>
            </w:pPr>
            <w:r>
              <w:rPr>
                <w:b/>
                <w:color w:val="FFFFFF"/>
                <w:sz w:val="17"/>
              </w:rPr>
              <w:t>Churn rate</w:t>
            </w:r>
          </w:p>
        </w:tc>
      </w:tr>
      <w:tr>
        <w:tc>
          <w:tcPr>
            <w:tcW w:type="dxa" w:w="1728"/>
          </w:tcPr>
          <w:p>
            <w:pPr>
              <w:spacing w:after="20" w:before="20" w:line="254" w:lineRule="auto"/>
              <w:jc w:val="left"/>
            </w:pPr>
            <w:r>
              <w:rPr>
                <w:sz w:val="17"/>
              </w:rPr>
              <w:t>Low</w:t>
            </w:r>
          </w:p>
        </w:tc>
        <w:tc>
          <w:tcPr>
            <w:tcW w:type="dxa" w:w="2520"/>
          </w:tcPr>
          <w:p>
            <w:pPr>
              <w:spacing w:after="20" w:before="20" w:line="254" w:lineRule="auto"/>
              <w:jc w:val="center"/>
            </w:pPr>
            <w:r>
              <w:rPr>
                <w:sz w:val="17"/>
              </w:rPr>
              <w:t>0.00 - 35.65</w:t>
            </w:r>
          </w:p>
        </w:tc>
        <w:tc>
          <w:tcPr>
            <w:tcW w:type="dxa" w:w="1728"/>
          </w:tcPr>
          <w:p>
            <w:pPr>
              <w:spacing w:after="20" w:before="20" w:line="254" w:lineRule="auto"/>
              <w:jc w:val="center"/>
            </w:pPr>
            <w:r>
              <w:rPr>
                <w:sz w:val="17"/>
              </w:rPr>
              <w:t>1 761</w:t>
            </w:r>
          </w:p>
        </w:tc>
        <w:tc>
          <w:tcPr>
            <w:tcW w:type="dxa" w:w="3341"/>
          </w:tcPr>
          <w:p>
            <w:pPr>
              <w:spacing w:after="20" w:before="20" w:line="254" w:lineRule="auto"/>
              <w:jc w:val="center"/>
            </w:pPr>
            <w:r>
              <w:rPr>
                <w:b/>
                <w:sz w:val="17"/>
              </w:rPr>
              <w:t>11.07 %</w:t>
            </w:r>
          </w:p>
        </w:tc>
      </w:tr>
      <w:tr>
        <w:tc>
          <w:tcPr>
            <w:tcW w:type="dxa" w:w="1728"/>
            <w:shd w:val="clear" w:color="auto" w:fill="F2F5F9"/>
          </w:tcPr>
          <w:p>
            <w:pPr>
              <w:spacing w:after="20" w:before="20" w:line="254" w:lineRule="auto"/>
              <w:jc w:val="left"/>
            </w:pPr>
            <w:r>
              <w:rPr>
                <w:sz w:val="17"/>
              </w:rPr>
              <w:t>Medium</w:t>
            </w:r>
          </w:p>
        </w:tc>
        <w:tc>
          <w:tcPr>
            <w:tcW w:type="dxa" w:w="2520"/>
            <w:shd w:val="clear" w:color="auto" w:fill="F2F5F9"/>
          </w:tcPr>
          <w:p>
            <w:pPr>
              <w:spacing w:after="20" w:before="20" w:line="254" w:lineRule="auto"/>
              <w:jc w:val="center"/>
            </w:pPr>
            <w:r>
              <w:rPr>
                <w:sz w:val="17"/>
              </w:rPr>
              <w:t>35.65 - 70.30</w:t>
            </w:r>
          </w:p>
        </w:tc>
        <w:tc>
          <w:tcPr>
            <w:tcW w:type="dxa" w:w="1728"/>
            <w:shd w:val="clear" w:color="auto" w:fill="F2F5F9"/>
          </w:tcPr>
          <w:p>
            <w:pPr>
              <w:spacing w:after="20" w:before="20" w:line="254" w:lineRule="auto"/>
              <w:jc w:val="center"/>
            </w:pPr>
            <w:r>
              <w:rPr>
                <w:sz w:val="17"/>
              </w:rPr>
              <w:t>1 762</w:t>
            </w:r>
          </w:p>
        </w:tc>
        <w:tc>
          <w:tcPr>
            <w:tcW w:type="dxa" w:w="3341"/>
            <w:shd w:val="clear" w:color="auto" w:fill="F2F5F9"/>
          </w:tcPr>
          <w:p>
            <w:pPr>
              <w:spacing w:after="20" w:before="20" w:line="254" w:lineRule="auto"/>
              <w:jc w:val="center"/>
            </w:pPr>
            <w:r>
              <w:rPr>
                <w:sz w:val="17"/>
              </w:rPr>
              <w:t>25.37 %</w:t>
            </w:r>
          </w:p>
        </w:tc>
      </w:tr>
      <w:tr>
        <w:tc>
          <w:tcPr>
            <w:tcW w:type="dxa" w:w="1728"/>
          </w:tcPr>
          <w:p>
            <w:pPr>
              <w:spacing w:after="20" w:before="20" w:line="254" w:lineRule="auto"/>
              <w:jc w:val="left"/>
            </w:pPr>
            <w:r>
              <w:rPr>
                <w:sz w:val="17"/>
              </w:rPr>
              <w:t>High</w:t>
            </w:r>
          </w:p>
        </w:tc>
        <w:tc>
          <w:tcPr>
            <w:tcW w:type="dxa" w:w="2520"/>
          </w:tcPr>
          <w:p>
            <w:pPr>
              <w:spacing w:after="20" w:before="20" w:line="254" w:lineRule="auto"/>
              <w:jc w:val="center"/>
            </w:pPr>
            <w:r>
              <w:rPr>
                <w:sz w:val="17"/>
              </w:rPr>
              <w:t>70.30 - 90.17</w:t>
            </w:r>
          </w:p>
        </w:tc>
        <w:tc>
          <w:tcPr>
            <w:tcW w:type="dxa" w:w="1728"/>
          </w:tcPr>
          <w:p>
            <w:pPr>
              <w:spacing w:after="20" w:before="20" w:line="254" w:lineRule="auto"/>
              <w:jc w:val="center"/>
            </w:pPr>
            <w:r>
              <w:rPr>
                <w:sz w:val="17"/>
              </w:rPr>
              <w:t>1 759</w:t>
            </w:r>
          </w:p>
        </w:tc>
        <w:tc>
          <w:tcPr>
            <w:tcW w:type="dxa" w:w="3341"/>
          </w:tcPr>
          <w:p>
            <w:pPr>
              <w:spacing w:after="20" w:before="20" w:line="254" w:lineRule="auto"/>
              <w:jc w:val="center"/>
            </w:pPr>
            <w:r>
              <w:rPr>
                <w:b/>
                <w:sz w:val="17"/>
              </w:rPr>
              <w:t>36.33 %</w:t>
            </w:r>
          </w:p>
        </w:tc>
      </w:tr>
      <w:tr>
        <w:tc>
          <w:tcPr>
            <w:tcW w:type="dxa" w:w="1728"/>
            <w:shd w:val="clear" w:color="auto" w:fill="F2F5F9"/>
          </w:tcPr>
          <w:p>
            <w:pPr>
              <w:spacing w:after="20" w:before="20" w:line="254" w:lineRule="auto"/>
              <w:jc w:val="left"/>
            </w:pPr>
            <w:r>
              <w:rPr>
                <w:sz w:val="17"/>
              </w:rPr>
              <w:t>Premium</w:t>
            </w:r>
          </w:p>
        </w:tc>
        <w:tc>
          <w:tcPr>
            <w:tcW w:type="dxa" w:w="2520"/>
            <w:shd w:val="clear" w:color="auto" w:fill="F2F5F9"/>
          </w:tcPr>
          <w:p>
            <w:pPr>
              <w:spacing w:after="20" w:before="20" w:line="254" w:lineRule="auto"/>
              <w:jc w:val="center"/>
            </w:pPr>
            <w:r>
              <w:rPr>
                <w:sz w:val="17"/>
              </w:rPr>
              <w:t>90.17 - 121.40</w:t>
            </w:r>
          </w:p>
        </w:tc>
        <w:tc>
          <w:tcPr>
            <w:tcW w:type="dxa" w:w="1728"/>
            <w:shd w:val="clear" w:color="auto" w:fill="F2F5F9"/>
          </w:tcPr>
          <w:p>
            <w:pPr>
              <w:spacing w:after="20" w:before="20" w:line="254" w:lineRule="auto"/>
              <w:jc w:val="center"/>
            </w:pPr>
            <w:r>
              <w:rPr>
                <w:sz w:val="17"/>
              </w:rPr>
              <w:t>1 761</w:t>
            </w:r>
          </w:p>
        </w:tc>
        <w:tc>
          <w:tcPr>
            <w:tcW w:type="dxa" w:w="3341"/>
            <w:shd w:val="clear" w:color="auto" w:fill="F2F5F9"/>
          </w:tcPr>
          <w:p>
            <w:pPr>
              <w:spacing w:after="20" w:before="20" w:line="254" w:lineRule="auto"/>
              <w:jc w:val="center"/>
            </w:pPr>
            <w:r>
              <w:rPr>
                <w:sz w:val="17"/>
              </w:rPr>
              <w:t>33.39 %</w:t>
            </w:r>
          </w:p>
        </w:tc>
      </w:tr>
    </w:tbl>
    <w:p>
      <w:pPr>
        <w:spacing w:before="80" w:after="200"/>
        <w:jc w:val="center"/>
      </w:pPr>
      <w:r>
        <w:rPr>
          <w:i/>
          <w:color w:val="555F6B"/>
          <w:sz w:val="17"/>
        </w:rPr>
        <w:t>Table 22: Churn rate by ARPU-based value tier. The quartile construction yields four near-equal groups.</w:t>
      </w:r>
    </w:p>
    <w:p>
      <w:pPr>
        <w:spacing w:after="120" w:before="0"/>
        <w:jc w:val="both"/>
      </w:pPr>
      <w:r>
        <w:rPr>
          <w:b w:val="0"/>
          <w:i w:val="0"/>
          <w:sz w:val="21"/>
        </w:rPr>
        <w:t>Churn rises sharply with value tier before easing slightly at the top. The High tier is the commercially dangerous one: it combines a high churn rate with substantial per-customer revenue, meaning it carries the largest revenue at risk of any tier. The slight decline in the Premium tier is consistent with those customers being heavily bundled, which the ServiceCount analysis has already shown to be protective.</w:t>
      </w:r>
    </w:p>
    <w:p>
      <w:r>
        <w:br w:type="page"/>
      </w:r>
    </w:p>
    <w:p>
      <w:pPr>
        <w:spacing w:after="0"/>
      </w:pPr>
    </w:p>
    <w:p>
      <w:pPr>
        <w:keepNext/>
        <w:spacing w:before="80" w:after="40"/>
        <w:pBdr>
          <w:bottom w:val="single" w:sz="10" w:space="3" w:color="1B355E"/>
        </w:pBdr>
      </w:pPr>
      <w:r>
        <w:rPr>
          <w:rFonts w:ascii="Calibri" w:hAnsi="Calibri"/>
          <w:b/>
          <w:color w:val="1B355E"/>
          <w:sz w:val="30"/>
        </w:rPr>
        <w:t>10.  Phase 5 — Customer Segmentation</w:t>
      </w:r>
    </w:p>
    <w:p>
      <w:pPr>
        <w:spacing w:after="40"/>
      </w:pPr>
    </w:p>
    <w:p>
      <w:pPr>
        <w:keepNext/>
        <w:spacing w:before="240" w:after="80"/>
      </w:pPr>
      <w:r>
        <w:rPr>
          <w:rFonts w:ascii="Calibri" w:hAnsi="Calibri"/>
          <w:b/>
          <w:color w:val="1B355E"/>
          <w:sz w:val="25"/>
        </w:rPr>
        <w:t>10.1  Purpose</w:t>
      </w:r>
    </w:p>
    <w:p>
      <w:pPr>
        <w:spacing w:after="120" w:before="0"/>
        <w:jc w:val="both"/>
      </w:pPr>
      <w:r>
        <w:rPr>
          <w:b w:val="0"/>
          <w:i w:val="0"/>
          <w:sz w:val="21"/>
        </w:rPr>
        <w:t>Phase 5 groups the customer base into behavioural segments without reference to the churn label. This is unsupervised work, and its value is that the resulting groups are defined by how customers behave rather than by what happened to them — which means the segments remain meaningful for customers whose outcome is not yet known. The phase then profiles each cluster, and only at that point overlays the observed churn rate to see which segments are dangerous.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232"/>
        <w:gridCol w:w="7084"/>
      </w:tblGrid>
      <w:tr>
        <w:tc>
          <w:tcPr>
            <w:tcW w:type="dxa" w:w="2232"/>
            <w:shd w:val="clear" w:color="auto" w:fill="1B355E"/>
          </w:tcPr>
          <w:p>
            <w:pPr>
              <w:spacing w:after="20" w:before="20"/>
              <w:jc w:val="center"/>
            </w:pPr>
            <w:r>
              <w:rPr>
                <w:b/>
                <w:color w:val="FFFFFF"/>
                <w:sz w:val="17"/>
              </w:rPr>
              <w:t>Property</w:t>
            </w:r>
          </w:p>
        </w:tc>
        <w:tc>
          <w:tcPr>
            <w:tcW w:type="dxa" w:w="7085"/>
            <w:shd w:val="clear" w:color="auto" w:fill="1B355E"/>
          </w:tcPr>
          <w:p>
            <w:pPr>
              <w:spacing w:after="20" w:before="20"/>
              <w:jc w:val="center"/>
            </w:pPr>
            <w:r>
              <w:rPr>
                <w:b/>
                <w:color w:val="FFFFFF"/>
                <w:sz w:val="17"/>
              </w:rPr>
              <w:t>Value</w:t>
            </w:r>
          </w:p>
        </w:tc>
      </w:tr>
      <w:tr>
        <w:tc>
          <w:tcPr>
            <w:tcW w:type="dxa" w:w="2232"/>
          </w:tcPr>
          <w:p>
            <w:pPr>
              <w:spacing w:after="20" w:before="20" w:line="254" w:lineRule="auto"/>
              <w:jc w:val="left"/>
            </w:pPr>
            <w:r>
              <w:rPr>
                <w:sz w:val="17"/>
              </w:rPr>
              <w:t>Input</w:t>
            </w:r>
          </w:p>
        </w:tc>
        <w:tc>
          <w:tcPr>
            <w:tcW w:type="dxa" w:w="7085"/>
          </w:tcPr>
          <w:p>
            <w:pPr>
              <w:spacing w:after="20" w:before="20" w:line="254" w:lineRule="auto"/>
              <w:jc w:val="left"/>
            </w:pPr>
            <w:r>
              <w:rPr>
                <w:rFonts w:ascii="Consolas" w:hAnsi="Consolas" w:eastAsia="Consolas"/>
                <w:color w:val="8A2C1F"/>
                <w:sz w:val="16"/>
              </w:rPr>
              <w:t>data/Customer-Churn-Cleaned.csv</w:t>
            </w:r>
          </w:p>
        </w:tc>
      </w:tr>
      <w:tr>
        <w:tc>
          <w:tcPr>
            <w:tcW w:type="dxa" w:w="2232"/>
            <w:shd w:val="clear" w:color="auto" w:fill="F2F5F9"/>
          </w:tcPr>
          <w:p>
            <w:pPr>
              <w:spacing w:after="20" w:before="20" w:line="254" w:lineRule="auto"/>
              <w:jc w:val="left"/>
            </w:pPr>
            <w:r>
              <w:rPr>
                <w:sz w:val="17"/>
              </w:rPr>
              <w:t>Output</w:t>
            </w:r>
          </w:p>
        </w:tc>
        <w:tc>
          <w:tcPr>
            <w:tcW w:type="dxa" w:w="7085"/>
            <w:shd w:val="clear" w:color="auto" w:fill="F2F5F9"/>
          </w:tcPr>
          <w:p>
            <w:pPr>
              <w:spacing w:after="20" w:before="20" w:line="254" w:lineRule="auto"/>
              <w:jc w:val="left"/>
            </w:pPr>
            <w:r>
              <w:rPr>
                <w:rFonts w:ascii="Consolas" w:hAnsi="Consolas" w:eastAsia="Consolas"/>
                <w:color w:val="8A2C1F"/>
                <w:sz w:val="16"/>
              </w:rPr>
              <w:t>data/Customer-Churn-Segmented.csv</w:t>
            </w:r>
            <w:r>
              <w:rPr>
                <w:sz w:val="17"/>
              </w:rPr>
              <w:t xml:space="preserve"> — 7 043 × 25, 4 charts</w:t>
            </w:r>
          </w:p>
        </w:tc>
      </w:tr>
      <w:tr>
        <w:tc>
          <w:tcPr>
            <w:tcW w:type="dxa" w:w="2232"/>
          </w:tcPr>
          <w:p>
            <w:pPr>
              <w:spacing w:after="20" w:before="20" w:line="254" w:lineRule="auto"/>
              <w:jc w:val="left"/>
            </w:pPr>
            <w:r>
              <w:rPr>
                <w:sz w:val="17"/>
              </w:rPr>
              <w:t>Lines of code</w:t>
            </w:r>
          </w:p>
        </w:tc>
        <w:tc>
          <w:tcPr>
            <w:tcW w:type="dxa" w:w="7085"/>
          </w:tcPr>
          <w:p>
            <w:pPr>
              <w:spacing w:after="20" w:before="20" w:line="254" w:lineRule="auto"/>
              <w:jc w:val="center"/>
            </w:pPr>
            <w:r>
              <w:rPr>
                <w:sz w:val="17"/>
              </w:rPr>
              <w:t>361</w:t>
            </w:r>
          </w:p>
        </w:tc>
      </w:tr>
      <w:tr>
        <w:tc>
          <w:tcPr>
            <w:tcW w:type="dxa" w:w="2232"/>
            <w:shd w:val="clear" w:color="auto" w:fill="F2F5F9"/>
          </w:tcPr>
          <w:p>
            <w:pPr>
              <w:spacing w:after="20" w:before="20" w:line="254" w:lineRule="auto"/>
              <w:jc w:val="left"/>
            </w:pPr>
            <w:r>
              <w:rPr>
                <w:sz w:val="17"/>
              </w:rPr>
              <w:t>Algorithm</w:t>
            </w:r>
          </w:p>
        </w:tc>
        <w:tc>
          <w:tcPr>
            <w:tcW w:type="dxa" w:w="7085"/>
            <w:shd w:val="clear" w:color="auto" w:fill="F2F5F9"/>
          </w:tcPr>
          <w:p>
            <w:pPr>
              <w:spacing w:after="20" w:before="20" w:line="254" w:lineRule="auto"/>
              <w:jc w:val="left"/>
            </w:pPr>
            <w:r>
              <w:rPr>
                <w:rFonts w:ascii="Consolas" w:hAnsi="Consolas" w:eastAsia="Consolas"/>
                <w:color w:val="8A2C1F"/>
                <w:sz w:val="16"/>
              </w:rPr>
              <w:t>KMeans</w:t>
            </w:r>
            <w:r>
              <w:rPr>
                <w:sz w:val="17"/>
              </w:rPr>
              <w:t xml:space="preserve">, </w:t>
            </w:r>
            <w:r>
              <w:rPr>
                <w:rFonts w:ascii="Consolas" w:hAnsi="Consolas" w:eastAsia="Consolas"/>
                <w:color w:val="8A2C1F"/>
                <w:sz w:val="16"/>
              </w:rPr>
              <w:t>n_init=10</w:t>
            </w:r>
            <w:r>
              <w:rPr>
                <w:sz w:val="17"/>
              </w:rPr>
              <w:t xml:space="preserve">, </w:t>
            </w:r>
            <w:r>
              <w:rPr>
                <w:rFonts w:ascii="Consolas" w:hAnsi="Consolas" w:eastAsia="Consolas"/>
                <w:color w:val="8A2C1F"/>
                <w:sz w:val="16"/>
              </w:rPr>
              <w:t>random_state=42</w:t>
            </w:r>
          </w:p>
        </w:tc>
      </w:tr>
      <w:tr>
        <w:tc>
          <w:tcPr>
            <w:tcW w:type="dxa" w:w="2232"/>
          </w:tcPr>
          <w:p>
            <w:pPr>
              <w:spacing w:after="20" w:before="20" w:line="254" w:lineRule="auto"/>
              <w:jc w:val="left"/>
            </w:pPr>
            <w:r>
              <w:rPr>
                <w:sz w:val="17"/>
              </w:rPr>
              <w:t>Clustering dimensions</w:t>
            </w:r>
          </w:p>
        </w:tc>
        <w:tc>
          <w:tcPr>
            <w:tcW w:type="dxa" w:w="7085"/>
          </w:tcPr>
          <w:p>
            <w:pPr>
              <w:spacing w:after="20" w:before="20" w:line="254" w:lineRule="auto"/>
              <w:jc w:val="left"/>
            </w:pPr>
            <w:r>
              <w:rPr>
                <w:rFonts w:ascii="Consolas" w:hAnsi="Consolas" w:eastAsia="Consolas"/>
                <w:color w:val="8A2C1F"/>
                <w:sz w:val="16"/>
              </w:rPr>
              <w:t>tenure</w:t>
            </w:r>
            <w:r>
              <w:rPr>
                <w:sz w:val="17"/>
              </w:rPr>
              <w:t xml:space="preserve">, </w:t>
            </w:r>
            <w:r>
              <w:rPr>
                <w:rFonts w:ascii="Consolas" w:hAnsi="Consolas" w:eastAsia="Consolas"/>
                <w:color w:val="8A2C1F"/>
                <w:sz w:val="16"/>
              </w:rPr>
              <w:t>ServiceCount</w:t>
            </w:r>
            <w:r>
              <w:rPr>
                <w:sz w:val="17"/>
              </w:rPr>
              <w:t xml:space="preserve">, </w:t>
            </w:r>
            <w:r>
              <w:rPr>
                <w:rFonts w:ascii="Consolas" w:hAnsi="Consolas" w:eastAsia="Consolas"/>
                <w:color w:val="8A2C1F"/>
                <w:sz w:val="16"/>
              </w:rPr>
              <w:t>MonthlyCharges</w:t>
            </w:r>
          </w:p>
        </w:tc>
      </w:tr>
      <w:tr>
        <w:tc>
          <w:tcPr>
            <w:tcW w:type="dxa" w:w="2232"/>
            <w:shd w:val="clear" w:color="auto" w:fill="F2F5F9"/>
          </w:tcPr>
          <w:p>
            <w:pPr>
              <w:spacing w:after="20" w:before="20" w:line="254" w:lineRule="auto"/>
              <w:jc w:val="left"/>
            </w:pPr>
            <w:r>
              <w:rPr>
                <w:sz w:val="17"/>
              </w:rPr>
              <w:t>Clusters selected</w:t>
            </w:r>
          </w:p>
        </w:tc>
        <w:tc>
          <w:tcPr>
            <w:tcW w:type="dxa" w:w="7085"/>
            <w:shd w:val="clear" w:color="auto" w:fill="F2F5F9"/>
          </w:tcPr>
          <w:p>
            <w:pPr>
              <w:spacing w:after="20" w:before="20" w:line="254" w:lineRule="auto"/>
              <w:jc w:val="center"/>
            </w:pPr>
            <w:r>
              <w:rPr>
                <w:rFonts w:ascii="Consolas" w:hAnsi="Consolas" w:eastAsia="Consolas"/>
                <w:color w:val="8A2C1F"/>
                <w:sz w:val="16"/>
              </w:rPr>
              <w:t>OPTIMAL_K = 4</w:t>
            </w:r>
          </w:p>
        </w:tc>
      </w:tr>
    </w:tbl>
    <w:p>
      <w:pPr>
        <w:spacing w:before="80" w:after="200"/>
        <w:jc w:val="center"/>
      </w:pPr>
      <w:r>
        <w:rPr>
          <w:i/>
          <w:color w:val="555F6B"/>
          <w:sz w:val="17"/>
        </w:rPr>
        <w:t>Table 23: Phase 5 interface summary.</w:t>
      </w:r>
    </w:p>
    <w:p>
      <w:pPr>
        <w:keepNext/>
        <w:spacing w:before="240" w:after="80"/>
      </w:pPr>
      <w:r>
        <w:rPr>
          <w:rFonts w:ascii="Calibri" w:hAnsi="Calibri"/>
          <w:b/>
          <w:color w:val="1B355E"/>
          <w:sz w:val="25"/>
        </w:rPr>
        <w:t>10.2  Choice of clustering dimensions</w:t>
      </w:r>
    </w:p>
    <w:p>
      <w:pPr>
        <w:spacing w:after="120" w:before="0"/>
        <w:jc w:val="both"/>
      </w:pPr>
      <w:r>
        <w:rPr>
          <w:b w:val="0"/>
          <w:i w:val="0"/>
          <w:sz w:val="21"/>
        </w:rPr>
        <w:t>The three dimensions are an RFM-style adaptation to a subscription business, where the classical recency-frequency-monetary triple does not translate directly:</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728"/>
        <w:gridCol w:w="1944"/>
        <w:gridCol w:w="5644"/>
      </w:tblGrid>
      <w:tr>
        <w:tc>
          <w:tcPr>
            <w:tcW w:type="dxa" w:w="1728"/>
            <w:shd w:val="clear" w:color="auto" w:fill="1B355E"/>
          </w:tcPr>
          <w:p>
            <w:pPr>
              <w:spacing w:after="20" w:before="20"/>
              <w:jc w:val="center"/>
            </w:pPr>
            <w:r>
              <w:rPr>
                <w:b/>
                <w:color w:val="FFFFFF"/>
                <w:sz w:val="17"/>
              </w:rPr>
              <w:t>Dimension</w:t>
            </w:r>
          </w:p>
        </w:tc>
        <w:tc>
          <w:tcPr>
            <w:tcW w:type="dxa" w:w="1944"/>
            <w:shd w:val="clear" w:color="auto" w:fill="1B355E"/>
          </w:tcPr>
          <w:p>
            <w:pPr>
              <w:spacing w:after="20" w:before="20"/>
              <w:jc w:val="center"/>
            </w:pPr>
            <w:r>
              <w:rPr>
                <w:b/>
                <w:color w:val="FFFFFF"/>
                <w:sz w:val="17"/>
              </w:rPr>
              <w:t>RFM analogue</w:t>
            </w:r>
          </w:p>
        </w:tc>
        <w:tc>
          <w:tcPr>
            <w:tcW w:type="dxa" w:w="5645"/>
            <w:shd w:val="clear" w:color="auto" w:fill="1B355E"/>
          </w:tcPr>
          <w:p>
            <w:pPr>
              <w:spacing w:after="20" w:before="20"/>
              <w:jc w:val="center"/>
            </w:pPr>
            <w:r>
              <w:rPr>
                <w:b/>
                <w:color w:val="FFFFFF"/>
                <w:sz w:val="17"/>
              </w:rPr>
              <w:t>Why it is the right proxy here</w:t>
            </w:r>
          </w:p>
        </w:tc>
      </w:tr>
      <w:tr>
        <w:tc>
          <w:tcPr>
            <w:tcW w:type="dxa" w:w="1728"/>
          </w:tcPr>
          <w:p>
            <w:pPr>
              <w:spacing w:after="20" w:before="20" w:line="254" w:lineRule="auto"/>
              <w:jc w:val="left"/>
            </w:pPr>
            <w:r>
              <w:rPr>
                <w:rFonts w:ascii="Consolas" w:hAnsi="Consolas" w:eastAsia="Consolas"/>
                <w:color w:val="8A2C1F"/>
                <w:sz w:val="15"/>
              </w:rPr>
              <w:t>tenure</w:t>
            </w:r>
          </w:p>
        </w:tc>
        <w:tc>
          <w:tcPr>
            <w:tcW w:type="dxa" w:w="1944"/>
          </w:tcPr>
          <w:p>
            <w:pPr>
              <w:spacing w:after="20" w:before="20" w:line="254" w:lineRule="auto"/>
              <w:jc w:val="center"/>
            </w:pPr>
            <w:r>
              <w:rPr>
                <w:sz w:val="16"/>
              </w:rPr>
              <w:t>Recency / longevity</w:t>
            </w:r>
          </w:p>
        </w:tc>
        <w:tc>
          <w:tcPr>
            <w:tcW w:type="dxa" w:w="5645"/>
          </w:tcPr>
          <w:p>
            <w:pPr>
              <w:spacing w:after="20" w:before="20" w:line="254" w:lineRule="auto"/>
              <w:jc w:val="left"/>
            </w:pPr>
            <w:r>
              <w:rPr>
                <w:sz w:val="16"/>
              </w:rPr>
              <w:t>in a subscription business every active customer transacted this month, so recency is uninformative; relationship length is the meaningful time dimension</w:t>
            </w:r>
          </w:p>
        </w:tc>
      </w:tr>
      <w:tr>
        <w:tc>
          <w:tcPr>
            <w:tcW w:type="dxa" w:w="1728"/>
            <w:shd w:val="clear" w:color="auto" w:fill="F2F5F9"/>
          </w:tcPr>
          <w:p>
            <w:pPr>
              <w:spacing w:after="20" w:before="20" w:line="254" w:lineRule="auto"/>
              <w:jc w:val="left"/>
            </w:pPr>
            <w:r>
              <w:rPr>
                <w:rFonts w:ascii="Consolas" w:hAnsi="Consolas" w:eastAsia="Consolas"/>
                <w:color w:val="8A2C1F"/>
                <w:sz w:val="15"/>
              </w:rPr>
              <w:t>ServiceCount</w:t>
            </w:r>
          </w:p>
        </w:tc>
        <w:tc>
          <w:tcPr>
            <w:tcW w:type="dxa" w:w="1944"/>
            <w:shd w:val="clear" w:color="auto" w:fill="F2F5F9"/>
          </w:tcPr>
          <w:p>
            <w:pPr>
              <w:spacing w:after="20" w:before="20" w:line="254" w:lineRule="auto"/>
              <w:jc w:val="center"/>
            </w:pPr>
            <w:r>
              <w:rPr>
                <w:sz w:val="16"/>
              </w:rPr>
              <w:t>Frequency / engagement</w:t>
            </w:r>
          </w:p>
        </w:tc>
        <w:tc>
          <w:tcPr>
            <w:tcW w:type="dxa" w:w="5645"/>
            <w:shd w:val="clear" w:color="auto" w:fill="F2F5F9"/>
          </w:tcPr>
          <w:p>
            <w:pPr>
              <w:spacing w:after="20" w:before="20" w:line="254" w:lineRule="auto"/>
              <w:jc w:val="left"/>
            </w:pPr>
            <w:r>
              <w:rPr>
                <w:sz w:val="16"/>
              </w:rPr>
              <w:t>purchase frequency is fixed at one per month by the billing cycle; breadth of product adoption is the true engagement signal</w:t>
            </w:r>
          </w:p>
        </w:tc>
      </w:tr>
      <w:tr>
        <w:tc>
          <w:tcPr>
            <w:tcW w:type="dxa" w:w="1728"/>
          </w:tcPr>
          <w:p>
            <w:pPr>
              <w:spacing w:after="20" w:before="20" w:line="254" w:lineRule="auto"/>
              <w:jc w:val="left"/>
            </w:pPr>
            <w:r>
              <w:rPr>
                <w:rFonts w:ascii="Consolas" w:hAnsi="Consolas" w:eastAsia="Consolas"/>
                <w:color w:val="8A2C1F"/>
                <w:sz w:val="15"/>
              </w:rPr>
              <w:t>MonthlyCharges</w:t>
            </w:r>
          </w:p>
        </w:tc>
        <w:tc>
          <w:tcPr>
            <w:tcW w:type="dxa" w:w="1944"/>
          </w:tcPr>
          <w:p>
            <w:pPr>
              <w:spacing w:after="20" w:before="20" w:line="254" w:lineRule="auto"/>
              <w:jc w:val="center"/>
            </w:pPr>
            <w:r>
              <w:rPr>
                <w:sz w:val="16"/>
              </w:rPr>
              <w:t>Monetary</w:t>
            </w:r>
          </w:p>
        </w:tc>
        <w:tc>
          <w:tcPr>
            <w:tcW w:type="dxa" w:w="5645"/>
          </w:tcPr>
          <w:p>
            <w:pPr>
              <w:spacing w:after="20" w:before="20" w:line="254" w:lineRule="auto"/>
              <w:jc w:val="left"/>
            </w:pPr>
            <w:r>
              <w:rPr>
                <w:sz w:val="16"/>
              </w:rPr>
              <w:t>the recurring rate is the forward-looking revenue measure, whereas total charges merely restates tenure</w:t>
            </w:r>
          </w:p>
        </w:tc>
      </w:tr>
    </w:tbl>
    <w:p>
      <w:pPr>
        <w:spacing w:before="80" w:after="200"/>
        <w:jc w:val="center"/>
      </w:pPr>
      <w:r>
        <w:rPr>
          <w:i/>
          <w:color w:val="555F6B"/>
          <w:sz w:val="17"/>
        </w:rPr>
        <w:t>Table 24: Mapping of the classical RFM dimensions onto subscription-business proxies.</w:t>
      </w:r>
    </w:p>
    <w:p>
      <w:pPr>
        <w:keepNext/>
        <w:spacing w:before="240" w:after="80"/>
      </w:pPr>
      <w:r>
        <w:rPr>
          <w:rFonts w:ascii="Calibri" w:hAnsi="Calibri"/>
          <w:b/>
          <w:color w:val="1B355E"/>
          <w:sz w:val="25"/>
        </w:rPr>
        <w:t>10.3  Code walk-through</w:t>
      </w:r>
    </w:p>
    <w:p>
      <w:pPr>
        <w:keepNext/>
        <w:spacing w:before="200" w:after="60"/>
      </w:pPr>
      <w:r>
        <w:rPr>
          <w:rFonts w:ascii="Calibri" w:hAnsi="Calibri"/>
          <w:b/>
          <w:color w:val="0B5C7A"/>
          <w:sz w:val="22"/>
        </w:rPr>
        <w:t>Standardisation before clustering</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X = df[["tenure", "ServiceCount", "MonthlyCharges"]].copy()</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scaler = StandardScaler()</w:t>
            </w:r>
          </w:p>
          <w:p>
            <w:pPr>
              <w:spacing w:after="0" w:before="0" w:line="240" w:lineRule="auto"/>
            </w:pPr>
            <w:r>
              <w:rPr>
                <w:rFonts w:ascii="Consolas" w:hAnsi="Consolas" w:eastAsia="Consolas"/>
                <w:color w:val="1A232E"/>
                <w:sz w:val="16"/>
              </w:rPr>
              <w:t>X_scaled = scaler.fit_transform(X)</w:t>
            </w:r>
          </w:p>
        </w:tc>
      </w:tr>
    </w:tbl>
    <w:p>
      <w:pPr>
        <w:spacing w:after="80"/>
      </w:pPr>
    </w:p>
    <w:p>
      <w:pPr>
        <w:spacing w:after="120" w:before="0"/>
        <w:jc w:val="both"/>
      </w:pPr>
      <w:r>
        <w:rPr>
          <w:b w:val="0"/>
          <w:i w:val="0"/>
          <w:sz w:val="21"/>
        </w:rPr>
        <w:t>Standardisation is not optional for K-Means, it is a correctness requirement. The algorithm assigns points to clusters by Euclidean distance, and the three raw dimensions have incompatible scales: tenure spans 0 to 72, monthly charges span 18.25 to 118.75, and service count spans 0 to 6. Without scaling, monthly charges would contribute roughly four hundred times more squared distance than service count, and the resulting clusters would be little more than a partition of the price axis. Scaling each dimension to zero mean and unit variance gives all three equal influence on the geometry.</w:t>
      </w:r>
    </w:p>
    <w:p>
      <w:pPr>
        <w:keepNext/>
        <w:spacing w:before="200" w:after="60"/>
      </w:pPr>
      <w:r>
        <w:rPr>
          <w:rFonts w:ascii="Calibri" w:hAnsi="Calibri"/>
          <w:b/>
          <w:color w:val="0B5C7A"/>
          <w:sz w:val="22"/>
        </w:rPr>
        <w:t>Selecting K</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k_values = range(2, 7)</w:t>
            </w:r>
          </w:p>
          <w:p>
            <w:pPr>
              <w:spacing w:after="0" w:before="0" w:line="240" w:lineRule="auto"/>
            </w:pPr>
            <w:r>
              <w:rPr>
                <w:rFonts w:ascii="Consolas" w:hAnsi="Consolas" w:eastAsia="Consolas"/>
                <w:color w:val="1A232E"/>
                <w:sz w:val="16"/>
              </w:rPr>
              <w:t>inertias = []</w:t>
            </w:r>
          </w:p>
          <w:p>
            <w:pPr>
              <w:spacing w:after="0" w:before="0" w:line="240" w:lineRule="auto"/>
            </w:pPr>
            <w:r>
              <w:rPr>
                <w:rFonts w:ascii="Consolas" w:hAnsi="Consolas" w:eastAsia="Consolas"/>
                <w:color w:val="1A232E"/>
                <w:sz w:val="16"/>
              </w:rPr>
              <w:t>silhouette_scores = []</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for k in k_values:</w:t>
            </w:r>
          </w:p>
          <w:p>
            <w:pPr>
              <w:spacing w:after="0" w:before="0" w:line="240" w:lineRule="auto"/>
            </w:pPr>
            <w:r>
              <w:rPr>
                <w:rFonts w:ascii="Consolas" w:hAnsi="Consolas" w:eastAsia="Consolas"/>
                <w:color w:val="1A232E"/>
                <w:sz w:val="16"/>
              </w:rPr>
              <w:t xml:space="preserve">    kmeans = KMeans(n_clusters=k, random_state=RANDOM_STATE, n_init=10)</w:t>
            </w:r>
          </w:p>
          <w:p>
            <w:pPr>
              <w:spacing w:after="0" w:before="0" w:line="240" w:lineRule="auto"/>
            </w:pPr>
            <w:r>
              <w:rPr>
                <w:rFonts w:ascii="Consolas" w:hAnsi="Consolas" w:eastAsia="Consolas"/>
                <w:color w:val="1A232E"/>
                <w:sz w:val="16"/>
              </w:rPr>
              <w:t xml:space="preserve">    cluster_labels = kmeans.fit_predict(X_scaled)</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inertias.append(kmeans.inertia_)</w:t>
            </w:r>
          </w:p>
          <w:p>
            <w:pPr>
              <w:spacing w:after="0" w:before="0" w:line="240" w:lineRule="auto"/>
            </w:pPr>
            <w:r>
              <w:rPr>
                <w:rFonts w:ascii="Consolas" w:hAnsi="Consolas" w:eastAsia="Consolas"/>
                <w:color w:val="1A232E"/>
                <w:sz w:val="16"/>
              </w:rPr>
              <w:t xml:space="preserve">    silhouette_scores.append(silhouette_score(X_scaled, cluster_labels))</w:t>
            </w:r>
          </w:p>
        </w:tc>
      </w:tr>
    </w:tbl>
    <w:p>
      <w:pPr>
        <w:spacing w:after="80"/>
      </w:pPr>
    </w:p>
    <w:p>
      <w:pPr>
        <w:spacing w:after="120"/>
        <w:jc w:val="both"/>
      </w:pPr>
      <w:r>
        <w:rPr>
          <w:sz w:val="21"/>
        </w:rPr>
        <w:t xml:space="preserve">The sweep evaluates two independent criteria. </w:t>
      </w:r>
      <w:r>
        <w:rPr>
          <w:b/>
          <w:sz w:val="21"/>
        </w:rPr>
        <w:t>Inertia</w:t>
      </w:r>
      <w:r>
        <w:rPr>
          <w:sz w:val="21"/>
        </w:rPr>
        <w:t xml:space="preserve"> is the within-cluster sum of squared distances; it falls monotonically as K grows, so the elbow — the point after which additional clusters buy little reduction — is what is sought, not the minimum. </w:t>
      </w:r>
      <w:r>
        <w:rPr>
          <w:b/>
          <w:sz w:val="21"/>
        </w:rPr>
        <w:t>Silhouette score</w:t>
      </w:r>
      <w:r>
        <w:rPr>
          <w:sz w:val="21"/>
        </w:rPr>
        <w:t xml:space="preserve"> measures how much closer each point sits to its own cluster than to the nearest rival, on a scale from −1 to +1, and unlike inertia it can be compared directly across values of K. Setting </w:t>
      </w:r>
      <w:r>
        <w:rPr>
          <w:rFonts w:ascii="Consolas" w:hAnsi="Consolas"/>
          <w:color w:val="8A2C1F"/>
          <w:sz w:val="19"/>
        </w:rPr>
        <w:t>n_init=10</w:t>
      </w:r>
      <w:r>
        <w:rPr>
          <w:sz w:val="21"/>
        </w:rPr>
        <w:t xml:space="preserve"> restarts each fit from ten different random initialisations and keeps the best, which guards against K-Means converging to a poor local optimum.</w:t>
      </w:r>
    </w:p>
    <w:p>
      <w:pPr>
        <w:keepNext/>
        <w:spacing w:before="240" w:after="80"/>
      </w:pPr>
      <w:r>
        <w:rPr>
          <w:rFonts w:ascii="Calibri" w:hAnsi="Calibri"/>
          <w:b/>
          <w:color w:val="1B355E"/>
          <w:sz w:val="25"/>
        </w:rPr>
        <w:t>10.4  Results: selecting the number of segments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648"/>
        <w:gridCol w:w="1512"/>
        <w:gridCol w:w="1655"/>
        <w:gridCol w:w="1584"/>
        <w:gridCol w:w="3916"/>
      </w:tblGrid>
      <w:tr>
        <w:tc>
          <w:tcPr>
            <w:tcW w:type="dxa" w:w="648"/>
            <w:shd w:val="clear" w:color="auto" w:fill="1B355E"/>
          </w:tcPr>
          <w:p>
            <w:pPr>
              <w:spacing w:after="20" w:before="20"/>
              <w:jc w:val="center"/>
            </w:pPr>
            <w:r>
              <w:rPr>
                <w:b/>
                <w:color w:val="FFFFFF"/>
                <w:sz w:val="17"/>
              </w:rPr>
              <w:t>K</w:t>
            </w:r>
          </w:p>
        </w:tc>
        <w:tc>
          <w:tcPr>
            <w:tcW w:type="dxa" w:w="1512"/>
            <w:shd w:val="clear" w:color="auto" w:fill="1B355E"/>
          </w:tcPr>
          <w:p>
            <w:pPr>
              <w:spacing w:after="20" w:before="20"/>
              <w:jc w:val="center"/>
            </w:pPr>
            <w:r>
              <w:rPr>
                <w:b/>
                <w:color w:val="FFFFFF"/>
                <w:sz w:val="17"/>
              </w:rPr>
              <w:t>Inertia</w:t>
            </w:r>
          </w:p>
        </w:tc>
        <w:tc>
          <w:tcPr>
            <w:tcW w:type="dxa" w:w="1656"/>
            <w:shd w:val="clear" w:color="auto" w:fill="1B355E"/>
          </w:tcPr>
          <w:p>
            <w:pPr>
              <w:spacing w:after="20" w:before="20"/>
              <w:jc w:val="center"/>
            </w:pPr>
            <w:r>
              <w:rPr>
                <w:b/>
                <w:color w:val="FFFFFF"/>
                <w:sz w:val="17"/>
              </w:rPr>
              <w:t>Inertia reduction</w:t>
            </w:r>
          </w:p>
        </w:tc>
        <w:tc>
          <w:tcPr>
            <w:tcW w:type="dxa" w:w="1584"/>
            <w:shd w:val="clear" w:color="auto" w:fill="1B355E"/>
          </w:tcPr>
          <w:p>
            <w:pPr>
              <w:spacing w:after="20" w:before="20"/>
              <w:jc w:val="center"/>
            </w:pPr>
            <w:r>
              <w:rPr>
                <w:b/>
                <w:color w:val="FFFFFF"/>
                <w:sz w:val="17"/>
              </w:rPr>
              <w:t>Silhouette score</w:t>
            </w:r>
          </w:p>
        </w:tc>
        <w:tc>
          <w:tcPr>
            <w:tcW w:type="dxa" w:w="3917"/>
            <w:shd w:val="clear" w:color="auto" w:fill="1B355E"/>
          </w:tcPr>
          <w:p>
            <w:pPr>
              <w:spacing w:after="20" w:before="20"/>
              <w:jc w:val="center"/>
            </w:pPr>
            <w:r>
              <w:rPr>
                <w:b/>
                <w:color w:val="FFFFFF"/>
                <w:sz w:val="17"/>
              </w:rPr>
              <w:t>Assessment</w:t>
            </w:r>
          </w:p>
        </w:tc>
      </w:tr>
      <w:tr>
        <w:tc>
          <w:tcPr>
            <w:tcW w:type="dxa" w:w="648"/>
          </w:tcPr>
          <w:p>
            <w:pPr>
              <w:spacing w:after="20" w:before="20" w:line="254" w:lineRule="auto"/>
              <w:jc w:val="left"/>
            </w:pPr>
            <w:r>
              <w:rPr>
                <w:sz w:val="16"/>
              </w:rPr>
              <w:t>2</w:t>
            </w:r>
          </w:p>
        </w:tc>
        <w:tc>
          <w:tcPr>
            <w:tcW w:type="dxa" w:w="1512"/>
          </w:tcPr>
          <w:p>
            <w:pPr>
              <w:spacing w:after="20" w:before="20" w:line="254" w:lineRule="auto"/>
              <w:jc w:val="center"/>
            </w:pPr>
            <w:r>
              <w:rPr>
                <w:sz w:val="16"/>
              </w:rPr>
              <w:t>10 782.45</w:t>
            </w:r>
          </w:p>
        </w:tc>
        <w:tc>
          <w:tcPr>
            <w:tcW w:type="dxa" w:w="1656"/>
          </w:tcPr>
          <w:p>
            <w:pPr>
              <w:spacing w:after="20" w:before="20" w:line="254" w:lineRule="auto"/>
              <w:jc w:val="center"/>
            </w:pPr>
            <w:r>
              <w:rPr>
                <w:sz w:val="16"/>
              </w:rPr>
              <w:t>—</w:t>
            </w:r>
          </w:p>
        </w:tc>
        <w:tc>
          <w:tcPr>
            <w:tcW w:type="dxa" w:w="1584"/>
          </w:tcPr>
          <w:p>
            <w:pPr>
              <w:spacing w:after="20" w:before="20" w:line="254" w:lineRule="auto"/>
              <w:jc w:val="center"/>
            </w:pPr>
            <w:r>
              <w:rPr>
                <w:b/>
                <w:sz w:val="16"/>
              </w:rPr>
              <w:t>0.4163</w:t>
            </w:r>
          </w:p>
        </w:tc>
        <w:tc>
          <w:tcPr>
            <w:tcW w:type="dxa" w:w="3917"/>
          </w:tcPr>
          <w:p>
            <w:pPr>
              <w:spacing w:after="20" w:before="20" w:line="254" w:lineRule="auto"/>
              <w:jc w:val="left"/>
            </w:pPr>
            <w:r>
              <w:rPr>
                <w:sz w:val="16"/>
              </w:rPr>
              <w:t>highest silhouette, but only splits cheap from expensive</w:t>
            </w:r>
          </w:p>
        </w:tc>
      </w:tr>
      <w:tr>
        <w:tc>
          <w:tcPr>
            <w:tcW w:type="dxa" w:w="648"/>
            <w:shd w:val="clear" w:color="auto" w:fill="F2F5F9"/>
          </w:tcPr>
          <w:p>
            <w:pPr>
              <w:spacing w:after="20" w:before="20" w:line="254" w:lineRule="auto"/>
              <w:jc w:val="left"/>
            </w:pPr>
            <w:r>
              <w:rPr>
                <w:sz w:val="16"/>
              </w:rPr>
              <w:t>3</w:t>
            </w:r>
          </w:p>
        </w:tc>
        <w:tc>
          <w:tcPr>
            <w:tcW w:type="dxa" w:w="1512"/>
            <w:shd w:val="clear" w:color="auto" w:fill="F2F5F9"/>
          </w:tcPr>
          <w:p>
            <w:pPr>
              <w:spacing w:after="20" w:before="20" w:line="254" w:lineRule="auto"/>
              <w:jc w:val="center"/>
            </w:pPr>
            <w:r>
              <w:rPr>
                <w:sz w:val="16"/>
              </w:rPr>
              <w:t>7 295.42</w:t>
            </w:r>
          </w:p>
        </w:tc>
        <w:tc>
          <w:tcPr>
            <w:tcW w:type="dxa" w:w="1656"/>
            <w:shd w:val="clear" w:color="auto" w:fill="F2F5F9"/>
          </w:tcPr>
          <w:p>
            <w:pPr>
              <w:spacing w:after="20" w:before="20" w:line="254" w:lineRule="auto"/>
              <w:jc w:val="center"/>
            </w:pPr>
            <w:r>
              <w:rPr>
                <w:sz w:val="16"/>
              </w:rPr>
              <w:t>32.3 %</w:t>
            </w:r>
          </w:p>
        </w:tc>
        <w:tc>
          <w:tcPr>
            <w:tcW w:type="dxa" w:w="1584"/>
            <w:shd w:val="clear" w:color="auto" w:fill="F2F5F9"/>
          </w:tcPr>
          <w:p>
            <w:pPr>
              <w:spacing w:after="20" w:before="20" w:line="254" w:lineRule="auto"/>
              <w:jc w:val="center"/>
            </w:pPr>
            <w:r>
              <w:rPr>
                <w:sz w:val="16"/>
              </w:rPr>
              <w:t>0.3968</w:t>
            </w:r>
          </w:p>
        </w:tc>
        <w:tc>
          <w:tcPr>
            <w:tcW w:type="dxa" w:w="3917"/>
            <w:shd w:val="clear" w:color="auto" w:fill="F2F5F9"/>
          </w:tcPr>
          <w:p>
            <w:pPr>
              <w:spacing w:after="20" w:before="20" w:line="254" w:lineRule="auto"/>
              <w:jc w:val="left"/>
            </w:pPr>
            <w:r>
              <w:rPr>
                <w:sz w:val="16"/>
              </w:rPr>
              <w:t>improving structure, still coarse</w:t>
            </w:r>
          </w:p>
        </w:tc>
      </w:tr>
      <w:tr>
        <w:tc>
          <w:tcPr>
            <w:tcW w:type="dxa" w:w="648"/>
          </w:tcPr>
          <w:p>
            <w:pPr>
              <w:spacing w:after="20" w:before="20" w:line="254" w:lineRule="auto"/>
              <w:jc w:val="left"/>
            </w:pPr>
            <w:r>
              <w:rPr>
                <w:sz w:val="16"/>
              </w:rPr>
              <w:t>4</w:t>
            </w:r>
          </w:p>
        </w:tc>
        <w:tc>
          <w:tcPr>
            <w:tcW w:type="dxa" w:w="1512"/>
          </w:tcPr>
          <w:p>
            <w:pPr>
              <w:spacing w:after="20" w:before="20" w:line="254" w:lineRule="auto"/>
              <w:jc w:val="center"/>
            </w:pPr>
            <w:r>
              <w:rPr>
                <w:sz w:val="16"/>
              </w:rPr>
              <w:t>5 615.08</w:t>
            </w:r>
          </w:p>
        </w:tc>
        <w:tc>
          <w:tcPr>
            <w:tcW w:type="dxa" w:w="1656"/>
          </w:tcPr>
          <w:p>
            <w:pPr>
              <w:spacing w:after="20" w:before="20" w:line="254" w:lineRule="auto"/>
              <w:jc w:val="center"/>
            </w:pPr>
            <w:r>
              <w:rPr>
                <w:sz w:val="16"/>
              </w:rPr>
              <w:t>23.0 %</w:t>
            </w:r>
          </w:p>
        </w:tc>
        <w:tc>
          <w:tcPr>
            <w:tcW w:type="dxa" w:w="1584"/>
          </w:tcPr>
          <w:p>
            <w:pPr>
              <w:spacing w:after="20" w:before="20" w:line="254" w:lineRule="auto"/>
              <w:jc w:val="center"/>
            </w:pPr>
            <w:r>
              <w:rPr>
                <w:sz w:val="16"/>
              </w:rPr>
              <w:t>0.4042</w:t>
            </w:r>
          </w:p>
        </w:tc>
        <w:tc>
          <w:tcPr>
            <w:tcW w:type="dxa" w:w="3917"/>
          </w:tcPr>
          <w:p>
            <w:pPr>
              <w:spacing w:after="20" w:before="20" w:line="254" w:lineRule="auto"/>
              <w:jc w:val="left"/>
            </w:pPr>
            <w:r>
              <w:rPr>
                <w:b/>
                <w:sz w:val="16"/>
              </w:rPr>
              <w:t>selected — elbow region, silhouette recovers</w:t>
            </w:r>
          </w:p>
        </w:tc>
      </w:tr>
      <w:tr>
        <w:tc>
          <w:tcPr>
            <w:tcW w:type="dxa" w:w="648"/>
            <w:shd w:val="clear" w:color="auto" w:fill="F2F5F9"/>
          </w:tcPr>
          <w:p>
            <w:pPr>
              <w:spacing w:after="20" w:before="20" w:line="254" w:lineRule="auto"/>
              <w:jc w:val="left"/>
            </w:pPr>
            <w:r>
              <w:rPr>
                <w:sz w:val="16"/>
              </w:rPr>
              <w:t>5</w:t>
            </w:r>
          </w:p>
        </w:tc>
        <w:tc>
          <w:tcPr>
            <w:tcW w:type="dxa" w:w="1512"/>
            <w:shd w:val="clear" w:color="auto" w:fill="F2F5F9"/>
          </w:tcPr>
          <w:p>
            <w:pPr>
              <w:spacing w:after="20" w:before="20" w:line="254" w:lineRule="auto"/>
              <w:jc w:val="center"/>
            </w:pPr>
            <w:r>
              <w:rPr>
                <w:sz w:val="16"/>
              </w:rPr>
              <w:t>4 647.43</w:t>
            </w:r>
          </w:p>
        </w:tc>
        <w:tc>
          <w:tcPr>
            <w:tcW w:type="dxa" w:w="1656"/>
            <w:shd w:val="clear" w:color="auto" w:fill="F2F5F9"/>
          </w:tcPr>
          <w:p>
            <w:pPr>
              <w:spacing w:after="20" w:before="20" w:line="254" w:lineRule="auto"/>
              <w:jc w:val="center"/>
            </w:pPr>
            <w:r>
              <w:rPr>
                <w:sz w:val="16"/>
              </w:rPr>
              <w:t>17.2 %</w:t>
            </w:r>
          </w:p>
        </w:tc>
        <w:tc>
          <w:tcPr>
            <w:tcW w:type="dxa" w:w="1584"/>
            <w:shd w:val="clear" w:color="auto" w:fill="F2F5F9"/>
          </w:tcPr>
          <w:p>
            <w:pPr>
              <w:spacing w:after="20" w:before="20" w:line="254" w:lineRule="auto"/>
              <w:jc w:val="center"/>
            </w:pPr>
            <w:r>
              <w:rPr>
                <w:sz w:val="16"/>
              </w:rPr>
              <w:t>0.3641</w:t>
            </w:r>
          </w:p>
        </w:tc>
        <w:tc>
          <w:tcPr>
            <w:tcW w:type="dxa" w:w="3917"/>
            <w:shd w:val="clear" w:color="auto" w:fill="F2F5F9"/>
          </w:tcPr>
          <w:p>
            <w:pPr>
              <w:spacing w:after="20" w:before="20" w:line="254" w:lineRule="auto"/>
              <w:jc w:val="center"/>
            </w:pPr>
            <w:r>
              <w:rPr>
                <w:sz w:val="16"/>
              </w:rPr>
              <w:t>silhouette degrades</w:t>
            </w:r>
          </w:p>
        </w:tc>
      </w:tr>
      <w:tr>
        <w:tc>
          <w:tcPr>
            <w:tcW w:type="dxa" w:w="648"/>
          </w:tcPr>
          <w:p>
            <w:pPr>
              <w:spacing w:after="20" w:before="20" w:line="254" w:lineRule="auto"/>
              <w:jc w:val="left"/>
            </w:pPr>
            <w:r>
              <w:rPr>
                <w:sz w:val="16"/>
              </w:rPr>
              <w:t>6</w:t>
            </w:r>
          </w:p>
        </w:tc>
        <w:tc>
          <w:tcPr>
            <w:tcW w:type="dxa" w:w="1512"/>
          </w:tcPr>
          <w:p>
            <w:pPr>
              <w:spacing w:after="20" w:before="20" w:line="254" w:lineRule="auto"/>
              <w:jc w:val="center"/>
            </w:pPr>
            <w:r>
              <w:rPr>
                <w:sz w:val="16"/>
              </w:rPr>
              <w:t>3 812.39</w:t>
            </w:r>
          </w:p>
        </w:tc>
        <w:tc>
          <w:tcPr>
            <w:tcW w:type="dxa" w:w="1656"/>
          </w:tcPr>
          <w:p>
            <w:pPr>
              <w:spacing w:after="20" w:before="20" w:line="254" w:lineRule="auto"/>
              <w:jc w:val="center"/>
            </w:pPr>
            <w:r>
              <w:rPr>
                <w:sz w:val="16"/>
              </w:rPr>
              <w:t>18.0 %</w:t>
            </w:r>
          </w:p>
        </w:tc>
        <w:tc>
          <w:tcPr>
            <w:tcW w:type="dxa" w:w="1584"/>
          </w:tcPr>
          <w:p>
            <w:pPr>
              <w:spacing w:after="20" w:before="20" w:line="254" w:lineRule="auto"/>
              <w:jc w:val="center"/>
            </w:pPr>
            <w:r>
              <w:rPr>
                <w:sz w:val="16"/>
              </w:rPr>
              <w:t>0.3704</w:t>
            </w:r>
          </w:p>
        </w:tc>
        <w:tc>
          <w:tcPr>
            <w:tcW w:type="dxa" w:w="3917"/>
          </w:tcPr>
          <w:p>
            <w:pPr>
              <w:spacing w:after="20" w:before="20" w:line="254" w:lineRule="auto"/>
              <w:jc w:val="center"/>
            </w:pPr>
            <w:r>
              <w:rPr>
                <w:sz w:val="16"/>
              </w:rPr>
              <w:t>no separation gain</w:t>
            </w:r>
          </w:p>
        </w:tc>
      </w:tr>
    </w:tbl>
    <w:p>
      <w:pPr>
        <w:spacing w:before="80" w:after="200"/>
        <w:jc w:val="center"/>
      </w:pPr>
      <w:r>
        <w:rPr>
          <w:i/>
          <w:color w:val="555F6B"/>
          <w:sz w:val="17"/>
        </w:rPr>
        <w:t>Table 25: Elbow and silhouette results for K from 2 to 6, measured by the delivered script.</w:t>
      </w:r>
    </w:p>
    <w:p>
      <w:pPr>
        <w:keepNext/>
        <w:spacing w:before="120" w:after="60"/>
        <w:jc w:val="center"/>
      </w:pPr>
      <w:r>
        <w:drawing>
          <wp:inline xmlns:a="http://schemas.openxmlformats.org/drawingml/2006/main" xmlns:pic="http://schemas.openxmlformats.org/drawingml/2006/picture">
            <wp:extent cx="4709160" cy="2905652"/>
            <wp:docPr id="12" name="Picture 12"/>
            <wp:cNvGraphicFramePr>
              <a:graphicFrameLocks noChangeAspect="1"/>
            </wp:cNvGraphicFramePr>
            <a:graphic>
              <a:graphicData uri="http://schemas.openxmlformats.org/drawingml/2006/picture">
                <pic:pic>
                  <pic:nvPicPr>
                    <pic:cNvPr id="0" name="phase5_elbow_method.png"/>
                    <pic:cNvPicPr/>
                  </pic:nvPicPr>
                  <pic:blipFill>
                    <a:blip r:embed="rId20"/>
                    <a:stretch>
                      <a:fillRect/>
                    </a:stretch>
                  </pic:blipFill>
                  <pic:spPr>
                    <a:xfrm>
                      <a:off x="0" y="0"/>
                      <a:ext cx="4709160" cy="2905652"/>
                    </a:xfrm>
                    <a:prstGeom prst="rect"/>
                  </pic:spPr>
                </pic:pic>
              </a:graphicData>
            </a:graphic>
          </wp:inline>
        </w:drawing>
      </w:r>
    </w:p>
    <w:p>
      <w:pPr>
        <w:spacing w:after="220"/>
        <w:jc w:val="center"/>
      </w:pPr>
      <w:r>
        <w:rPr>
          <w:i/>
          <w:color w:val="555F6B"/>
          <w:sz w:val="17"/>
        </w:rPr>
        <w:t>Figure 12: Elbow analysis. The inertia curve flattens noticeably after K = 4.</w:t>
      </w:r>
    </w:p>
    <w:p>
      <w:pPr>
        <w:keepNext/>
        <w:spacing w:before="120" w:after="60"/>
        <w:jc w:val="center"/>
      </w:pPr>
      <w:r>
        <w:drawing>
          <wp:inline xmlns:a="http://schemas.openxmlformats.org/drawingml/2006/main" xmlns:pic="http://schemas.openxmlformats.org/drawingml/2006/picture">
            <wp:extent cx="4709160" cy="2905652"/>
            <wp:docPr id="13" name="Picture 13"/>
            <wp:cNvGraphicFramePr>
              <a:graphicFrameLocks noChangeAspect="1"/>
            </wp:cNvGraphicFramePr>
            <a:graphic>
              <a:graphicData uri="http://schemas.openxmlformats.org/drawingml/2006/picture">
                <pic:pic>
                  <pic:nvPicPr>
                    <pic:cNvPr id="0" name="phase5_silhouette_scores.png"/>
                    <pic:cNvPicPr/>
                  </pic:nvPicPr>
                  <pic:blipFill>
                    <a:blip r:embed="rId21"/>
                    <a:stretch>
                      <a:fillRect/>
                    </a:stretch>
                  </pic:blipFill>
                  <pic:spPr>
                    <a:xfrm>
                      <a:off x="0" y="0"/>
                      <a:ext cx="4709160" cy="2905652"/>
                    </a:xfrm>
                    <a:prstGeom prst="rect"/>
                  </pic:spPr>
                </pic:pic>
              </a:graphicData>
            </a:graphic>
          </wp:inline>
        </w:drawing>
      </w:r>
    </w:p>
    <w:p>
      <w:pPr>
        <w:spacing w:after="220"/>
        <w:jc w:val="center"/>
      </w:pPr>
      <w:r>
        <w:rPr>
          <w:i/>
          <w:color w:val="555F6B"/>
          <w:sz w:val="17"/>
        </w:rPr>
        <w:t>Figure 13: Silhouette score by K. The score dips at K = 3, recovers at K = 4, then degrades.</w:t>
      </w:r>
    </w:p>
    <w:p>
      <w:pPr>
        <w:spacing w:after="120" w:before="0"/>
        <w:jc w:val="both"/>
      </w:pPr>
      <w:r>
        <w:rPr>
          <w:b w:val="0"/>
          <w:i w:val="0"/>
          <w:sz w:val="21"/>
        </w:rPr>
        <w:t>The two criteria disagree, and the resolution deserves to be stated openly. K = 2 attains the highest silhouette score at 0.4163, so a purely geometric reading would select two clusters. The script selects four instead, on three grounds. First, the inertia curve shows its clearest elbow at four: the reduction from K = 3 to K = 4 is 23.0 %, whereas moving to K = 5 buys only 17.2 %. Second, the silhouette score at K = 4 (0.4042) is within 0.012 of the K = 2 value, so almost no cluster quality is sacrificed. Third, and decisively, a two-cluster solution divides the base into cheap and expensive customers, which supports no retention decision that pricing data alone would not already support. The four-cluster solution separates new high-spend customers from established high-spend customers — groups with churn rates of 47.37 % and 15.43 % respectively — and that distinction is directly actionable.</w:t>
      </w:r>
    </w:p>
    <w:p>
      <w:r>
        <w:br w:type="page"/>
      </w:r>
    </w:p>
    <w:p>
      <w:pPr>
        <w:keepNext/>
        <w:spacing w:before="240" w:after="80"/>
      </w:pPr>
      <w:r>
        <w:rPr>
          <w:rFonts w:ascii="Calibri" w:hAnsi="Calibri"/>
          <w:b/>
          <w:color w:val="1B355E"/>
          <w:sz w:val="25"/>
        </w:rPr>
        <w:t>10.5  Results: segment profiles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664"/>
        <w:gridCol w:w="1036"/>
        <w:gridCol w:w="892"/>
        <w:gridCol w:w="1152"/>
        <w:gridCol w:w="1152"/>
        <w:gridCol w:w="1123"/>
        <w:gridCol w:w="1296"/>
      </w:tblGrid>
      <w:tr>
        <w:tc>
          <w:tcPr>
            <w:tcW w:type="dxa" w:w="2664"/>
            <w:shd w:val="clear" w:color="auto" w:fill="1B355E"/>
          </w:tcPr>
          <w:p>
            <w:pPr>
              <w:spacing w:after="20" w:before="20"/>
              <w:jc w:val="center"/>
            </w:pPr>
            <w:r>
              <w:rPr>
                <w:b/>
                <w:color w:val="FFFFFF"/>
                <w:sz w:val="17"/>
              </w:rPr>
              <w:t>Segment</w:t>
            </w:r>
          </w:p>
        </w:tc>
        <w:tc>
          <w:tcPr>
            <w:tcW w:type="dxa" w:w="1037"/>
            <w:shd w:val="clear" w:color="auto" w:fill="1B355E"/>
          </w:tcPr>
          <w:p>
            <w:pPr>
              <w:spacing w:after="20" w:before="20"/>
              <w:jc w:val="center"/>
            </w:pPr>
            <w:r>
              <w:rPr>
                <w:b/>
                <w:color w:val="FFFFFF"/>
                <w:sz w:val="17"/>
              </w:rPr>
              <w:t>Customers</w:t>
            </w:r>
          </w:p>
        </w:tc>
        <w:tc>
          <w:tcPr>
            <w:tcW w:type="dxa" w:w="893"/>
            <w:shd w:val="clear" w:color="auto" w:fill="1B355E"/>
          </w:tcPr>
          <w:p>
            <w:pPr>
              <w:spacing w:after="20" w:before="20"/>
              <w:jc w:val="center"/>
            </w:pPr>
            <w:r>
              <w:rPr>
                <w:b/>
                <w:color w:val="FFFFFF"/>
                <w:sz w:val="17"/>
              </w:rPr>
              <w:t>Share</w:t>
            </w:r>
          </w:p>
        </w:tc>
        <w:tc>
          <w:tcPr>
            <w:tcW w:type="dxa" w:w="1152"/>
            <w:shd w:val="clear" w:color="auto" w:fill="1B355E"/>
          </w:tcPr>
          <w:p>
            <w:pPr>
              <w:spacing w:after="20" w:before="20"/>
              <w:jc w:val="center"/>
            </w:pPr>
            <w:r>
              <w:rPr>
                <w:b/>
                <w:color w:val="FFFFFF"/>
                <w:sz w:val="17"/>
              </w:rPr>
              <w:t>Mean tenure</w:t>
            </w:r>
          </w:p>
        </w:tc>
        <w:tc>
          <w:tcPr>
            <w:tcW w:type="dxa" w:w="1152"/>
            <w:shd w:val="clear" w:color="auto" w:fill="1B355E"/>
          </w:tcPr>
          <w:p>
            <w:pPr>
              <w:spacing w:after="20" w:before="20"/>
              <w:jc w:val="center"/>
            </w:pPr>
            <w:r>
              <w:rPr>
                <w:b/>
                <w:color w:val="FFFFFF"/>
                <w:sz w:val="17"/>
              </w:rPr>
              <w:t>Mean monthly</w:t>
            </w:r>
          </w:p>
        </w:tc>
        <w:tc>
          <w:tcPr>
            <w:tcW w:type="dxa" w:w="1123"/>
            <w:shd w:val="clear" w:color="auto" w:fill="1B355E"/>
          </w:tcPr>
          <w:p>
            <w:pPr>
              <w:spacing w:after="20" w:before="20"/>
              <w:jc w:val="center"/>
            </w:pPr>
            <w:r>
              <w:rPr>
                <w:b/>
                <w:color w:val="FFFFFF"/>
                <w:sz w:val="17"/>
              </w:rPr>
              <w:t>Mean services</w:t>
            </w:r>
          </w:p>
        </w:tc>
        <w:tc>
          <w:tcPr>
            <w:tcW w:type="dxa" w:w="1296"/>
            <w:shd w:val="clear" w:color="auto" w:fill="1B355E"/>
          </w:tcPr>
          <w:p>
            <w:pPr>
              <w:spacing w:after="20" w:before="20"/>
              <w:jc w:val="center"/>
            </w:pPr>
            <w:r>
              <w:rPr>
                <w:b/>
                <w:color w:val="FFFFFF"/>
                <w:sz w:val="17"/>
              </w:rPr>
              <w:t>Churn rate</w:t>
            </w:r>
          </w:p>
        </w:tc>
      </w:tr>
      <w:tr>
        <w:tc>
          <w:tcPr>
            <w:tcW w:type="dxa" w:w="2664"/>
          </w:tcPr>
          <w:p>
            <w:pPr>
              <w:spacing w:after="20" w:before="20" w:line="254" w:lineRule="auto"/>
              <w:jc w:val="left"/>
            </w:pPr>
            <w:r>
              <w:rPr>
                <w:sz w:val="16"/>
              </w:rPr>
              <w:t>New &amp; Fragile 2 (cluster 3)</w:t>
            </w:r>
          </w:p>
        </w:tc>
        <w:tc>
          <w:tcPr>
            <w:tcW w:type="dxa" w:w="1037"/>
          </w:tcPr>
          <w:p>
            <w:pPr>
              <w:spacing w:after="20" w:before="20" w:line="254" w:lineRule="auto"/>
              <w:jc w:val="center"/>
            </w:pPr>
            <w:r>
              <w:rPr>
                <w:sz w:val="16"/>
              </w:rPr>
              <w:t>2 373</w:t>
            </w:r>
          </w:p>
        </w:tc>
        <w:tc>
          <w:tcPr>
            <w:tcW w:type="dxa" w:w="893"/>
          </w:tcPr>
          <w:p>
            <w:pPr>
              <w:spacing w:after="20" w:before="20" w:line="254" w:lineRule="auto"/>
              <w:jc w:val="center"/>
            </w:pPr>
            <w:r>
              <w:rPr>
                <w:sz w:val="16"/>
              </w:rPr>
              <w:t>33.69 %</w:t>
            </w:r>
          </w:p>
        </w:tc>
        <w:tc>
          <w:tcPr>
            <w:tcW w:type="dxa" w:w="1152"/>
          </w:tcPr>
          <w:p>
            <w:pPr>
              <w:spacing w:after="20" w:before="20" w:line="254" w:lineRule="auto"/>
              <w:jc w:val="center"/>
            </w:pPr>
            <w:r>
              <w:rPr>
                <w:sz w:val="16"/>
              </w:rPr>
              <w:t>15.05</w:t>
            </w:r>
          </w:p>
        </w:tc>
        <w:tc>
          <w:tcPr>
            <w:tcW w:type="dxa" w:w="1152"/>
          </w:tcPr>
          <w:p>
            <w:pPr>
              <w:spacing w:after="20" w:before="20" w:line="254" w:lineRule="auto"/>
              <w:jc w:val="center"/>
            </w:pPr>
            <w:r>
              <w:rPr>
                <w:sz w:val="16"/>
              </w:rPr>
              <w:t>77.58</w:t>
            </w:r>
          </w:p>
        </w:tc>
        <w:tc>
          <w:tcPr>
            <w:tcW w:type="dxa" w:w="1123"/>
          </w:tcPr>
          <w:p>
            <w:pPr>
              <w:spacing w:after="20" w:before="20" w:line="254" w:lineRule="auto"/>
              <w:jc w:val="center"/>
            </w:pPr>
            <w:r>
              <w:rPr>
                <w:sz w:val="16"/>
              </w:rPr>
              <w:t>1.83</w:t>
            </w:r>
          </w:p>
        </w:tc>
        <w:tc>
          <w:tcPr>
            <w:tcW w:type="dxa" w:w="1296"/>
          </w:tcPr>
          <w:p>
            <w:pPr>
              <w:spacing w:after="20" w:before="20" w:line="254" w:lineRule="auto"/>
              <w:jc w:val="center"/>
            </w:pPr>
            <w:r>
              <w:rPr>
                <w:b/>
                <w:sz w:val="16"/>
              </w:rPr>
              <w:t>47.37 %</w:t>
            </w:r>
          </w:p>
        </w:tc>
      </w:tr>
      <w:tr>
        <w:tc>
          <w:tcPr>
            <w:tcW w:type="dxa" w:w="2664"/>
            <w:shd w:val="clear" w:color="auto" w:fill="F2F5F9"/>
          </w:tcPr>
          <w:p>
            <w:pPr>
              <w:spacing w:after="20" w:before="20" w:line="254" w:lineRule="auto"/>
              <w:jc w:val="left"/>
            </w:pPr>
            <w:r>
              <w:rPr>
                <w:sz w:val="16"/>
              </w:rPr>
              <w:t>New &amp; Fragile (cluster 0)</w:t>
            </w:r>
          </w:p>
        </w:tc>
        <w:tc>
          <w:tcPr>
            <w:tcW w:type="dxa" w:w="1037"/>
            <w:shd w:val="clear" w:color="auto" w:fill="F2F5F9"/>
          </w:tcPr>
          <w:p>
            <w:pPr>
              <w:spacing w:after="20" w:before="20" w:line="254" w:lineRule="auto"/>
              <w:jc w:val="center"/>
            </w:pPr>
            <w:r>
              <w:rPr>
                <w:sz w:val="16"/>
              </w:rPr>
              <w:t>1 521</w:t>
            </w:r>
          </w:p>
        </w:tc>
        <w:tc>
          <w:tcPr>
            <w:tcW w:type="dxa" w:w="893"/>
            <w:shd w:val="clear" w:color="auto" w:fill="F2F5F9"/>
          </w:tcPr>
          <w:p>
            <w:pPr>
              <w:spacing w:after="20" w:before="20" w:line="254" w:lineRule="auto"/>
              <w:jc w:val="center"/>
            </w:pPr>
            <w:r>
              <w:rPr>
                <w:sz w:val="16"/>
              </w:rPr>
              <w:t>21.60 %</w:t>
            </w:r>
          </w:p>
        </w:tc>
        <w:tc>
          <w:tcPr>
            <w:tcW w:type="dxa" w:w="1152"/>
            <w:shd w:val="clear" w:color="auto" w:fill="F2F5F9"/>
          </w:tcPr>
          <w:p>
            <w:pPr>
              <w:spacing w:after="20" w:before="20" w:line="254" w:lineRule="auto"/>
              <w:jc w:val="center"/>
            </w:pPr>
            <w:r>
              <w:rPr>
                <w:sz w:val="16"/>
              </w:rPr>
              <w:t>10.16</w:t>
            </w:r>
          </w:p>
        </w:tc>
        <w:tc>
          <w:tcPr>
            <w:tcW w:type="dxa" w:w="1152"/>
            <w:shd w:val="clear" w:color="auto" w:fill="F2F5F9"/>
          </w:tcPr>
          <w:p>
            <w:pPr>
              <w:spacing w:after="20" w:before="20" w:line="254" w:lineRule="auto"/>
              <w:jc w:val="center"/>
            </w:pPr>
            <w:r>
              <w:rPr>
                <w:sz w:val="16"/>
              </w:rPr>
              <w:t>29.58</w:t>
            </w:r>
          </w:p>
        </w:tc>
        <w:tc>
          <w:tcPr>
            <w:tcW w:type="dxa" w:w="1123"/>
            <w:shd w:val="clear" w:color="auto" w:fill="F2F5F9"/>
          </w:tcPr>
          <w:p>
            <w:pPr>
              <w:spacing w:after="20" w:before="20" w:line="254" w:lineRule="auto"/>
              <w:jc w:val="center"/>
            </w:pPr>
            <w:r>
              <w:rPr>
                <w:sz w:val="16"/>
              </w:rPr>
              <w:t>0.30</w:t>
            </w:r>
          </w:p>
        </w:tc>
        <w:tc>
          <w:tcPr>
            <w:tcW w:type="dxa" w:w="1296"/>
            <w:shd w:val="clear" w:color="auto" w:fill="F2F5F9"/>
          </w:tcPr>
          <w:p>
            <w:pPr>
              <w:spacing w:after="20" w:before="20" w:line="254" w:lineRule="auto"/>
              <w:jc w:val="center"/>
            </w:pPr>
            <w:r>
              <w:rPr>
                <w:sz w:val="16"/>
              </w:rPr>
              <w:t>24.19 %</w:t>
            </w:r>
          </w:p>
        </w:tc>
      </w:tr>
      <w:tr>
        <w:tc>
          <w:tcPr>
            <w:tcW w:type="dxa" w:w="2664"/>
          </w:tcPr>
          <w:p>
            <w:pPr>
              <w:spacing w:after="20" w:before="20" w:line="254" w:lineRule="auto"/>
              <w:jc w:val="left"/>
            </w:pPr>
            <w:r>
              <w:rPr>
                <w:sz w:val="16"/>
              </w:rPr>
              <w:t>High-Value Loyal (cluster 1)</w:t>
            </w:r>
          </w:p>
        </w:tc>
        <w:tc>
          <w:tcPr>
            <w:tcW w:type="dxa" w:w="1037"/>
          </w:tcPr>
          <w:p>
            <w:pPr>
              <w:spacing w:after="20" w:before="20" w:line="254" w:lineRule="auto"/>
              <w:jc w:val="center"/>
            </w:pPr>
            <w:r>
              <w:rPr>
                <w:sz w:val="16"/>
              </w:rPr>
              <w:t>2 158</w:t>
            </w:r>
          </w:p>
        </w:tc>
        <w:tc>
          <w:tcPr>
            <w:tcW w:type="dxa" w:w="893"/>
          </w:tcPr>
          <w:p>
            <w:pPr>
              <w:spacing w:after="20" w:before="20" w:line="254" w:lineRule="auto"/>
              <w:jc w:val="center"/>
            </w:pPr>
            <w:r>
              <w:rPr>
                <w:sz w:val="16"/>
              </w:rPr>
              <w:t>30.64 %</w:t>
            </w:r>
          </w:p>
        </w:tc>
        <w:tc>
          <w:tcPr>
            <w:tcW w:type="dxa" w:w="1152"/>
          </w:tcPr>
          <w:p>
            <w:pPr>
              <w:spacing w:after="20" w:before="20" w:line="254" w:lineRule="auto"/>
              <w:jc w:val="center"/>
            </w:pPr>
            <w:r>
              <w:rPr>
                <w:sz w:val="16"/>
              </w:rPr>
              <w:t>56.89</w:t>
            </w:r>
          </w:p>
        </w:tc>
        <w:tc>
          <w:tcPr>
            <w:tcW w:type="dxa" w:w="1152"/>
          </w:tcPr>
          <w:p>
            <w:pPr>
              <w:spacing w:after="20" w:before="20" w:line="254" w:lineRule="auto"/>
              <w:jc w:val="center"/>
            </w:pPr>
            <w:r>
              <w:rPr>
                <w:sz w:val="16"/>
              </w:rPr>
              <w:t>90.59</w:t>
            </w:r>
          </w:p>
        </w:tc>
        <w:tc>
          <w:tcPr>
            <w:tcW w:type="dxa" w:w="1123"/>
          </w:tcPr>
          <w:p>
            <w:pPr>
              <w:spacing w:after="20" w:before="20" w:line="254" w:lineRule="auto"/>
              <w:jc w:val="center"/>
            </w:pPr>
            <w:r>
              <w:rPr>
                <w:sz w:val="16"/>
              </w:rPr>
              <w:t>4.16</w:t>
            </w:r>
          </w:p>
        </w:tc>
        <w:tc>
          <w:tcPr>
            <w:tcW w:type="dxa" w:w="1296"/>
          </w:tcPr>
          <w:p>
            <w:pPr>
              <w:spacing w:after="20" w:before="20" w:line="254" w:lineRule="auto"/>
              <w:jc w:val="center"/>
            </w:pPr>
            <w:r>
              <w:rPr>
                <w:sz w:val="16"/>
              </w:rPr>
              <w:t>15.43 %</w:t>
            </w:r>
          </w:p>
        </w:tc>
      </w:tr>
      <w:tr>
        <w:tc>
          <w:tcPr>
            <w:tcW w:type="dxa" w:w="2664"/>
            <w:shd w:val="clear" w:color="auto" w:fill="F2F5F9"/>
          </w:tcPr>
          <w:p>
            <w:pPr>
              <w:spacing w:after="20" w:before="20" w:line="254" w:lineRule="auto"/>
              <w:jc w:val="left"/>
            </w:pPr>
            <w:r>
              <w:rPr>
                <w:sz w:val="16"/>
              </w:rPr>
              <w:t>Low-Value Price-Sensitive (cluster 2)</w:t>
            </w:r>
          </w:p>
        </w:tc>
        <w:tc>
          <w:tcPr>
            <w:tcW w:type="dxa" w:w="1037"/>
            <w:shd w:val="clear" w:color="auto" w:fill="F2F5F9"/>
          </w:tcPr>
          <w:p>
            <w:pPr>
              <w:spacing w:after="20" w:before="20" w:line="254" w:lineRule="auto"/>
              <w:jc w:val="center"/>
            </w:pPr>
            <w:r>
              <w:rPr>
                <w:sz w:val="16"/>
              </w:rPr>
              <w:t>991</w:t>
            </w:r>
          </w:p>
        </w:tc>
        <w:tc>
          <w:tcPr>
            <w:tcW w:type="dxa" w:w="893"/>
            <w:shd w:val="clear" w:color="auto" w:fill="F2F5F9"/>
          </w:tcPr>
          <w:p>
            <w:pPr>
              <w:spacing w:after="20" w:before="20" w:line="254" w:lineRule="auto"/>
              <w:jc w:val="center"/>
            </w:pPr>
            <w:r>
              <w:rPr>
                <w:sz w:val="16"/>
              </w:rPr>
              <w:t>14.07 %</w:t>
            </w:r>
          </w:p>
        </w:tc>
        <w:tc>
          <w:tcPr>
            <w:tcW w:type="dxa" w:w="1152"/>
            <w:shd w:val="clear" w:color="auto" w:fill="F2F5F9"/>
          </w:tcPr>
          <w:p>
            <w:pPr>
              <w:spacing w:after="20" w:before="20" w:line="254" w:lineRule="auto"/>
              <w:jc w:val="center"/>
            </w:pPr>
            <w:r>
              <w:rPr>
                <w:sz w:val="16"/>
              </w:rPr>
              <w:t>54.54</w:t>
            </w:r>
          </w:p>
        </w:tc>
        <w:tc>
          <w:tcPr>
            <w:tcW w:type="dxa" w:w="1152"/>
            <w:shd w:val="clear" w:color="auto" w:fill="F2F5F9"/>
          </w:tcPr>
          <w:p>
            <w:pPr>
              <w:spacing w:after="20" w:before="20" w:line="254" w:lineRule="auto"/>
              <w:jc w:val="center"/>
            </w:pPr>
            <w:r>
              <w:rPr>
                <w:sz w:val="16"/>
              </w:rPr>
              <w:t>31.81</w:t>
            </w:r>
          </w:p>
        </w:tc>
        <w:tc>
          <w:tcPr>
            <w:tcW w:type="dxa" w:w="1123"/>
            <w:shd w:val="clear" w:color="auto" w:fill="F2F5F9"/>
          </w:tcPr>
          <w:p>
            <w:pPr>
              <w:spacing w:after="20" w:before="20" w:line="254" w:lineRule="auto"/>
              <w:jc w:val="center"/>
            </w:pPr>
            <w:r>
              <w:rPr>
                <w:sz w:val="16"/>
              </w:rPr>
              <w:t>0.58</w:t>
            </w:r>
          </w:p>
        </w:tc>
        <w:tc>
          <w:tcPr>
            <w:tcW w:type="dxa" w:w="1296"/>
            <w:shd w:val="clear" w:color="auto" w:fill="F2F5F9"/>
          </w:tcPr>
          <w:p>
            <w:pPr>
              <w:spacing w:after="20" w:before="20" w:line="254" w:lineRule="auto"/>
              <w:jc w:val="center"/>
            </w:pPr>
            <w:r>
              <w:rPr>
                <w:b/>
                <w:sz w:val="16"/>
              </w:rPr>
              <w:t>4.44 %</w:t>
            </w:r>
          </w:p>
        </w:tc>
      </w:tr>
    </w:tbl>
    <w:p>
      <w:pPr>
        <w:spacing w:before="80" w:after="200"/>
        <w:jc w:val="center"/>
      </w:pPr>
      <w:r>
        <w:rPr>
          <w:i/>
          <w:color w:val="555F6B"/>
          <w:sz w:val="17"/>
        </w:rPr>
        <w:t>Table 26: Profile of the four segments discovered by K-Means, ordered by churn rate. Churn was not used as a clustering input.</w:t>
      </w:r>
    </w:p>
    <w:p>
      <w:pPr>
        <w:keepNext/>
        <w:spacing w:before="120" w:after="60"/>
        <w:jc w:val="center"/>
      </w:pPr>
      <w:r>
        <w:drawing>
          <wp:inline xmlns:a="http://schemas.openxmlformats.org/drawingml/2006/main" xmlns:pic="http://schemas.openxmlformats.org/drawingml/2006/picture">
            <wp:extent cx="5760720" cy="2845657"/>
            <wp:docPr id="14" name="Picture 14"/>
            <wp:cNvGraphicFramePr>
              <a:graphicFrameLocks noChangeAspect="1"/>
            </wp:cNvGraphicFramePr>
            <a:graphic>
              <a:graphicData uri="http://schemas.openxmlformats.org/drawingml/2006/picture">
                <pic:pic>
                  <pic:nvPicPr>
                    <pic:cNvPr id="0" name="phase5_cluster_profiles.png"/>
                    <pic:cNvPicPr/>
                  </pic:nvPicPr>
                  <pic:blipFill>
                    <a:blip r:embed="rId22"/>
                    <a:stretch>
                      <a:fillRect/>
                    </a:stretch>
                  </pic:blipFill>
                  <pic:spPr>
                    <a:xfrm>
                      <a:off x="0" y="0"/>
                      <a:ext cx="5760720" cy="2845657"/>
                    </a:xfrm>
                    <a:prstGeom prst="rect"/>
                  </pic:spPr>
                </pic:pic>
              </a:graphicData>
            </a:graphic>
          </wp:inline>
        </w:drawing>
      </w:r>
    </w:p>
    <w:p>
      <w:pPr>
        <w:spacing w:after="220"/>
        <w:jc w:val="center"/>
      </w:pPr>
      <w:r>
        <w:rPr>
          <w:i/>
          <w:color w:val="555F6B"/>
          <w:sz w:val="17"/>
        </w:rPr>
        <w:t>Figure 14: Segment profile comparison across tenure, monthly charges, service count and churn rate.</w:t>
      </w:r>
    </w:p>
    <w:p>
      <w:pPr>
        <w:keepNext/>
        <w:spacing w:before="120" w:after="60"/>
        <w:jc w:val="center"/>
      </w:pPr>
      <w:r>
        <w:drawing>
          <wp:inline xmlns:a="http://schemas.openxmlformats.org/drawingml/2006/main" xmlns:pic="http://schemas.openxmlformats.org/drawingml/2006/picture">
            <wp:extent cx="5623560" cy="3032737"/>
            <wp:docPr id="15" name="Picture 15"/>
            <wp:cNvGraphicFramePr>
              <a:graphicFrameLocks noChangeAspect="1"/>
            </wp:cNvGraphicFramePr>
            <a:graphic>
              <a:graphicData uri="http://schemas.openxmlformats.org/drawingml/2006/picture">
                <pic:pic>
                  <pic:nvPicPr>
                    <pic:cNvPr id="0" name="phase5_customer_segments.png"/>
                    <pic:cNvPicPr/>
                  </pic:nvPicPr>
                  <pic:blipFill>
                    <a:blip r:embed="rId23"/>
                    <a:stretch>
                      <a:fillRect/>
                    </a:stretch>
                  </pic:blipFill>
                  <pic:spPr>
                    <a:xfrm>
                      <a:off x="0" y="0"/>
                      <a:ext cx="5623560" cy="3032737"/>
                    </a:xfrm>
                    <a:prstGeom prst="rect"/>
                  </pic:spPr>
                </pic:pic>
              </a:graphicData>
            </a:graphic>
          </wp:inline>
        </w:drawing>
      </w:r>
    </w:p>
    <w:p>
      <w:pPr>
        <w:spacing w:after="220"/>
        <w:jc w:val="center"/>
      </w:pPr>
      <w:r>
        <w:rPr>
          <w:i/>
          <w:color w:val="555F6B"/>
          <w:sz w:val="17"/>
        </w:rPr>
        <w:t>Figure 15: Segments plotted on tenure against monthly charges, with marker size encoding service count.</w:t>
      </w:r>
    </w:p>
    <w:p>
      <w:pPr>
        <w:keepNext/>
        <w:spacing w:before="200" w:after="60"/>
      </w:pPr>
      <w:r>
        <w:rPr>
          <w:rFonts w:ascii="Calibri" w:hAnsi="Calibri"/>
          <w:b/>
          <w:color w:val="0B5C7A"/>
          <w:sz w:val="22"/>
        </w:rPr>
        <w:t>Reading the four segments</w:t>
      </w:r>
    </w:p>
    <w:p>
      <w:pPr>
        <w:pStyle w:val="ListBullet"/>
        <w:spacing w:after="60" w:line="264" w:lineRule="auto"/>
        <w:ind w:left="547"/>
      </w:pPr>
      <w:r>
        <w:rPr>
          <w:b/>
          <w:sz w:val="21"/>
        </w:rPr>
        <w:t xml:space="preserve">New &amp; Fragile 2 — the retention priority. </w:t>
      </w:r>
      <w:r>
        <w:rPr>
          <w:sz w:val="21"/>
        </w:rPr>
        <w:t>Two thousand three hundred and seventy-three customers, a third of the base, averaging fifteen months of tenure and 77.58 in monthly charges. Nearly half of them leave. This segment combines the highest churn rate with substantial recurring revenue, which makes it the single largest pool of recoverable revenue in the business.</w:t>
      </w:r>
    </w:p>
    <w:p>
      <w:pPr>
        <w:pStyle w:val="ListBullet"/>
        <w:spacing w:after="60" w:line="264" w:lineRule="auto"/>
        <w:ind w:left="547"/>
      </w:pPr>
      <w:r>
        <w:rPr>
          <w:b/>
          <w:sz w:val="21"/>
        </w:rPr>
        <w:t xml:space="preserve">New &amp; Fragile — low value, moderate risk. </w:t>
      </w:r>
      <w:r>
        <w:rPr>
          <w:sz w:val="21"/>
        </w:rPr>
        <w:t>Fifteen hundred customers on 29.58 per month with almost no add-on adoption. Their 24.19 % churn rate sits below the base rate, and their low ARPU means the revenue consequence of losing one is small. Retention spend here earns a poor return.</w:t>
      </w:r>
    </w:p>
    <w:p>
      <w:pPr>
        <w:pStyle w:val="ListBullet"/>
        <w:spacing w:after="60" w:line="264" w:lineRule="auto"/>
        <w:ind w:left="547"/>
      </w:pPr>
      <w:r>
        <w:rPr>
          <w:b/>
          <w:sz w:val="21"/>
        </w:rPr>
        <w:t xml:space="preserve">High-Value Loyal — protect, do not discount. </w:t>
      </w:r>
      <w:r>
        <w:rPr>
          <w:sz w:val="21"/>
        </w:rPr>
        <w:t>Two thousand one hundred and fifty-eight customers averaging fifty-seven months of tenure, 90.59 per month and 4.16 add-on services. At 15.43 % their churn is well below base, and their 5 160 mean accumulated revenue makes each loss expensive. The correct posture is service quality and early-warning monitoring, not discounting.</w:t>
      </w:r>
    </w:p>
    <w:p>
      <w:pPr>
        <w:pStyle w:val="ListBullet"/>
        <w:spacing w:after="60" w:line="264" w:lineRule="auto"/>
        <w:ind w:left="547"/>
      </w:pPr>
      <w:r>
        <w:rPr>
          <w:b/>
          <w:sz w:val="21"/>
        </w:rPr>
        <w:t xml:space="preserve">Low-Value Price-Sensitive — leave alone. </w:t>
      </w:r>
      <w:r>
        <w:rPr>
          <w:sz w:val="21"/>
        </w:rPr>
        <w:t>Nine hundred and ninety-one long-tenured customers on minimal spend, churning at just 4.44 %. They are the most stable group in the base and need no intervention.</w:t>
      </w:r>
    </w:p>
    <w:p>
      <w:pPr>
        <w:spacing w:after="120"/>
        <w:jc w:val="both"/>
      </w:pPr>
      <w:r>
        <w:rPr>
          <w:sz w:val="21"/>
        </w:rPr>
        <w:t xml:space="preserve">One implementation detail is visible in the segment names. Two clusters were both classified as </w:t>
      </w:r>
      <w:r>
        <w:rPr>
          <w:i/>
          <w:sz w:val="21"/>
        </w:rPr>
        <w:t>New &amp; Fragile</w:t>
      </w:r>
      <w:r>
        <w:rPr>
          <w:sz w:val="21"/>
        </w:rPr>
        <w:t xml:space="preserve"> by the rule-based naming logic, so the script's de-duplication branch appended a numeral to the second, producing the label </w:t>
      </w:r>
      <w:r>
        <w:rPr>
          <w:rFonts w:ascii="Consolas" w:hAnsi="Consolas"/>
          <w:color w:val="8A2C1F"/>
          <w:sz w:val="19"/>
        </w:rPr>
        <w:t>New &amp; Fragile 2</w:t>
      </w:r>
      <w:r>
        <w:rPr>
          <w:sz w:val="21"/>
        </w:rPr>
        <w:t>. The two clusters are in fact commercially very different — 29.58 versus 77.58 in monthly charges, and 24.19 % versus 47.37 % churn — so the shared name is misleading. Section 15.4 recommends a correction.</w:t>
      </w:r>
    </w:p>
    <w:p>
      <w:r>
        <w:br w:type="page"/>
      </w:r>
    </w:p>
    <w:p>
      <w:pPr>
        <w:spacing w:after="0"/>
      </w:pPr>
    </w:p>
    <w:p>
      <w:pPr>
        <w:keepNext/>
        <w:spacing w:before="80" w:after="40"/>
        <w:pBdr>
          <w:bottom w:val="single" w:sz="10" w:space="3" w:color="1B355E"/>
        </w:pBdr>
      </w:pPr>
      <w:r>
        <w:rPr>
          <w:rFonts w:ascii="Calibri" w:hAnsi="Calibri"/>
          <w:b/>
          <w:color w:val="1B355E"/>
          <w:sz w:val="30"/>
        </w:rPr>
        <w:t>11.  Phase 6 — Model Development and Evaluation</w:t>
      </w:r>
    </w:p>
    <w:p>
      <w:pPr>
        <w:spacing w:after="40"/>
      </w:pPr>
    </w:p>
    <w:p>
      <w:pPr>
        <w:keepNext/>
        <w:spacing w:before="240" w:after="80"/>
      </w:pPr>
      <w:r>
        <w:rPr>
          <w:rFonts w:ascii="Calibri" w:hAnsi="Calibri"/>
          <w:b/>
          <w:color w:val="1B355E"/>
          <w:sz w:val="25"/>
        </w:rPr>
        <w:t>11.1  Purpose</w:t>
      </w:r>
    </w:p>
    <w:p>
      <w:pPr>
        <w:spacing w:after="120" w:before="0"/>
        <w:jc w:val="both"/>
      </w:pPr>
      <w:r>
        <w:rPr>
          <w:b w:val="0"/>
          <w:i w:val="0"/>
          <w:sz w:val="21"/>
        </w:rPr>
        <w:t>Phase 6 is the predictive core of the project. It trains five classifiers, selects among them by cross-validated ROC-AUC, tunes the strongest family by randomized search, evaluates every candidate on a held-out partition, and serialises the winner together with its full preprocessing pipeline.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232"/>
        <w:gridCol w:w="7084"/>
      </w:tblGrid>
      <w:tr>
        <w:tc>
          <w:tcPr>
            <w:tcW w:type="dxa" w:w="2232"/>
            <w:shd w:val="clear" w:color="auto" w:fill="1B355E"/>
          </w:tcPr>
          <w:p>
            <w:pPr>
              <w:spacing w:after="20" w:before="20"/>
              <w:jc w:val="center"/>
            </w:pPr>
            <w:r>
              <w:rPr>
                <w:b/>
                <w:color w:val="FFFFFF"/>
                <w:sz w:val="17"/>
              </w:rPr>
              <w:t>Property</w:t>
            </w:r>
          </w:p>
        </w:tc>
        <w:tc>
          <w:tcPr>
            <w:tcW w:type="dxa" w:w="7085"/>
            <w:shd w:val="clear" w:color="auto" w:fill="1B355E"/>
          </w:tcPr>
          <w:p>
            <w:pPr>
              <w:spacing w:after="20" w:before="20"/>
              <w:jc w:val="center"/>
            </w:pPr>
            <w:r>
              <w:rPr>
                <w:b/>
                <w:color w:val="FFFFFF"/>
                <w:sz w:val="17"/>
              </w:rPr>
              <w:t>Value</w:t>
            </w:r>
          </w:p>
        </w:tc>
      </w:tr>
      <w:tr>
        <w:tc>
          <w:tcPr>
            <w:tcW w:type="dxa" w:w="2232"/>
          </w:tcPr>
          <w:p>
            <w:pPr>
              <w:spacing w:after="20" w:before="20" w:line="254" w:lineRule="auto"/>
              <w:jc w:val="left"/>
            </w:pPr>
            <w:r>
              <w:rPr>
                <w:sz w:val="17"/>
              </w:rPr>
              <w:t>Input</w:t>
            </w:r>
          </w:p>
        </w:tc>
        <w:tc>
          <w:tcPr>
            <w:tcW w:type="dxa" w:w="7085"/>
          </w:tcPr>
          <w:p>
            <w:pPr>
              <w:spacing w:after="20" w:before="20" w:line="254" w:lineRule="auto"/>
              <w:jc w:val="left"/>
            </w:pPr>
            <w:r>
              <w:rPr>
                <w:rFonts w:ascii="Consolas" w:hAnsi="Consolas" w:eastAsia="Consolas"/>
                <w:color w:val="8A2C1F"/>
                <w:sz w:val="16"/>
              </w:rPr>
              <w:t>data/Customer-Churn-Segmented.csv</w:t>
            </w:r>
          </w:p>
        </w:tc>
      </w:tr>
      <w:tr>
        <w:tc>
          <w:tcPr>
            <w:tcW w:type="dxa" w:w="2232"/>
            <w:shd w:val="clear" w:color="auto" w:fill="F2F5F9"/>
          </w:tcPr>
          <w:p>
            <w:pPr>
              <w:spacing w:after="20" w:before="20" w:line="254" w:lineRule="auto"/>
              <w:jc w:val="left"/>
            </w:pPr>
            <w:r>
              <w:rPr>
                <w:sz w:val="17"/>
              </w:rPr>
              <w:t>Output</w:t>
            </w:r>
          </w:p>
        </w:tc>
        <w:tc>
          <w:tcPr>
            <w:tcW w:type="dxa" w:w="7085"/>
            <w:shd w:val="clear" w:color="auto" w:fill="F2F5F9"/>
          </w:tcPr>
          <w:p>
            <w:pPr>
              <w:spacing w:after="20" w:before="20" w:line="254" w:lineRule="auto"/>
              <w:jc w:val="left"/>
            </w:pPr>
            <w:r>
              <w:rPr>
                <w:rFonts w:ascii="Consolas" w:hAnsi="Consolas" w:eastAsia="Consolas"/>
                <w:color w:val="8A2C1F"/>
                <w:sz w:val="16"/>
              </w:rPr>
              <w:t>models/best_churn_model.joblib</w:t>
            </w:r>
            <w:r>
              <w:rPr>
                <w:sz w:val="17"/>
              </w:rPr>
              <w:t xml:space="preserve">, </w:t>
            </w:r>
            <w:r>
              <w:rPr>
                <w:rFonts w:ascii="Consolas" w:hAnsi="Consolas" w:eastAsia="Consolas"/>
                <w:color w:val="8A2C1F"/>
                <w:sz w:val="16"/>
              </w:rPr>
              <w:t>data/phase6_model_performance.csv</w:t>
            </w:r>
            <w:r>
              <w:rPr>
                <w:sz w:val="17"/>
              </w:rPr>
              <w:t>, 3 charts</w:t>
            </w:r>
          </w:p>
        </w:tc>
      </w:tr>
      <w:tr>
        <w:tc>
          <w:tcPr>
            <w:tcW w:type="dxa" w:w="2232"/>
          </w:tcPr>
          <w:p>
            <w:pPr>
              <w:spacing w:after="20" w:before="20" w:line="254" w:lineRule="auto"/>
              <w:jc w:val="left"/>
            </w:pPr>
            <w:r>
              <w:rPr>
                <w:sz w:val="17"/>
              </w:rPr>
              <w:t>Lines of code</w:t>
            </w:r>
          </w:p>
        </w:tc>
        <w:tc>
          <w:tcPr>
            <w:tcW w:type="dxa" w:w="7085"/>
          </w:tcPr>
          <w:p>
            <w:pPr>
              <w:spacing w:after="20" w:before="20" w:line="254" w:lineRule="auto"/>
              <w:jc w:val="center"/>
            </w:pPr>
            <w:r>
              <w:rPr>
                <w:sz w:val="17"/>
              </w:rPr>
              <w:t>539</w:t>
            </w:r>
          </w:p>
        </w:tc>
      </w:tr>
      <w:tr>
        <w:tc>
          <w:tcPr>
            <w:tcW w:type="dxa" w:w="2232"/>
            <w:shd w:val="clear" w:color="auto" w:fill="F2F5F9"/>
          </w:tcPr>
          <w:p>
            <w:pPr>
              <w:spacing w:after="20" w:before="20" w:line="254" w:lineRule="auto"/>
              <w:jc w:val="left"/>
            </w:pPr>
            <w:r>
              <w:rPr>
                <w:sz w:val="17"/>
              </w:rPr>
              <w:t>Models trained</w:t>
            </w:r>
          </w:p>
        </w:tc>
        <w:tc>
          <w:tcPr>
            <w:tcW w:type="dxa" w:w="7085"/>
            <w:shd w:val="clear" w:color="auto" w:fill="F2F5F9"/>
          </w:tcPr>
          <w:p>
            <w:pPr>
              <w:spacing w:after="20" w:before="20" w:line="254" w:lineRule="auto"/>
              <w:jc w:val="left"/>
            </w:pPr>
            <w:r>
              <w:rPr>
                <w:sz w:val="17"/>
              </w:rPr>
              <w:t>5 (LR, RF, SVM, XGBoost baseline, XGBoost tuned)</w:t>
            </w:r>
          </w:p>
        </w:tc>
      </w:tr>
      <w:tr>
        <w:tc>
          <w:tcPr>
            <w:tcW w:type="dxa" w:w="2232"/>
          </w:tcPr>
          <w:p>
            <w:pPr>
              <w:spacing w:after="20" w:before="20" w:line="254" w:lineRule="auto"/>
              <w:jc w:val="left"/>
            </w:pPr>
            <w:r>
              <w:rPr>
                <w:sz w:val="17"/>
              </w:rPr>
              <w:t>Selection metric</w:t>
            </w:r>
          </w:p>
        </w:tc>
        <w:tc>
          <w:tcPr>
            <w:tcW w:type="dxa" w:w="7085"/>
          </w:tcPr>
          <w:p>
            <w:pPr>
              <w:spacing w:after="20" w:before="20" w:line="254" w:lineRule="auto"/>
              <w:jc w:val="center"/>
            </w:pPr>
            <w:r>
              <w:rPr>
                <w:sz w:val="17"/>
              </w:rPr>
              <w:t>ROC-AUC</w:t>
            </w:r>
          </w:p>
        </w:tc>
      </w:tr>
      <w:tr>
        <w:tc>
          <w:tcPr>
            <w:tcW w:type="dxa" w:w="2232"/>
            <w:shd w:val="clear" w:color="auto" w:fill="F2F5F9"/>
          </w:tcPr>
          <w:p>
            <w:pPr>
              <w:spacing w:after="20" w:before="20" w:line="254" w:lineRule="auto"/>
              <w:jc w:val="left"/>
            </w:pPr>
            <w:r>
              <w:rPr>
                <w:sz w:val="17"/>
              </w:rPr>
              <w:t>Cross-validation</w:t>
            </w:r>
          </w:p>
        </w:tc>
        <w:tc>
          <w:tcPr>
            <w:tcW w:type="dxa" w:w="7085"/>
            <w:shd w:val="clear" w:color="auto" w:fill="F2F5F9"/>
          </w:tcPr>
          <w:p>
            <w:pPr>
              <w:spacing w:after="20" w:before="20" w:line="254" w:lineRule="auto"/>
              <w:jc w:val="left"/>
            </w:pPr>
            <w:r>
              <w:rPr>
                <w:rFonts w:ascii="Consolas" w:hAnsi="Consolas" w:eastAsia="Consolas"/>
                <w:color w:val="8A2C1F"/>
                <w:sz w:val="16"/>
              </w:rPr>
              <w:t>StratifiedKFold(n_splits=5, shuffle=True)</w:t>
            </w:r>
          </w:p>
        </w:tc>
      </w:tr>
      <w:tr>
        <w:tc>
          <w:tcPr>
            <w:tcW w:type="dxa" w:w="2232"/>
          </w:tcPr>
          <w:p>
            <w:pPr>
              <w:spacing w:after="20" w:before="20" w:line="254" w:lineRule="auto"/>
              <w:jc w:val="left"/>
            </w:pPr>
            <w:r>
              <w:rPr>
                <w:sz w:val="17"/>
              </w:rPr>
              <w:t>Hold-out size</w:t>
            </w:r>
          </w:p>
        </w:tc>
        <w:tc>
          <w:tcPr>
            <w:tcW w:type="dxa" w:w="7085"/>
          </w:tcPr>
          <w:p>
            <w:pPr>
              <w:spacing w:after="20" w:before="20" w:line="254" w:lineRule="auto"/>
              <w:jc w:val="left"/>
            </w:pPr>
            <w:r>
              <w:rPr>
                <w:rFonts w:ascii="Consolas" w:hAnsi="Consolas" w:eastAsia="Consolas"/>
                <w:color w:val="8A2C1F"/>
                <w:sz w:val="16"/>
              </w:rPr>
              <w:t>TEST_SIZE = 0.05</w:t>
            </w:r>
            <w:r>
              <w:rPr>
                <w:sz w:val="17"/>
              </w:rPr>
              <w:t xml:space="preserve"> — 353 records</w:t>
            </w:r>
          </w:p>
        </w:tc>
      </w:tr>
    </w:tbl>
    <w:p>
      <w:pPr>
        <w:spacing w:before="80" w:after="200"/>
        <w:jc w:val="center"/>
      </w:pPr>
      <w:r>
        <w:rPr>
          <w:i/>
          <w:color w:val="555F6B"/>
          <w:sz w:val="17"/>
        </w:rPr>
        <w:t>Table 27: Phase 6 interface summary.</w:t>
      </w:r>
    </w:p>
    <w:p>
      <w:pPr>
        <w:keepNext/>
        <w:spacing w:before="120" w:after="60"/>
        <w:jc w:val="center"/>
      </w:pPr>
      <w:r>
        <w:drawing>
          <wp:inline xmlns:a="http://schemas.openxmlformats.org/drawingml/2006/main" xmlns:pic="http://schemas.openxmlformats.org/drawingml/2006/picture">
            <wp:extent cx="5870448" cy="2734277"/>
            <wp:docPr id="16" name="Picture 16"/>
            <wp:cNvGraphicFramePr>
              <a:graphicFrameLocks noChangeAspect="1"/>
            </wp:cNvGraphicFramePr>
            <a:graphic>
              <a:graphicData uri="http://schemas.openxmlformats.org/drawingml/2006/picture">
                <pic:pic>
                  <pic:nvPicPr>
                    <pic:cNvPr id="0" name="impl_fig3_modelling.png"/>
                    <pic:cNvPicPr/>
                  </pic:nvPicPr>
                  <pic:blipFill>
                    <a:blip r:embed="rId24"/>
                    <a:stretch>
                      <a:fillRect/>
                    </a:stretch>
                  </pic:blipFill>
                  <pic:spPr>
                    <a:xfrm>
                      <a:off x="0" y="0"/>
                      <a:ext cx="5870448" cy="2734277"/>
                    </a:xfrm>
                    <a:prstGeom prst="rect"/>
                  </pic:spPr>
                </pic:pic>
              </a:graphicData>
            </a:graphic>
          </wp:inline>
        </w:drawing>
      </w:r>
    </w:p>
    <w:p>
      <w:pPr>
        <w:spacing w:after="220"/>
        <w:jc w:val="center"/>
      </w:pPr>
      <w:r>
        <w:rPr>
          <w:i/>
          <w:color w:val="555F6B"/>
          <w:sz w:val="17"/>
        </w:rPr>
        <w:t>Figure 16: Phase 6 modelling workflow, from the segmented input through cross-validated selection to the persisted artefacts.</w:t>
      </w:r>
    </w:p>
    <w:p>
      <w:pPr>
        <w:keepNext/>
        <w:spacing w:before="240" w:after="80"/>
      </w:pPr>
      <w:r>
        <w:rPr>
          <w:rFonts w:ascii="Calibri" w:hAnsi="Calibri"/>
          <w:b/>
          <w:color w:val="1B355E"/>
          <w:sz w:val="25"/>
        </w:rPr>
        <w:t>11.2  Code walk-through</w:t>
      </w:r>
    </w:p>
    <w:p>
      <w:pPr>
        <w:keepNext/>
        <w:spacing w:before="200" w:after="60"/>
      </w:pPr>
      <w:r>
        <w:rPr>
          <w:rFonts w:ascii="Calibri" w:hAnsi="Calibri"/>
          <w:b/>
          <w:color w:val="0B5C7A"/>
          <w:sz w:val="22"/>
        </w:rPr>
        <w:t>Leakage-safe preprocessing</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numeric_transformer = Pipeline(steps=[</w:t>
            </w:r>
          </w:p>
          <w:p>
            <w:pPr>
              <w:spacing w:after="0" w:before="0" w:line="240" w:lineRule="auto"/>
            </w:pPr>
            <w:r>
              <w:rPr>
                <w:rFonts w:ascii="Consolas" w:hAnsi="Consolas" w:eastAsia="Consolas"/>
                <w:color w:val="1A232E"/>
                <w:sz w:val="16"/>
              </w:rPr>
              <w:t xml:space="preserve">    ("imputer", SimpleImputer(strategy="median")),</w:t>
            </w:r>
          </w:p>
          <w:p>
            <w:pPr>
              <w:spacing w:after="0" w:before="0" w:line="240" w:lineRule="auto"/>
            </w:pPr>
            <w:r>
              <w:rPr>
                <w:rFonts w:ascii="Consolas" w:hAnsi="Consolas" w:eastAsia="Consolas"/>
                <w:color w:val="1A232E"/>
                <w:sz w:val="16"/>
              </w:rPr>
              <w:t xml:space="preserve">    ("scaler", StandardScaler())</w:t>
            </w:r>
          </w:p>
          <w:p>
            <w:pPr>
              <w:spacing w:after="0" w:before="0" w:line="240" w:lineRule="auto"/>
            </w:pPr>
            <w:r>
              <w:rPr>
                <w:rFonts w:ascii="Consolas" w:hAnsi="Consolas" w:eastAsia="Consolas"/>
                <w:color w:val="1A232E"/>
                <w:sz w:val="16"/>
              </w:rPr>
              <w: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categorical_transformer = Pipeline(steps=[</w:t>
            </w:r>
          </w:p>
          <w:p>
            <w:pPr>
              <w:spacing w:after="0" w:before="0" w:line="240" w:lineRule="auto"/>
            </w:pPr>
            <w:r>
              <w:rPr>
                <w:rFonts w:ascii="Consolas" w:hAnsi="Consolas" w:eastAsia="Consolas"/>
                <w:color w:val="1A232E"/>
                <w:sz w:val="16"/>
              </w:rPr>
              <w:t xml:space="preserve">    ("imputer", SimpleImputer(strategy="most_frequent")),</w:t>
            </w:r>
          </w:p>
          <w:p>
            <w:pPr>
              <w:spacing w:after="0" w:before="0" w:line="240" w:lineRule="auto"/>
            </w:pPr>
            <w:r>
              <w:rPr>
                <w:rFonts w:ascii="Consolas" w:hAnsi="Consolas" w:eastAsia="Consolas"/>
                <w:color w:val="1A232E"/>
                <w:sz w:val="16"/>
              </w:rPr>
              <w:t xml:space="preserve">    ("encoder", OneHotEncoder(handle_unknown="ignore"))</w:t>
            </w:r>
          </w:p>
          <w:p>
            <w:pPr>
              <w:spacing w:after="0" w:before="0" w:line="240" w:lineRule="auto"/>
            </w:pPr>
            <w:r>
              <w:rPr>
                <w:rFonts w:ascii="Consolas" w:hAnsi="Consolas" w:eastAsia="Consolas"/>
                <w:color w:val="1A232E"/>
                <w:sz w:val="16"/>
              </w:rPr>
              <w: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preprocessor = ColumnTransformer(transformers=[</w:t>
            </w:r>
          </w:p>
          <w:p>
            <w:pPr>
              <w:spacing w:after="0" w:before="0" w:line="240" w:lineRule="auto"/>
            </w:pPr>
            <w:r>
              <w:rPr>
                <w:rFonts w:ascii="Consolas" w:hAnsi="Consolas" w:eastAsia="Consolas"/>
                <w:color w:val="1A232E"/>
                <w:sz w:val="16"/>
              </w:rPr>
              <w:t xml:space="preserve">    ("numeric", numeric_transformer, numeric_features),</w:t>
            </w:r>
          </w:p>
          <w:p>
            <w:pPr>
              <w:spacing w:after="0" w:before="0" w:line="240" w:lineRule="auto"/>
            </w:pPr>
            <w:r>
              <w:rPr>
                <w:rFonts w:ascii="Consolas" w:hAnsi="Consolas" w:eastAsia="Consolas"/>
                <w:color w:val="1A232E"/>
                <w:sz w:val="16"/>
              </w:rPr>
              <w:t xml:space="preserve">    ("categorical", categorical_transformer, categorical_features)</w:t>
            </w:r>
          </w:p>
          <w:p>
            <w:pPr>
              <w:spacing w:after="0" w:before="0" w:line="240" w:lineRule="auto"/>
            </w:pPr>
            <w:r>
              <w:rPr>
                <w:rFonts w:ascii="Consolas" w:hAnsi="Consolas" w:eastAsia="Consolas"/>
                <w:color w:val="1A232E"/>
                <w:sz w:val="16"/>
              </w:rPr>
              <w:t>])</w:t>
            </w:r>
          </w:p>
        </w:tc>
      </w:tr>
    </w:tbl>
    <w:p>
      <w:pPr>
        <w:spacing w:after="80"/>
      </w:pPr>
    </w:p>
    <w:p>
      <w:pPr>
        <w:spacing w:after="120" w:before="0"/>
        <w:jc w:val="both"/>
      </w:pPr>
      <w:r>
        <w:rPr>
          <w:b w:val="0"/>
          <w:i w:val="0"/>
          <w:sz w:val="21"/>
        </w:rPr>
        <w:t>This is the single most important structural decision in phase 6, and it is made correctly. By wrapping imputation, scaling and encoding inside a ColumnTransformer that is itself the first step of every model pipeline, the fitted statistics — the medians, the means, the standard deviations, the category vocabularies — are learned only from the training rows of each cross-validation fold and then applied to the validation rows. Had the scaling been performed once on the full dataset before splitting, as phase 4 does for its own output, information about the test distribution would leak into training and every reported score would be optimistic. The handle_unknown="ignore" argument closes the remaining gap: a category that appears only in a validation fold is encoded as all zeros rather than raising.</w:t>
      </w:r>
    </w:p>
    <w:p>
      <w:pPr>
        <w:keepNext/>
        <w:spacing w:before="200" w:after="60"/>
      </w:pPr>
      <w:r>
        <w:rPr>
          <w:rFonts w:ascii="Calibri" w:hAnsi="Calibri"/>
          <w:b/>
          <w:color w:val="0B5C7A"/>
          <w:sz w:val="22"/>
        </w:rPr>
        <w:t>Class-imbalance correction</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negative_class_count = (y_train == 0).sum()</w:t>
            </w:r>
          </w:p>
          <w:p>
            <w:pPr>
              <w:spacing w:after="0" w:before="0" w:line="240" w:lineRule="auto"/>
            </w:pPr>
            <w:r>
              <w:rPr>
                <w:rFonts w:ascii="Consolas" w:hAnsi="Consolas" w:eastAsia="Consolas"/>
                <w:color w:val="1A232E"/>
                <w:sz w:val="16"/>
              </w:rPr>
              <w:t>positive_class_count = (y_train == 1).sum()</w:t>
            </w:r>
          </w:p>
          <w:p>
            <w:pPr>
              <w:spacing w:after="0" w:before="0" w:line="240" w:lineRule="auto"/>
            </w:pPr>
            <w:r>
              <w:rPr>
                <w:rFonts w:ascii="Consolas" w:hAnsi="Consolas" w:eastAsia="Consolas"/>
                <w:color w:val="1A232E"/>
                <w:sz w:val="16"/>
              </w:rPr>
              <w:t>scale_pos_weight = negative_class_count / positive_class_count</w:t>
            </w:r>
          </w:p>
        </w:tc>
      </w:tr>
    </w:tbl>
    <w:p>
      <w:pPr>
        <w:spacing w:after="80"/>
      </w:pPr>
    </w:p>
    <w:p>
      <w:pPr>
        <w:spacing w:after="120"/>
        <w:jc w:val="both"/>
      </w:pPr>
      <w:r>
        <w:rPr>
          <w:sz w:val="21"/>
        </w:rPr>
        <w:t xml:space="preserve">With a 73.46 / 26.54 split, an unweighted learner minimises its loss most easily by predicting the majority class. Three of the four baseline models counter this with </w:t>
      </w:r>
      <w:r>
        <w:rPr>
          <w:rFonts w:ascii="Consolas" w:hAnsi="Consolas"/>
          <w:color w:val="8A2C1F"/>
          <w:sz w:val="19"/>
        </w:rPr>
        <w:t>class_weight="balanced"</w:t>
      </w:r>
      <w:r>
        <w:rPr>
          <w:sz w:val="21"/>
        </w:rPr>
        <w:t xml:space="preserve">, which reweights each class inversely to its frequency. XGBoost exposes the same correction through </w:t>
      </w:r>
      <w:r>
        <w:rPr>
          <w:rFonts w:ascii="Consolas" w:hAnsi="Consolas"/>
          <w:color w:val="8A2C1F"/>
          <w:sz w:val="19"/>
        </w:rPr>
        <w:t>scale_pos_weight</w:t>
      </w:r>
      <w:r>
        <w:rPr>
          <w:sz w:val="21"/>
        </w:rPr>
        <w:t>, computed here as the ratio of negatives to positives — approximately 2.77 on the training partition. The correction is why every model in Table 28 achieves recall above 0.54, and why the four weighted models all exceed 0.71.</w:t>
      </w:r>
    </w:p>
    <w:p>
      <w:pPr>
        <w:keepNext/>
        <w:spacing w:before="200" w:after="60"/>
      </w:pPr>
      <w:r>
        <w:rPr>
          <w:rFonts w:ascii="Calibri" w:hAnsi="Calibri"/>
          <w:b/>
          <w:color w:val="0B5C7A"/>
          <w:sz w:val="22"/>
        </w:rPr>
        <w:t>Model selection by cross-validation</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cv = StratifiedKFold(n_splits=CV_FOLDS, shuffle=True, random_state=RANDOM_STATE)</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for model_name, model in models.items():</w:t>
            </w:r>
          </w:p>
          <w:p>
            <w:pPr>
              <w:spacing w:after="0" w:before="0" w:line="240" w:lineRule="auto"/>
            </w:pPr>
            <w:r>
              <w:rPr>
                <w:rFonts w:ascii="Consolas" w:hAnsi="Consolas" w:eastAsia="Consolas"/>
                <w:color w:val="1A232E"/>
                <w:sz w:val="16"/>
              </w:rPr>
              <w:t xml:space="preserve">    pipeline = Pipeline(steps=[("preprocessor", preprocessor), ("model", model)])</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xml:space="preserve">    scores = cross_val_score(pipeline, X_train, y_train, cv=cv,</w:t>
            </w:r>
          </w:p>
          <w:p>
            <w:pPr>
              <w:spacing w:after="0" w:before="0" w:line="240" w:lineRule="auto"/>
            </w:pPr>
            <w:r>
              <w:rPr>
                <w:rFonts w:ascii="Consolas" w:hAnsi="Consolas" w:eastAsia="Consolas"/>
                <w:color w:val="1A232E"/>
                <w:sz w:val="16"/>
              </w:rPr>
              <w:t xml:space="preserve">                             scoring="roc_auc", n_jobs=-1)</w:t>
            </w:r>
          </w:p>
        </w:tc>
      </w:tr>
    </w:tbl>
    <w:p>
      <w:pPr>
        <w:spacing w:after="80"/>
      </w:pPr>
    </w:p>
    <w:p>
      <w:pPr>
        <w:spacing w:after="120" w:before="0"/>
        <w:jc w:val="both"/>
      </w:pPr>
      <w:r>
        <w:rPr>
          <w:b w:val="0"/>
          <w:i w:val="0"/>
          <w:sz w:val="21"/>
        </w:rPr>
        <w:t>Stratification preserves the 26.54 % churn proportion inside every fold, which matters at this imbalance level because an unstratified split could produce a fold with materially fewer positive cases and an unstable ROC-AUC estimate. Scoring on ROC-AUC rather than accuracy evaluates the ranking quality of the predicted probabilities across all possible thresholds, which is the property a retention system actually needs — the operational question is which customers to place at the top of a call list, not whether a particular cut-off classifies correctly.</w:t>
      </w:r>
    </w:p>
    <w:p>
      <w:pPr>
        <w:keepNext/>
        <w:spacing w:before="200" w:after="60"/>
      </w:pPr>
      <w:r>
        <w:rPr>
          <w:rFonts w:ascii="Calibri" w:hAnsi="Calibri"/>
          <w:b/>
          <w:color w:val="0B5C7A"/>
          <w:sz w:val="22"/>
        </w:rPr>
        <w:t>Hyper-parameter tuning</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xgb_search = RandomizedSearchCV(</w:t>
            </w:r>
          </w:p>
          <w:p>
            <w:pPr>
              <w:spacing w:after="0" w:before="0" w:line="240" w:lineRule="auto"/>
            </w:pPr>
            <w:r>
              <w:rPr>
                <w:rFonts w:ascii="Consolas" w:hAnsi="Consolas" w:eastAsia="Consolas"/>
                <w:color w:val="1A232E"/>
                <w:sz w:val="16"/>
              </w:rPr>
              <w:t xml:space="preserve">    estimator=xgb_pipeline,</w:t>
            </w:r>
          </w:p>
          <w:p>
            <w:pPr>
              <w:spacing w:after="0" w:before="0" w:line="240" w:lineRule="auto"/>
            </w:pPr>
            <w:r>
              <w:rPr>
                <w:rFonts w:ascii="Consolas" w:hAnsi="Consolas" w:eastAsia="Consolas"/>
                <w:color w:val="1A232E"/>
                <w:sz w:val="16"/>
              </w:rPr>
              <w:t xml:space="preserve">    param_distributions=xgb_parameter_grid,   # 10 parameters</w:t>
            </w:r>
          </w:p>
          <w:p>
            <w:pPr>
              <w:spacing w:after="0" w:before="0" w:line="240" w:lineRule="auto"/>
            </w:pPr>
            <w:r>
              <w:rPr>
                <w:rFonts w:ascii="Consolas" w:hAnsi="Consolas" w:eastAsia="Consolas"/>
                <w:color w:val="1A232E"/>
                <w:sz w:val="16"/>
              </w:rPr>
              <w:t xml:space="preserve">    n_iter=30,</w:t>
            </w:r>
          </w:p>
          <w:p>
            <w:pPr>
              <w:spacing w:after="0" w:before="0" w:line="240" w:lineRule="auto"/>
            </w:pPr>
            <w:r>
              <w:rPr>
                <w:rFonts w:ascii="Consolas" w:hAnsi="Consolas" w:eastAsia="Consolas"/>
                <w:color w:val="1A232E"/>
                <w:sz w:val="16"/>
              </w:rPr>
              <w:t xml:space="preserve">    scoring="roc_auc",</w:t>
            </w:r>
          </w:p>
          <w:p>
            <w:pPr>
              <w:spacing w:after="0" w:before="0" w:line="240" w:lineRule="auto"/>
            </w:pPr>
            <w:r>
              <w:rPr>
                <w:rFonts w:ascii="Consolas" w:hAnsi="Consolas" w:eastAsia="Consolas"/>
                <w:color w:val="1A232E"/>
                <w:sz w:val="16"/>
              </w:rPr>
              <w:t xml:space="preserve">    cv=cv,</w:t>
            </w:r>
          </w:p>
          <w:p>
            <w:pPr>
              <w:spacing w:after="0" w:before="0" w:line="240" w:lineRule="auto"/>
            </w:pPr>
            <w:r>
              <w:rPr>
                <w:rFonts w:ascii="Consolas" w:hAnsi="Consolas" w:eastAsia="Consolas"/>
                <w:color w:val="1A232E"/>
                <w:sz w:val="16"/>
              </w:rPr>
              <w:t xml:space="preserve">    random_state=RANDOM_STATE,</w:t>
            </w:r>
          </w:p>
          <w:p>
            <w:pPr>
              <w:spacing w:after="0" w:before="0" w:line="240" w:lineRule="auto"/>
            </w:pPr>
            <w:r>
              <w:rPr>
                <w:rFonts w:ascii="Consolas" w:hAnsi="Consolas" w:eastAsia="Consolas"/>
                <w:color w:val="1A232E"/>
                <w:sz w:val="16"/>
              </w:rPr>
              <w:t xml:space="preserve">    n_jobs=-1,</w:t>
            </w:r>
          </w:p>
          <w:p>
            <w:pPr>
              <w:spacing w:after="0" w:before="0" w:line="240" w:lineRule="auto"/>
            </w:pPr>
            <w:r>
              <w:rPr>
                <w:rFonts w:ascii="Consolas" w:hAnsi="Consolas" w:eastAsia="Consolas"/>
                <w:color w:val="1A232E"/>
                <w:sz w:val="16"/>
              </w:rPr>
              <w:t xml:space="preserve">    refit=True</w:t>
            </w:r>
          </w:p>
          <w:p>
            <w:pPr>
              <w:spacing w:after="0" w:before="0" w:line="240" w:lineRule="auto"/>
            </w:pPr>
            <w:r>
              <w:rPr>
                <w:rFonts w:ascii="Consolas" w:hAnsi="Consolas" w:eastAsia="Consolas"/>
                <w:color w:val="1A232E"/>
                <w:sz w:val="16"/>
              </w:rPr>
              <w:t>)</w:t>
            </w:r>
          </w:p>
          <w:p>
            <w:pPr>
              <w:spacing w:after="0" w:before="0" w:line="240" w:lineRule="auto"/>
            </w:pPr>
            <w:r>
              <w:rPr>
                <w:rFonts w:ascii="Consolas" w:hAnsi="Consolas" w:eastAsia="Consolas"/>
                <w:color w:val="1A232E"/>
                <w:sz w:val="16"/>
              </w:rPr>
              <w:t>xgb_search.fit(X_train, y_train)</w:t>
            </w:r>
          </w:p>
          <w:p>
            <w:pPr>
              <w:spacing w:after="0" w:before="0" w:line="240" w:lineRule="auto"/>
            </w:pPr>
            <w:r>
              <w:rPr>
                <w:rFonts w:ascii="Consolas" w:hAnsi="Consolas" w:eastAsia="Consolas"/>
                <w:color w:val="1A232E"/>
                <w:sz w:val="16"/>
              </w:rPr>
              <w:t>best_xgb_model = xgb_search.best_estimator_</w:t>
            </w:r>
          </w:p>
        </w:tc>
      </w:tr>
    </w:tbl>
    <w:p>
      <w:pPr>
        <w:spacing w:after="80"/>
      </w:pPr>
    </w:p>
    <w:p>
      <w:pPr>
        <w:spacing w:after="120" w:before="0"/>
        <w:jc w:val="both"/>
      </w:pPr>
      <w:r>
        <w:rPr>
          <w:b w:val="0"/>
          <w:i w:val="0"/>
          <w:sz w:val="21"/>
        </w:rPr>
        <w:t>The grid spans ten hyper-parameters with four candidate values each for most of them, which defines a space of well over a million combinations. An exhaustive grid search is therefore infeasible, and randomized search is the appropriate choice: thirty random draws across five folds is 150 fits, a search budget that completes in minutes while reliably locating a near-optimal region. The refit=True argument retrains the best configuration on the entire training partition once the search concludes, so the returned estimator is ready for evaluation without a further manual fit.</w:t>
      </w:r>
    </w:p>
    <w:p>
      <w:pPr>
        <w:keepNext/>
        <w:spacing w:before="240" w:after="80"/>
      </w:pPr>
      <w:r>
        <w:rPr>
          <w:rFonts w:ascii="Calibri" w:hAnsi="Calibri"/>
          <w:b/>
          <w:color w:val="1B355E"/>
          <w:sz w:val="25"/>
        </w:rPr>
        <w:t>11.3  Results: model comparison</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332"/>
        <w:gridCol w:w="1180"/>
        <w:gridCol w:w="1180"/>
        <w:gridCol w:w="1224"/>
        <w:gridCol w:w="1123"/>
        <w:gridCol w:w="1036"/>
        <w:gridCol w:w="835"/>
      </w:tblGrid>
      <w:tr>
        <w:tc>
          <w:tcPr>
            <w:tcW w:type="dxa" w:w="2333"/>
            <w:shd w:val="clear" w:color="auto" w:fill="1B355E"/>
          </w:tcPr>
          <w:p>
            <w:pPr>
              <w:spacing w:after="20" w:before="20"/>
              <w:jc w:val="center"/>
            </w:pPr>
            <w:r>
              <w:rPr>
                <w:b/>
                <w:color w:val="FFFFFF"/>
                <w:sz w:val="17"/>
              </w:rPr>
              <w:t>Model</w:t>
            </w:r>
          </w:p>
        </w:tc>
        <w:tc>
          <w:tcPr>
            <w:tcW w:type="dxa" w:w="1181"/>
            <w:shd w:val="clear" w:color="auto" w:fill="1B355E"/>
          </w:tcPr>
          <w:p>
            <w:pPr>
              <w:spacing w:after="20" w:before="20"/>
              <w:jc w:val="center"/>
            </w:pPr>
            <w:r>
              <w:rPr>
                <w:b/>
                <w:color w:val="FFFFFF"/>
                <w:sz w:val="17"/>
              </w:rPr>
              <w:t>ROC-AUC</w:t>
            </w:r>
          </w:p>
        </w:tc>
        <w:tc>
          <w:tcPr>
            <w:tcW w:type="dxa" w:w="1181"/>
            <w:shd w:val="clear" w:color="auto" w:fill="1B355E"/>
          </w:tcPr>
          <w:p>
            <w:pPr>
              <w:spacing w:after="20" w:before="20"/>
              <w:jc w:val="center"/>
            </w:pPr>
            <w:r>
              <w:rPr>
                <w:b/>
                <w:color w:val="FFFFFF"/>
                <w:sz w:val="17"/>
              </w:rPr>
              <w:t>Accuracy</w:t>
            </w:r>
          </w:p>
        </w:tc>
        <w:tc>
          <w:tcPr>
            <w:tcW w:type="dxa" w:w="1224"/>
            <w:shd w:val="clear" w:color="auto" w:fill="1B355E"/>
          </w:tcPr>
          <w:p>
            <w:pPr>
              <w:spacing w:after="20" w:before="20"/>
              <w:jc w:val="center"/>
            </w:pPr>
            <w:r>
              <w:rPr>
                <w:b/>
                <w:color w:val="FFFFFF"/>
                <w:sz w:val="17"/>
              </w:rPr>
              <w:t>Precision</w:t>
            </w:r>
          </w:p>
        </w:tc>
        <w:tc>
          <w:tcPr>
            <w:tcW w:type="dxa" w:w="1123"/>
            <w:shd w:val="clear" w:color="auto" w:fill="1B355E"/>
          </w:tcPr>
          <w:p>
            <w:pPr>
              <w:spacing w:after="20" w:before="20"/>
              <w:jc w:val="center"/>
            </w:pPr>
            <w:r>
              <w:rPr>
                <w:b/>
                <w:color w:val="FFFFFF"/>
                <w:sz w:val="17"/>
              </w:rPr>
              <w:t>Recall</w:t>
            </w:r>
          </w:p>
        </w:tc>
        <w:tc>
          <w:tcPr>
            <w:tcW w:type="dxa" w:w="1037"/>
            <w:shd w:val="clear" w:color="auto" w:fill="1B355E"/>
          </w:tcPr>
          <w:p>
            <w:pPr>
              <w:spacing w:after="20" w:before="20"/>
              <w:jc w:val="center"/>
            </w:pPr>
            <w:r>
              <w:rPr>
                <w:b/>
                <w:color w:val="FFFFFF"/>
                <w:sz w:val="17"/>
              </w:rPr>
              <w:t>F1</w:t>
            </w:r>
          </w:p>
        </w:tc>
        <w:tc>
          <w:tcPr>
            <w:tcW w:type="dxa" w:w="835"/>
            <w:shd w:val="clear" w:color="auto" w:fill="1B355E"/>
          </w:tcPr>
          <w:p>
            <w:pPr>
              <w:spacing w:after="20" w:before="20"/>
              <w:jc w:val="center"/>
            </w:pPr>
            <w:r>
              <w:rPr>
                <w:b/>
                <w:color w:val="FFFFFF"/>
                <w:sz w:val="17"/>
              </w:rPr>
              <w:t>Rank</w:t>
            </w:r>
          </w:p>
        </w:tc>
      </w:tr>
      <w:tr>
        <w:tc>
          <w:tcPr>
            <w:tcW w:type="dxa" w:w="2333"/>
          </w:tcPr>
          <w:p>
            <w:pPr>
              <w:spacing w:after="20" w:before="20" w:line="254" w:lineRule="auto"/>
              <w:jc w:val="left"/>
            </w:pPr>
            <w:r>
              <w:rPr>
                <w:b/>
                <w:sz w:val="16"/>
              </w:rPr>
              <w:t>Tuned XGBoost</w:t>
            </w:r>
          </w:p>
        </w:tc>
        <w:tc>
          <w:tcPr>
            <w:tcW w:type="dxa" w:w="1181"/>
          </w:tcPr>
          <w:p>
            <w:pPr>
              <w:spacing w:after="20" w:before="20" w:line="254" w:lineRule="auto"/>
              <w:jc w:val="center"/>
            </w:pPr>
            <w:r>
              <w:rPr>
                <w:b/>
                <w:sz w:val="16"/>
              </w:rPr>
              <w:t>0.8349</w:t>
            </w:r>
          </w:p>
        </w:tc>
        <w:tc>
          <w:tcPr>
            <w:tcW w:type="dxa" w:w="1181"/>
          </w:tcPr>
          <w:p>
            <w:pPr>
              <w:spacing w:after="20" w:before="20" w:line="254" w:lineRule="auto"/>
              <w:jc w:val="center"/>
            </w:pPr>
            <w:r>
              <w:rPr>
                <w:sz w:val="16"/>
              </w:rPr>
              <w:t>0.7280</w:t>
            </w:r>
          </w:p>
        </w:tc>
        <w:tc>
          <w:tcPr>
            <w:tcW w:type="dxa" w:w="1224"/>
          </w:tcPr>
          <w:p>
            <w:pPr>
              <w:spacing w:after="20" w:before="20" w:line="254" w:lineRule="auto"/>
              <w:jc w:val="center"/>
            </w:pPr>
            <w:r>
              <w:rPr>
                <w:sz w:val="16"/>
              </w:rPr>
              <w:t>0.4932</w:t>
            </w:r>
          </w:p>
        </w:tc>
        <w:tc>
          <w:tcPr>
            <w:tcW w:type="dxa" w:w="1123"/>
          </w:tcPr>
          <w:p>
            <w:pPr>
              <w:spacing w:after="20" w:before="20" w:line="254" w:lineRule="auto"/>
              <w:jc w:val="center"/>
            </w:pPr>
            <w:r>
              <w:rPr>
                <w:b/>
                <w:sz w:val="16"/>
              </w:rPr>
              <w:t>0.7766</w:t>
            </w:r>
          </w:p>
        </w:tc>
        <w:tc>
          <w:tcPr>
            <w:tcW w:type="dxa" w:w="1037"/>
          </w:tcPr>
          <w:p>
            <w:pPr>
              <w:spacing w:after="20" w:before="20" w:line="254" w:lineRule="auto"/>
              <w:jc w:val="center"/>
            </w:pPr>
            <w:r>
              <w:rPr>
                <w:sz w:val="16"/>
              </w:rPr>
              <w:t>0.6033</w:t>
            </w:r>
          </w:p>
        </w:tc>
        <w:tc>
          <w:tcPr>
            <w:tcW w:type="dxa" w:w="835"/>
          </w:tcPr>
          <w:p>
            <w:pPr>
              <w:spacing w:after="20" w:before="20" w:line="254" w:lineRule="auto"/>
              <w:jc w:val="center"/>
            </w:pPr>
            <w:r>
              <w:rPr>
                <w:b/>
                <w:sz w:val="16"/>
              </w:rPr>
              <w:t>1</w:t>
            </w:r>
          </w:p>
        </w:tc>
      </w:tr>
      <w:tr>
        <w:tc>
          <w:tcPr>
            <w:tcW w:type="dxa" w:w="2333"/>
            <w:shd w:val="clear" w:color="auto" w:fill="F2F5F9"/>
          </w:tcPr>
          <w:p>
            <w:pPr>
              <w:spacing w:after="20" w:before="20" w:line="254" w:lineRule="auto"/>
              <w:jc w:val="left"/>
            </w:pPr>
            <w:r>
              <w:rPr>
                <w:sz w:val="16"/>
              </w:rPr>
              <w:t>Logistic Regression</w:t>
            </w:r>
          </w:p>
        </w:tc>
        <w:tc>
          <w:tcPr>
            <w:tcW w:type="dxa" w:w="1181"/>
            <w:shd w:val="clear" w:color="auto" w:fill="F2F5F9"/>
          </w:tcPr>
          <w:p>
            <w:pPr>
              <w:spacing w:after="20" w:before="20" w:line="254" w:lineRule="auto"/>
              <w:jc w:val="center"/>
            </w:pPr>
            <w:r>
              <w:rPr>
                <w:sz w:val="16"/>
              </w:rPr>
              <w:t>0.8348</w:t>
            </w:r>
          </w:p>
        </w:tc>
        <w:tc>
          <w:tcPr>
            <w:tcW w:type="dxa" w:w="1181"/>
            <w:shd w:val="clear" w:color="auto" w:fill="F2F5F9"/>
          </w:tcPr>
          <w:p>
            <w:pPr>
              <w:spacing w:after="20" w:before="20" w:line="254" w:lineRule="auto"/>
              <w:jc w:val="center"/>
            </w:pPr>
            <w:r>
              <w:rPr>
                <w:sz w:val="16"/>
              </w:rPr>
              <w:t>0.7365</w:t>
            </w:r>
          </w:p>
        </w:tc>
        <w:tc>
          <w:tcPr>
            <w:tcW w:type="dxa" w:w="1224"/>
            <w:shd w:val="clear" w:color="auto" w:fill="F2F5F9"/>
          </w:tcPr>
          <w:p>
            <w:pPr>
              <w:spacing w:after="20" w:before="20" w:line="254" w:lineRule="auto"/>
              <w:jc w:val="center"/>
            </w:pPr>
            <w:r>
              <w:rPr>
                <w:sz w:val="16"/>
              </w:rPr>
              <w:t>0.5035</w:t>
            </w:r>
          </w:p>
        </w:tc>
        <w:tc>
          <w:tcPr>
            <w:tcW w:type="dxa" w:w="1123"/>
            <w:shd w:val="clear" w:color="auto" w:fill="F2F5F9"/>
          </w:tcPr>
          <w:p>
            <w:pPr>
              <w:spacing w:after="20" w:before="20" w:line="254" w:lineRule="auto"/>
              <w:jc w:val="center"/>
            </w:pPr>
            <w:r>
              <w:rPr>
                <w:sz w:val="16"/>
              </w:rPr>
              <w:t>0.7553</w:t>
            </w:r>
          </w:p>
        </w:tc>
        <w:tc>
          <w:tcPr>
            <w:tcW w:type="dxa" w:w="1037"/>
            <w:shd w:val="clear" w:color="auto" w:fill="F2F5F9"/>
          </w:tcPr>
          <w:p>
            <w:pPr>
              <w:spacing w:after="20" w:before="20" w:line="254" w:lineRule="auto"/>
              <w:jc w:val="center"/>
            </w:pPr>
            <w:r>
              <w:rPr>
                <w:sz w:val="16"/>
              </w:rPr>
              <w:t>0.6043</w:t>
            </w:r>
          </w:p>
        </w:tc>
        <w:tc>
          <w:tcPr>
            <w:tcW w:type="dxa" w:w="835"/>
            <w:shd w:val="clear" w:color="auto" w:fill="F2F5F9"/>
          </w:tcPr>
          <w:p>
            <w:pPr>
              <w:spacing w:after="20" w:before="20" w:line="254" w:lineRule="auto"/>
              <w:jc w:val="center"/>
            </w:pPr>
            <w:r>
              <w:rPr>
                <w:sz w:val="16"/>
              </w:rPr>
              <w:t>2</w:t>
            </w:r>
          </w:p>
        </w:tc>
      </w:tr>
      <w:tr>
        <w:tc>
          <w:tcPr>
            <w:tcW w:type="dxa" w:w="2333"/>
          </w:tcPr>
          <w:p>
            <w:pPr>
              <w:spacing w:after="20" w:before="20" w:line="254" w:lineRule="auto"/>
              <w:jc w:val="left"/>
            </w:pPr>
            <w:r>
              <w:rPr>
                <w:sz w:val="16"/>
              </w:rPr>
              <w:t>Random Forest</w:t>
            </w:r>
          </w:p>
        </w:tc>
        <w:tc>
          <w:tcPr>
            <w:tcW w:type="dxa" w:w="1181"/>
          </w:tcPr>
          <w:p>
            <w:pPr>
              <w:spacing w:after="20" w:before="20" w:line="254" w:lineRule="auto"/>
              <w:jc w:val="center"/>
            </w:pPr>
            <w:r>
              <w:rPr>
                <w:sz w:val="16"/>
              </w:rPr>
              <w:t>0.8329</w:t>
            </w:r>
          </w:p>
        </w:tc>
        <w:tc>
          <w:tcPr>
            <w:tcW w:type="dxa" w:w="1181"/>
          </w:tcPr>
          <w:p>
            <w:pPr>
              <w:spacing w:after="20" w:before="20" w:line="254" w:lineRule="auto"/>
              <w:jc w:val="center"/>
            </w:pPr>
            <w:r>
              <w:rPr>
                <w:sz w:val="16"/>
              </w:rPr>
              <w:t>0.7677</w:t>
            </w:r>
          </w:p>
        </w:tc>
        <w:tc>
          <w:tcPr>
            <w:tcW w:type="dxa" w:w="1224"/>
          </w:tcPr>
          <w:p>
            <w:pPr>
              <w:spacing w:after="20" w:before="20" w:line="254" w:lineRule="auto"/>
              <w:jc w:val="center"/>
            </w:pPr>
            <w:r>
              <w:rPr>
                <w:sz w:val="16"/>
              </w:rPr>
              <w:t>0.5492</w:t>
            </w:r>
          </w:p>
        </w:tc>
        <w:tc>
          <w:tcPr>
            <w:tcW w:type="dxa" w:w="1123"/>
          </w:tcPr>
          <w:p>
            <w:pPr>
              <w:spacing w:after="20" w:before="20" w:line="254" w:lineRule="auto"/>
              <w:jc w:val="center"/>
            </w:pPr>
            <w:r>
              <w:rPr>
                <w:sz w:val="16"/>
              </w:rPr>
              <w:t>0.7128</w:t>
            </w:r>
          </w:p>
        </w:tc>
        <w:tc>
          <w:tcPr>
            <w:tcW w:type="dxa" w:w="1037"/>
          </w:tcPr>
          <w:p>
            <w:pPr>
              <w:spacing w:after="20" w:before="20" w:line="254" w:lineRule="auto"/>
              <w:jc w:val="center"/>
            </w:pPr>
            <w:r>
              <w:rPr>
                <w:b/>
                <w:sz w:val="16"/>
              </w:rPr>
              <w:t>0.6204</w:t>
            </w:r>
          </w:p>
        </w:tc>
        <w:tc>
          <w:tcPr>
            <w:tcW w:type="dxa" w:w="835"/>
          </w:tcPr>
          <w:p>
            <w:pPr>
              <w:spacing w:after="20" w:before="20" w:line="254" w:lineRule="auto"/>
              <w:jc w:val="center"/>
            </w:pPr>
            <w:r>
              <w:rPr>
                <w:sz w:val="16"/>
              </w:rPr>
              <w:t>3</w:t>
            </w:r>
          </w:p>
        </w:tc>
      </w:tr>
      <w:tr>
        <w:tc>
          <w:tcPr>
            <w:tcW w:type="dxa" w:w="2333"/>
            <w:shd w:val="clear" w:color="auto" w:fill="F2F5F9"/>
          </w:tcPr>
          <w:p>
            <w:pPr>
              <w:spacing w:after="20" w:before="20" w:line="254" w:lineRule="auto"/>
              <w:jc w:val="left"/>
            </w:pPr>
            <w:r>
              <w:rPr>
                <w:sz w:val="16"/>
              </w:rPr>
              <w:t>Support Vector Machine</w:t>
            </w:r>
          </w:p>
        </w:tc>
        <w:tc>
          <w:tcPr>
            <w:tcW w:type="dxa" w:w="1181"/>
            <w:shd w:val="clear" w:color="auto" w:fill="F2F5F9"/>
          </w:tcPr>
          <w:p>
            <w:pPr>
              <w:spacing w:after="20" w:before="20" w:line="254" w:lineRule="auto"/>
              <w:jc w:val="center"/>
            </w:pPr>
            <w:r>
              <w:rPr>
                <w:sz w:val="16"/>
              </w:rPr>
              <w:t>0.7997</w:t>
            </w:r>
          </w:p>
        </w:tc>
        <w:tc>
          <w:tcPr>
            <w:tcW w:type="dxa" w:w="1181"/>
            <w:shd w:val="clear" w:color="auto" w:fill="F2F5F9"/>
          </w:tcPr>
          <w:p>
            <w:pPr>
              <w:spacing w:after="20" w:before="20" w:line="254" w:lineRule="auto"/>
              <w:jc w:val="center"/>
            </w:pPr>
            <w:r>
              <w:rPr>
                <w:sz w:val="16"/>
              </w:rPr>
              <w:t>0.7535</w:t>
            </w:r>
          </w:p>
        </w:tc>
        <w:tc>
          <w:tcPr>
            <w:tcW w:type="dxa" w:w="1224"/>
            <w:shd w:val="clear" w:color="auto" w:fill="F2F5F9"/>
          </w:tcPr>
          <w:p>
            <w:pPr>
              <w:spacing w:after="20" w:before="20" w:line="254" w:lineRule="auto"/>
              <w:jc w:val="center"/>
            </w:pPr>
            <w:r>
              <w:rPr>
                <w:sz w:val="16"/>
              </w:rPr>
              <w:t>0.5276</w:t>
            </w:r>
          </w:p>
        </w:tc>
        <w:tc>
          <w:tcPr>
            <w:tcW w:type="dxa" w:w="1123"/>
            <w:shd w:val="clear" w:color="auto" w:fill="F2F5F9"/>
          </w:tcPr>
          <w:p>
            <w:pPr>
              <w:spacing w:after="20" w:before="20" w:line="254" w:lineRule="auto"/>
              <w:jc w:val="center"/>
            </w:pPr>
            <w:r>
              <w:rPr>
                <w:sz w:val="16"/>
              </w:rPr>
              <w:t>0.7128</w:t>
            </w:r>
          </w:p>
        </w:tc>
        <w:tc>
          <w:tcPr>
            <w:tcW w:type="dxa" w:w="1037"/>
            <w:shd w:val="clear" w:color="auto" w:fill="F2F5F9"/>
          </w:tcPr>
          <w:p>
            <w:pPr>
              <w:spacing w:after="20" w:before="20" w:line="254" w:lineRule="auto"/>
              <w:jc w:val="center"/>
            </w:pPr>
            <w:r>
              <w:rPr>
                <w:sz w:val="16"/>
              </w:rPr>
              <w:t>0.6063</w:t>
            </w:r>
          </w:p>
        </w:tc>
        <w:tc>
          <w:tcPr>
            <w:tcW w:type="dxa" w:w="835"/>
            <w:shd w:val="clear" w:color="auto" w:fill="F2F5F9"/>
          </w:tcPr>
          <w:p>
            <w:pPr>
              <w:spacing w:after="20" w:before="20" w:line="254" w:lineRule="auto"/>
              <w:jc w:val="center"/>
            </w:pPr>
            <w:r>
              <w:rPr>
                <w:sz w:val="16"/>
              </w:rPr>
              <w:t>4</w:t>
            </w:r>
          </w:p>
        </w:tc>
      </w:tr>
      <w:tr>
        <w:tc>
          <w:tcPr>
            <w:tcW w:type="dxa" w:w="2333"/>
          </w:tcPr>
          <w:p>
            <w:pPr>
              <w:spacing w:after="20" w:before="20" w:line="254" w:lineRule="auto"/>
              <w:jc w:val="left"/>
            </w:pPr>
            <w:r>
              <w:rPr>
                <w:sz w:val="16"/>
              </w:rPr>
              <w:t>XGBoost Baseline</w:t>
            </w:r>
          </w:p>
        </w:tc>
        <w:tc>
          <w:tcPr>
            <w:tcW w:type="dxa" w:w="1181"/>
          </w:tcPr>
          <w:p>
            <w:pPr>
              <w:spacing w:after="20" w:before="20" w:line="254" w:lineRule="auto"/>
              <w:jc w:val="center"/>
            </w:pPr>
            <w:r>
              <w:rPr>
                <w:sz w:val="16"/>
              </w:rPr>
              <w:t>0.7988</w:t>
            </w:r>
          </w:p>
        </w:tc>
        <w:tc>
          <w:tcPr>
            <w:tcW w:type="dxa" w:w="1181"/>
          </w:tcPr>
          <w:p>
            <w:pPr>
              <w:spacing w:after="20" w:before="20" w:line="254" w:lineRule="auto"/>
              <w:jc w:val="center"/>
            </w:pPr>
            <w:r>
              <w:rPr>
                <w:b/>
                <w:sz w:val="16"/>
              </w:rPr>
              <w:t>0.7762</w:t>
            </w:r>
          </w:p>
        </w:tc>
        <w:tc>
          <w:tcPr>
            <w:tcW w:type="dxa" w:w="1224"/>
          </w:tcPr>
          <w:p>
            <w:pPr>
              <w:spacing w:after="20" w:before="20" w:line="254" w:lineRule="auto"/>
              <w:jc w:val="center"/>
            </w:pPr>
            <w:r>
              <w:rPr>
                <w:b/>
                <w:sz w:val="16"/>
              </w:rPr>
              <w:t>0.5862</w:t>
            </w:r>
          </w:p>
        </w:tc>
        <w:tc>
          <w:tcPr>
            <w:tcW w:type="dxa" w:w="1123"/>
          </w:tcPr>
          <w:p>
            <w:pPr>
              <w:spacing w:after="20" w:before="20" w:line="254" w:lineRule="auto"/>
              <w:jc w:val="center"/>
            </w:pPr>
            <w:r>
              <w:rPr>
                <w:sz w:val="16"/>
              </w:rPr>
              <w:t>0.5426</w:t>
            </w:r>
          </w:p>
        </w:tc>
        <w:tc>
          <w:tcPr>
            <w:tcW w:type="dxa" w:w="1037"/>
          </w:tcPr>
          <w:p>
            <w:pPr>
              <w:spacing w:after="20" w:before="20" w:line="254" w:lineRule="auto"/>
              <w:jc w:val="center"/>
            </w:pPr>
            <w:r>
              <w:rPr>
                <w:sz w:val="16"/>
              </w:rPr>
              <w:t>0.5635</w:t>
            </w:r>
          </w:p>
        </w:tc>
        <w:tc>
          <w:tcPr>
            <w:tcW w:type="dxa" w:w="835"/>
          </w:tcPr>
          <w:p>
            <w:pPr>
              <w:spacing w:after="20" w:before="20" w:line="254" w:lineRule="auto"/>
              <w:jc w:val="center"/>
            </w:pPr>
            <w:r>
              <w:rPr>
                <w:sz w:val="16"/>
              </w:rPr>
              <w:t>5</w:t>
            </w:r>
          </w:p>
        </w:tc>
      </w:tr>
    </w:tbl>
    <w:p>
      <w:pPr>
        <w:spacing w:before="80" w:after="200"/>
        <w:jc w:val="center"/>
      </w:pPr>
      <w:r>
        <w:rPr>
          <w:i/>
          <w:color w:val="555F6B"/>
          <w:sz w:val="17"/>
        </w:rPr>
        <w:t>Table 28: Hold-out test performance of all five models, ranked by ROC-AUC. Values are reproduced exactly from data/phase6_model_performance.csv.</w:t>
      </w:r>
    </w:p>
    <w:p>
      <w:pPr>
        <w:keepNext/>
        <w:spacing w:before="120" w:after="60"/>
        <w:jc w:val="center"/>
      </w:pPr>
      <w:r>
        <w:drawing>
          <wp:inline xmlns:a="http://schemas.openxmlformats.org/drawingml/2006/main" xmlns:pic="http://schemas.openxmlformats.org/drawingml/2006/picture">
            <wp:extent cx="5257800" cy="4067355"/>
            <wp:docPr id="17" name="Picture 17"/>
            <wp:cNvGraphicFramePr>
              <a:graphicFrameLocks noChangeAspect="1"/>
            </wp:cNvGraphicFramePr>
            <a:graphic>
              <a:graphicData uri="http://schemas.openxmlformats.org/drawingml/2006/picture">
                <pic:pic>
                  <pic:nvPicPr>
                    <pic:cNvPr id="0" name="phase6_roc_curves.png"/>
                    <pic:cNvPicPr/>
                  </pic:nvPicPr>
                  <pic:blipFill>
                    <a:blip r:embed="rId25"/>
                    <a:stretch>
                      <a:fillRect/>
                    </a:stretch>
                  </pic:blipFill>
                  <pic:spPr>
                    <a:xfrm>
                      <a:off x="0" y="0"/>
                      <a:ext cx="5257800" cy="4067355"/>
                    </a:xfrm>
                    <a:prstGeom prst="rect"/>
                  </pic:spPr>
                </pic:pic>
              </a:graphicData>
            </a:graphic>
          </wp:inline>
        </w:drawing>
      </w:r>
    </w:p>
    <w:p>
      <w:pPr>
        <w:spacing w:after="220"/>
        <w:jc w:val="center"/>
      </w:pPr>
      <w:r>
        <w:rPr>
          <w:i/>
          <w:color w:val="555F6B"/>
          <w:sz w:val="17"/>
        </w:rPr>
        <w:t>Figure 17: ROC curves for all five models on the hold-out partition.</w:t>
      </w:r>
    </w:p>
    <w:p>
      <w:r>
        <w:br w:type="page"/>
      </w:r>
    </w:p>
    <w:p>
      <w:pPr>
        <w:keepNext/>
        <w:spacing w:before="200" w:after="60"/>
      </w:pPr>
      <w:r>
        <w:rPr>
          <w:rFonts w:ascii="Calibri" w:hAnsi="Calibri"/>
          <w:b/>
          <w:color w:val="0B5C7A"/>
          <w:sz w:val="22"/>
        </w:rPr>
        <w:t>What the comparison actually shows</w:t>
      </w:r>
    </w:p>
    <w:p>
      <w:pPr>
        <w:spacing w:after="120" w:before="0"/>
        <w:jc w:val="both"/>
      </w:pPr>
      <w:r>
        <w:rPr>
          <w:b w:val="0"/>
          <w:i w:val="0"/>
          <w:sz w:val="21"/>
        </w:rPr>
        <w:t>Four observations follow from Table 28, and the first is the most important.</w:t>
      </w:r>
    </w:p>
    <w:p>
      <w:pPr>
        <w:spacing w:after="80" w:line="264" w:lineRule="auto"/>
        <w:ind w:left="806" w:hanging="490"/>
        <w:jc w:val="both"/>
        <w:tabs>
          <w:tab w:val="left" w:pos="806"/>
        </w:tabs>
      </w:pPr>
      <w:r>
        <w:rPr>
          <w:b/>
          <w:color w:val="0B5C7A"/>
          <w:sz w:val="21"/>
        </w:rPr>
        <w:t>1.</w:t>
      </w:r>
      <w:r>
        <w:rPr>
          <w:sz w:val="21"/>
        </w:rPr>
        <w:tab/>
      </w:r>
      <w:r>
        <w:rPr>
          <w:b/>
          <w:sz w:val="21"/>
        </w:rPr>
        <w:t xml:space="preserve">The top three models are statistically indistinguishable. </w:t>
      </w:r>
      <w:r>
        <w:rPr>
          <w:sz w:val="21"/>
        </w:rPr>
        <w:t>Tuned XGBoost, Logistic Regression and Random Forest separate by 0.0020 of ROC-AUC — 0.8349, 0.8348 and 0.8329. On a hold-out partition of 353 records, a gap that small is well inside sampling noise. The honest conclusion is not that XGBoost won, but that three very different model families extracted essentially the same predictive signal, which is itself strong evidence that the signal is real and that the feature set is close to exhausted.</w:t>
      </w:r>
    </w:p>
    <w:p>
      <w:pPr>
        <w:spacing w:after="80" w:line="264" w:lineRule="auto"/>
        <w:ind w:left="806" w:hanging="490"/>
        <w:jc w:val="both"/>
        <w:tabs>
          <w:tab w:val="left" w:pos="806"/>
        </w:tabs>
      </w:pPr>
      <w:r>
        <w:rPr>
          <w:b/>
          <w:color w:val="0B5C7A"/>
          <w:sz w:val="21"/>
        </w:rPr>
        <w:t>2.</w:t>
      </w:r>
      <w:r>
        <w:rPr>
          <w:sz w:val="21"/>
        </w:rPr>
        <w:tab/>
      </w:r>
      <w:r>
        <w:rPr>
          <w:b/>
          <w:sz w:val="21"/>
        </w:rPr>
        <w:t xml:space="preserve">Logistic Regression is the practical winner on merit. </w:t>
      </w:r>
      <w:r>
        <w:rPr>
          <w:sz w:val="21"/>
        </w:rPr>
        <w:t>It matches the tuned ensemble to four decimal places while training in under a second, producing directly interpretable coefficients and requiring no hyper-parameter search at all. The tuned XGBoost needed 150 fits to arrive at the same place. For a business deployment where explaining a prediction to a retention agent matters, this is the model to prefer.</w:t>
      </w:r>
    </w:p>
    <w:p>
      <w:pPr>
        <w:spacing w:after="80" w:line="264" w:lineRule="auto"/>
        <w:ind w:left="806" w:hanging="490"/>
        <w:jc w:val="both"/>
        <w:tabs>
          <w:tab w:val="left" w:pos="806"/>
        </w:tabs>
      </w:pPr>
      <w:r>
        <w:rPr>
          <w:b/>
          <w:color w:val="0B5C7A"/>
          <w:sz w:val="21"/>
        </w:rPr>
        <w:t>3.</w:t>
      </w:r>
      <w:r>
        <w:rPr>
          <w:sz w:val="21"/>
        </w:rPr>
        <w:tab/>
      </w:r>
      <w:r>
        <w:rPr>
          <w:b/>
          <w:sz w:val="21"/>
        </w:rPr>
        <w:t xml:space="preserve">Accuracy and recall are in direct opposition. </w:t>
      </w:r>
      <w:r>
        <w:rPr>
          <w:sz w:val="21"/>
        </w:rPr>
        <w:t>The baseline XGBoost records the best accuracy in the table at 0.7762 and the worst recall at 0.5426 — it earns its accuracy by declining to flag borderline cases. The tuned model inverts the trade: 0.7280 accuracy, 0.7766 recall. Since a missed churner costs the lifetime value of the customer while a false alarm costs one retention offer, the second trade is the correct one for this business, and it is why accuracy is not the selection metric.</w:t>
      </w:r>
    </w:p>
    <w:p>
      <w:pPr>
        <w:spacing w:after="80" w:line="264" w:lineRule="auto"/>
        <w:ind w:left="806" w:hanging="490"/>
        <w:jc w:val="both"/>
        <w:tabs>
          <w:tab w:val="left" w:pos="806"/>
        </w:tabs>
      </w:pPr>
      <w:r>
        <w:rPr>
          <w:b/>
          <w:color w:val="0B5C7A"/>
          <w:sz w:val="21"/>
        </w:rPr>
        <w:t>4.</w:t>
      </w:r>
      <w:r>
        <w:rPr>
          <w:sz w:val="21"/>
        </w:rPr>
        <w:tab/>
      </w:r>
      <w:r>
        <w:rPr>
          <w:b/>
          <w:sz w:val="21"/>
        </w:rPr>
        <w:t xml:space="preserve">Precision near 0.50 is expected, not a defect. </w:t>
      </w:r>
      <w:r>
        <w:rPr>
          <w:sz w:val="21"/>
        </w:rPr>
        <w:t>At a 26.54 % base rate, random selection would achieve 0.2654 precision. The tuned model's 0.4932 is a lift of 1.86 times, meaning roughly one in two flagged customers genuinely intends to leave. This is a normal and workable operating point for a retention campaign.</w:t>
      </w:r>
    </w:p>
    <w:p>
      <w:pPr>
        <w:keepNext/>
        <w:spacing w:before="240" w:after="80"/>
      </w:pPr>
      <w:r>
        <w:rPr>
          <w:rFonts w:ascii="Calibri" w:hAnsi="Calibri"/>
          <w:b/>
          <w:color w:val="1B355E"/>
          <w:sz w:val="25"/>
        </w:rPr>
        <w:t>11.4  Results: confusion matrix</w:t>
      </w:r>
    </w:p>
    <w:p>
      <w:pPr>
        <w:keepNext/>
        <w:spacing w:before="120" w:after="60"/>
        <w:jc w:val="center"/>
      </w:pPr>
      <w:r>
        <w:drawing>
          <wp:inline xmlns:a="http://schemas.openxmlformats.org/drawingml/2006/main" xmlns:pic="http://schemas.openxmlformats.org/drawingml/2006/picture">
            <wp:extent cx="3977639" cy="3402700"/>
            <wp:docPr id="18" name="Picture 18"/>
            <wp:cNvGraphicFramePr>
              <a:graphicFrameLocks noChangeAspect="1"/>
            </wp:cNvGraphicFramePr>
            <a:graphic>
              <a:graphicData uri="http://schemas.openxmlformats.org/drawingml/2006/picture">
                <pic:pic>
                  <pic:nvPicPr>
                    <pic:cNvPr id="0" name="phase6_confusion_matrix.png"/>
                    <pic:cNvPicPr/>
                  </pic:nvPicPr>
                  <pic:blipFill>
                    <a:blip r:embed="rId26"/>
                    <a:stretch>
                      <a:fillRect/>
                    </a:stretch>
                  </pic:blipFill>
                  <pic:spPr>
                    <a:xfrm>
                      <a:off x="0" y="0"/>
                      <a:ext cx="3977639" cy="3402700"/>
                    </a:xfrm>
                    <a:prstGeom prst="rect"/>
                  </pic:spPr>
                </pic:pic>
              </a:graphicData>
            </a:graphic>
          </wp:inline>
        </w:drawing>
      </w:r>
    </w:p>
    <w:p>
      <w:pPr>
        <w:spacing w:after="220"/>
        <w:jc w:val="center"/>
      </w:pPr>
      <w:r>
        <w:rPr>
          <w:i/>
          <w:color w:val="555F6B"/>
          <w:sz w:val="17"/>
        </w:rPr>
        <w:t>Figure 18: Confusion matrix for the tuned XGBoost model on the 353-record hold-out partition.</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699"/>
        <w:gridCol w:w="979"/>
        <w:gridCol w:w="3168"/>
        <w:gridCol w:w="3470"/>
      </w:tblGrid>
      <w:tr>
        <w:tc>
          <w:tcPr>
            <w:tcW w:type="dxa" w:w="1699"/>
            <w:shd w:val="clear" w:color="auto" w:fill="1B355E"/>
          </w:tcPr>
          <w:p>
            <w:pPr>
              <w:spacing w:after="20" w:before="20"/>
              <w:jc w:val="center"/>
            </w:pPr>
            <w:r>
              <w:rPr>
                <w:b/>
                <w:color w:val="FFFFFF"/>
                <w:sz w:val="17"/>
              </w:rPr>
              <w:t>Cell</w:t>
            </w:r>
          </w:p>
        </w:tc>
        <w:tc>
          <w:tcPr>
            <w:tcW w:type="dxa" w:w="979"/>
            <w:shd w:val="clear" w:color="auto" w:fill="1B355E"/>
          </w:tcPr>
          <w:p>
            <w:pPr>
              <w:spacing w:after="20" w:before="20"/>
              <w:jc w:val="center"/>
            </w:pPr>
            <w:r>
              <w:rPr>
                <w:b/>
                <w:color w:val="FFFFFF"/>
                <w:sz w:val="17"/>
              </w:rPr>
              <w:t>Count</w:t>
            </w:r>
          </w:p>
        </w:tc>
        <w:tc>
          <w:tcPr>
            <w:tcW w:type="dxa" w:w="3168"/>
            <w:shd w:val="clear" w:color="auto" w:fill="1B355E"/>
          </w:tcPr>
          <w:p>
            <w:pPr>
              <w:spacing w:after="20" w:before="20"/>
              <w:jc w:val="center"/>
            </w:pPr>
            <w:r>
              <w:rPr>
                <w:b/>
                <w:color w:val="FFFFFF"/>
                <w:sz w:val="17"/>
              </w:rPr>
              <w:t>Business meaning</w:t>
            </w:r>
          </w:p>
        </w:tc>
        <w:tc>
          <w:tcPr>
            <w:tcW w:type="dxa" w:w="3470"/>
            <w:shd w:val="clear" w:color="auto" w:fill="1B355E"/>
          </w:tcPr>
          <w:p>
            <w:pPr>
              <w:spacing w:after="20" w:before="20"/>
              <w:jc w:val="center"/>
            </w:pPr>
            <w:r>
              <w:rPr>
                <w:b/>
                <w:color w:val="FFFFFF"/>
                <w:sz w:val="17"/>
              </w:rPr>
              <w:t>Cost of this outcome</w:t>
            </w:r>
          </w:p>
        </w:tc>
      </w:tr>
      <w:tr>
        <w:tc>
          <w:tcPr>
            <w:tcW w:type="dxa" w:w="1699"/>
          </w:tcPr>
          <w:p>
            <w:pPr>
              <w:spacing w:after="20" w:before="20" w:line="254" w:lineRule="auto"/>
              <w:jc w:val="left"/>
            </w:pPr>
            <w:r>
              <w:rPr>
                <w:sz w:val="16"/>
              </w:rPr>
              <w:t>True negative</w:t>
            </w:r>
          </w:p>
        </w:tc>
        <w:tc>
          <w:tcPr>
            <w:tcW w:type="dxa" w:w="979"/>
          </w:tcPr>
          <w:p>
            <w:pPr>
              <w:spacing w:after="20" w:before="20" w:line="254" w:lineRule="auto"/>
              <w:jc w:val="center"/>
            </w:pPr>
            <w:r>
              <w:rPr>
                <w:sz w:val="16"/>
              </w:rPr>
              <w:t>184</w:t>
            </w:r>
          </w:p>
        </w:tc>
        <w:tc>
          <w:tcPr>
            <w:tcW w:type="dxa" w:w="3168"/>
          </w:tcPr>
          <w:p>
            <w:pPr>
              <w:spacing w:after="20" w:before="20" w:line="254" w:lineRule="auto"/>
              <w:jc w:val="center"/>
            </w:pPr>
            <w:r>
              <w:rPr>
                <w:sz w:val="16"/>
              </w:rPr>
              <w:t>correctly left alone</w:t>
            </w:r>
          </w:p>
        </w:tc>
        <w:tc>
          <w:tcPr>
            <w:tcW w:type="dxa" w:w="3470"/>
          </w:tcPr>
          <w:p>
            <w:pPr>
              <w:spacing w:after="20" w:before="20" w:line="254" w:lineRule="auto"/>
              <w:jc w:val="center"/>
            </w:pPr>
            <w:r>
              <w:rPr>
                <w:sz w:val="16"/>
              </w:rPr>
              <w:t>none</w:t>
            </w:r>
          </w:p>
        </w:tc>
      </w:tr>
      <w:tr>
        <w:tc>
          <w:tcPr>
            <w:tcW w:type="dxa" w:w="1699"/>
            <w:shd w:val="clear" w:color="auto" w:fill="F2F5F9"/>
          </w:tcPr>
          <w:p>
            <w:pPr>
              <w:spacing w:after="20" w:before="20" w:line="254" w:lineRule="auto"/>
              <w:jc w:val="left"/>
            </w:pPr>
            <w:r>
              <w:rPr>
                <w:sz w:val="16"/>
              </w:rPr>
              <w:t>False positive</w:t>
            </w:r>
          </w:p>
        </w:tc>
        <w:tc>
          <w:tcPr>
            <w:tcW w:type="dxa" w:w="979"/>
            <w:shd w:val="clear" w:color="auto" w:fill="F2F5F9"/>
          </w:tcPr>
          <w:p>
            <w:pPr>
              <w:spacing w:after="20" w:before="20" w:line="254" w:lineRule="auto"/>
              <w:jc w:val="center"/>
            </w:pPr>
            <w:r>
              <w:rPr>
                <w:sz w:val="16"/>
              </w:rPr>
              <w:t>75</w:t>
            </w:r>
          </w:p>
        </w:tc>
        <w:tc>
          <w:tcPr>
            <w:tcW w:type="dxa" w:w="3168"/>
            <w:shd w:val="clear" w:color="auto" w:fill="F2F5F9"/>
          </w:tcPr>
          <w:p>
            <w:pPr>
              <w:spacing w:after="20" w:before="20" w:line="254" w:lineRule="auto"/>
              <w:jc w:val="left"/>
            </w:pPr>
            <w:r>
              <w:rPr>
                <w:sz w:val="16"/>
              </w:rPr>
              <w:t>retention offer sent to a loyal customer</w:t>
            </w:r>
          </w:p>
        </w:tc>
        <w:tc>
          <w:tcPr>
            <w:tcW w:type="dxa" w:w="3470"/>
            <w:shd w:val="clear" w:color="auto" w:fill="F2F5F9"/>
          </w:tcPr>
          <w:p>
            <w:pPr>
              <w:spacing w:after="20" w:before="20" w:line="254" w:lineRule="auto"/>
              <w:jc w:val="left"/>
            </w:pPr>
            <w:r>
              <w:rPr>
                <w:sz w:val="16"/>
              </w:rPr>
              <w:t>the cost of one unnecessary offer</w:t>
            </w:r>
          </w:p>
        </w:tc>
      </w:tr>
      <w:tr>
        <w:tc>
          <w:tcPr>
            <w:tcW w:type="dxa" w:w="1699"/>
          </w:tcPr>
          <w:p>
            <w:pPr>
              <w:spacing w:after="20" w:before="20" w:line="254" w:lineRule="auto"/>
              <w:jc w:val="left"/>
            </w:pPr>
            <w:r>
              <w:rPr>
                <w:sz w:val="16"/>
              </w:rPr>
              <w:t>False negative</w:t>
            </w:r>
          </w:p>
        </w:tc>
        <w:tc>
          <w:tcPr>
            <w:tcW w:type="dxa" w:w="979"/>
          </w:tcPr>
          <w:p>
            <w:pPr>
              <w:spacing w:after="20" w:before="20" w:line="254" w:lineRule="auto"/>
              <w:jc w:val="center"/>
            </w:pPr>
            <w:r>
              <w:rPr>
                <w:b/>
                <w:sz w:val="16"/>
              </w:rPr>
              <w:t>21</w:t>
            </w:r>
          </w:p>
        </w:tc>
        <w:tc>
          <w:tcPr>
            <w:tcW w:type="dxa" w:w="3168"/>
          </w:tcPr>
          <w:p>
            <w:pPr>
              <w:spacing w:after="20" w:before="20" w:line="254" w:lineRule="auto"/>
              <w:jc w:val="left"/>
            </w:pPr>
            <w:r>
              <w:rPr>
                <w:b/>
                <w:sz w:val="16"/>
              </w:rPr>
              <w:t>churner missed entirely</w:t>
            </w:r>
          </w:p>
        </w:tc>
        <w:tc>
          <w:tcPr>
            <w:tcW w:type="dxa" w:w="3470"/>
          </w:tcPr>
          <w:p>
            <w:pPr>
              <w:spacing w:after="20" w:before="20" w:line="254" w:lineRule="auto"/>
              <w:jc w:val="left"/>
            </w:pPr>
            <w:r>
              <w:rPr>
                <w:b/>
                <w:sz w:val="16"/>
              </w:rPr>
              <w:t>the full lifetime value of the customer</w:t>
            </w:r>
          </w:p>
        </w:tc>
      </w:tr>
      <w:tr>
        <w:tc>
          <w:tcPr>
            <w:tcW w:type="dxa" w:w="1699"/>
            <w:shd w:val="clear" w:color="auto" w:fill="F2F5F9"/>
          </w:tcPr>
          <w:p>
            <w:pPr>
              <w:spacing w:after="20" w:before="20" w:line="254" w:lineRule="auto"/>
              <w:jc w:val="left"/>
            </w:pPr>
            <w:r>
              <w:rPr>
                <w:sz w:val="16"/>
              </w:rPr>
              <w:t>True positive</w:t>
            </w:r>
          </w:p>
        </w:tc>
        <w:tc>
          <w:tcPr>
            <w:tcW w:type="dxa" w:w="979"/>
            <w:shd w:val="clear" w:color="auto" w:fill="F2F5F9"/>
          </w:tcPr>
          <w:p>
            <w:pPr>
              <w:spacing w:after="20" w:before="20" w:line="254" w:lineRule="auto"/>
              <w:jc w:val="center"/>
            </w:pPr>
            <w:r>
              <w:rPr>
                <w:sz w:val="16"/>
              </w:rPr>
              <w:t>73</w:t>
            </w:r>
          </w:p>
        </w:tc>
        <w:tc>
          <w:tcPr>
            <w:tcW w:type="dxa" w:w="3168"/>
            <w:shd w:val="clear" w:color="auto" w:fill="F2F5F9"/>
          </w:tcPr>
          <w:p>
            <w:pPr>
              <w:spacing w:after="20" w:before="20" w:line="254" w:lineRule="auto"/>
              <w:jc w:val="left"/>
            </w:pPr>
            <w:r>
              <w:rPr>
                <w:sz w:val="16"/>
              </w:rPr>
              <w:t>churner correctly flagged in time</w:t>
            </w:r>
          </w:p>
        </w:tc>
        <w:tc>
          <w:tcPr>
            <w:tcW w:type="dxa" w:w="3470"/>
            <w:shd w:val="clear" w:color="auto" w:fill="F2F5F9"/>
          </w:tcPr>
          <w:p>
            <w:pPr>
              <w:spacing w:after="20" w:before="20" w:line="254" w:lineRule="auto"/>
              <w:jc w:val="left"/>
            </w:pPr>
            <w:r>
              <w:rPr>
                <w:sz w:val="16"/>
              </w:rPr>
              <w:t>recoverable if the offer succeeds</w:t>
            </w:r>
          </w:p>
        </w:tc>
      </w:tr>
    </w:tbl>
    <w:p>
      <w:pPr>
        <w:spacing w:before="80" w:after="200"/>
        <w:jc w:val="center"/>
      </w:pPr>
      <w:r>
        <w:rPr>
          <w:i/>
          <w:color w:val="555F6B"/>
          <w:sz w:val="17"/>
        </w:rPr>
        <w:t>Table 29: Confusion-matrix cells for the tuned XGBoost model, with the business cost attached to each outcome.</w:t>
      </w:r>
    </w:p>
    <w:p>
      <w:pPr>
        <w:spacing w:after="120" w:before="0"/>
        <w:jc w:val="both"/>
      </w:pPr>
      <w:r>
        <w:rPr>
          <w:b w:val="0"/>
          <w:i w:val="0"/>
          <w:sz w:val="21"/>
        </w:rPr>
        <w:t>Ninety-four customers in the hold-out partition actually churned, and the model identified seventy-three of them — it missed twenty-one. Set against the seventy-five false alarms, the asymmetry is favourable: the business spends seventy-five unnecessary retention offers to save up to seventy-three genuine churners. Given that a retention offer typically costs a small fraction of a customer's remaining lifetime value, this operating point is economically sound. Section 13 quantifies the trade explicitly.</w:t>
      </w:r>
    </w:p>
    <w:p>
      <w:pPr>
        <w:keepNext/>
        <w:spacing w:before="240" w:after="80"/>
      </w:pPr>
      <w:r>
        <w:rPr>
          <w:rFonts w:ascii="Calibri" w:hAnsi="Calibri"/>
          <w:b/>
          <w:color w:val="1B355E"/>
          <w:sz w:val="25"/>
        </w:rPr>
        <w:t>11.5  Results: feature importance</w:t>
      </w:r>
    </w:p>
    <w:p>
      <w:pPr>
        <w:keepNext/>
        <w:spacing w:before="120" w:after="60"/>
        <w:jc w:val="center"/>
      </w:pPr>
      <w:r>
        <w:drawing>
          <wp:inline xmlns:a="http://schemas.openxmlformats.org/drawingml/2006/main" xmlns:pic="http://schemas.openxmlformats.org/drawingml/2006/picture">
            <wp:extent cx="5532120" cy="4406943"/>
            <wp:docPr id="19" name="Picture 19"/>
            <wp:cNvGraphicFramePr>
              <a:graphicFrameLocks noChangeAspect="1"/>
            </wp:cNvGraphicFramePr>
            <a:graphic>
              <a:graphicData uri="http://schemas.openxmlformats.org/drawingml/2006/picture">
                <pic:pic>
                  <pic:nvPicPr>
                    <pic:cNvPr id="0" name="phase6_feature_importance.png"/>
                    <pic:cNvPicPr/>
                  </pic:nvPicPr>
                  <pic:blipFill>
                    <a:blip r:embed="rId27"/>
                    <a:stretch>
                      <a:fillRect/>
                    </a:stretch>
                  </pic:blipFill>
                  <pic:spPr>
                    <a:xfrm>
                      <a:off x="0" y="0"/>
                      <a:ext cx="5532120" cy="4406943"/>
                    </a:xfrm>
                    <a:prstGeom prst="rect"/>
                  </pic:spPr>
                </pic:pic>
              </a:graphicData>
            </a:graphic>
          </wp:inline>
        </w:drawing>
      </w:r>
    </w:p>
    <w:p>
      <w:pPr>
        <w:spacing w:after="220"/>
        <w:jc w:val="center"/>
      </w:pPr>
      <w:r>
        <w:rPr>
          <w:i/>
          <w:color w:val="555F6B"/>
          <w:sz w:val="17"/>
        </w:rPr>
        <w:t>Figure 19: Top twenty features by XGBoost gain importance.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748"/>
        <w:gridCol w:w="2851"/>
        <w:gridCol w:w="1224"/>
        <w:gridCol w:w="4492"/>
      </w:tblGrid>
      <w:tr>
        <w:tc>
          <w:tcPr>
            <w:tcW w:type="dxa" w:w="749"/>
            <w:shd w:val="clear" w:color="auto" w:fill="1B355E"/>
          </w:tcPr>
          <w:p>
            <w:pPr>
              <w:spacing w:after="20" w:before="20"/>
              <w:jc w:val="center"/>
            </w:pPr>
            <w:r>
              <w:rPr>
                <w:b/>
                <w:color w:val="FFFFFF"/>
                <w:sz w:val="17"/>
              </w:rPr>
              <w:t>Rank</w:t>
            </w:r>
          </w:p>
        </w:tc>
        <w:tc>
          <w:tcPr>
            <w:tcW w:type="dxa" w:w="2851"/>
            <w:shd w:val="clear" w:color="auto" w:fill="1B355E"/>
          </w:tcPr>
          <w:p>
            <w:pPr>
              <w:spacing w:after="20" w:before="20"/>
              <w:jc w:val="center"/>
            </w:pPr>
            <w:r>
              <w:rPr>
                <w:b/>
                <w:color w:val="FFFFFF"/>
                <w:sz w:val="17"/>
              </w:rPr>
              <w:t>Feature</w:t>
            </w:r>
          </w:p>
        </w:tc>
        <w:tc>
          <w:tcPr>
            <w:tcW w:type="dxa" w:w="1224"/>
            <w:shd w:val="clear" w:color="auto" w:fill="1B355E"/>
          </w:tcPr>
          <w:p>
            <w:pPr>
              <w:spacing w:after="20" w:before="20"/>
              <w:jc w:val="center"/>
            </w:pPr>
            <w:r>
              <w:rPr>
                <w:b/>
                <w:color w:val="FFFFFF"/>
                <w:sz w:val="17"/>
              </w:rPr>
              <w:t>Importance</w:t>
            </w:r>
          </w:p>
        </w:tc>
        <w:tc>
          <w:tcPr>
            <w:tcW w:type="dxa" w:w="4493"/>
            <w:shd w:val="clear" w:color="auto" w:fill="1B355E"/>
          </w:tcPr>
          <w:p>
            <w:pPr>
              <w:spacing w:after="20" w:before="20"/>
              <w:jc w:val="center"/>
            </w:pPr>
            <w:r>
              <w:rPr>
                <w:b/>
                <w:color w:val="FFFFFF"/>
                <w:sz w:val="17"/>
              </w:rPr>
              <w:t>Interpretation</w:t>
            </w:r>
          </w:p>
        </w:tc>
      </w:tr>
      <w:tr>
        <w:tc>
          <w:tcPr>
            <w:tcW w:type="dxa" w:w="749"/>
          </w:tcPr>
          <w:p>
            <w:pPr>
              <w:spacing w:after="20" w:before="20" w:line="254" w:lineRule="auto"/>
              <w:jc w:val="left"/>
            </w:pPr>
            <w:r>
              <w:rPr>
                <w:sz w:val="16"/>
              </w:rPr>
              <w:t>1</w:t>
            </w:r>
          </w:p>
        </w:tc>
        <w:tc>
          <w:tcPr>
            <w:tcW w:type="dxa" w:w="2851"/>
          </w:tcPr>
          <w:p>
            <w:pPr>
              <w:spacing w:after="20" w:before="20" w:line="254" w:lineRule="auto"/>
              <w:jc w:val="left"/>
            </w:pPr>
            <w:r>
              <w:rPr>
                <w:rFonts w:ascii="Consolas" w:hAnsi="Consolas" w:eastAsia="Consolas"/>
                <w:color w:val="8A2C1F"/>
                <w:sz w:val="15"/>
              </w:rPr>
              <w:t>Contract_Month-to-month</w:t>
            </w:r>
          </w:p>
        </w:tc>
        <w:tc>
          <w:tcPr>
            <w:tcW w:type="dxa" w:w="1224"/>
          </w:tcPr>
          <w:p>
            <w:pPr>
              <w:spacing w:after="20" w:before="20" w:line="254" w:lineRule="auto"/>
              <w:jc w:val="center"/>
            </w:pPr>
            <w:r>
              <w:rPr>
                <w:b/>
                <w:sz w:val="16"/>
              </w:rPr>
              <w:t>0.313</w:t>
            </w:r>
          </w:p>
        </w:tc>
        <w:tc>
          <w:tcPr>
            <w:tcW w:type="dxa" w:w="4493"/>
          </w:tcPr>
          <w:p>
            <w:pPr>
              <w:spacing w:after="20" w:before="20" w:line="254" w:lineRule="auto"/>
              <w:jc w:val="left"/>
            </w:pPr>
            <w:r>
              <w:rPr>
                <w:sz w:val="16"/>
              </w:rPr>
              <w:t>the dominant driver; alone it explains 31 % of total gain</w:t>
            </w:r>
          </w:p>
        </w:tc>
      </w:tr>
      <w:tr>
        <w:tc>
          <w:tcPr>
            <w:tcW w:type="dxa" w:w="749"/>
            <w:shd w:val="clear" w:color="auto" w:fill="F2F5F9"/>
          </w:tcPr>
          <w:p>
            <w:pPr>
              <w:spacing w:after="20" w:before="20" w:line="254" w:lineRule="auto"/>
              <w:jc w:val="left"/>
            </w:pPr>
            <w:r>
              <w:rPr>
                <w:sz w:val="16"/>
              </w:rPr>
              <w:t>2</w:t>
            </w:r>
          </w:p>
        </w:tc>
        <w:tc>
          <w:tcPr>
            <w:tcW w:type="dxa" w:w="2851"/>
            <w:shd w:val="clear" w:color="auto" w:fill="F2F5F9"/>
          </w:tcPr>
          <w:p>
            <w:pPr>
              <w:spacing w:after="20" w:before="20" w:line="254" w:lineRule="auto"/>
              <w:jc w:val="left"/>
            </w:pPr>
            <w:r>
              <w:rPr>
                <w:rFonts w:ascii="Consolas" w:hAnsi="Consolas" w:eastAsia="Consolas"/>
                <w:color w:val="8A2C1F"/>
                <w:sz w:val="15"/>
              </w:rPr>
              <w:t>CustomerSegment_New &amp; Fragile 2</w:t>
            </w:r>
          </w:p>
        </w:tc>
        <w:tc>
          <w:tcPr>
            <w:tcW w:type="dxa" w:w="1224"/>
            <w:shd w:val="clear" w:color="auto" w:fill="F2F5F9"/>
          </w:tcPr>
          <w:p>
            <w:pPr>
              <w:spacing w:after="20" w:before="20" w:line="254" w:lineRule="auto"/>
              <w:jc w:val="center"/>
            </w:pPr>
            <w:r>
              <w:rPr>
                <w:sz w:val="16"/>
              </w:rPr>
              <w:t>0.150</w:t>
            </w:r>
          </w:p>
        </w:tc>
        <w:tc>
          <w:tcPr>
            <w:tcW w:type="dxa" w:w="4493"/>
            <w:shd w:val="clear" w:color="auto" w:fill="F2F5F9"/>
          </w:tcPr>
          <w:p>
            <w:pPr>
              <w:spacing w:after="20" w:before="20" w:line="254" w:lineRule="auto"/>
              <w:jc w:val="left"/>
            </w:pPr>
            <w:r>
              <w:rPr>
                <w:sz w:val="16"/>
              </w:rPr>
              <w:t>the phase 5 segment label — see the caution below</w:t>
            </w:r>
          </w:p>
        </w:tc>
      </w:tr>
      <w:tr>
        <w:tc>
          <w:tcPr>
            <w:tcW w:type="dxa" w:w="749"/>
          </w:tcPr>
          <w:p>
            <w:pPr>
              <w:spacing w:after="20" w:before="20" w:line="254" w:lineRule="auto"/>
              <w:jc w:val="left"/>
            </w:pPr>
            <w:r>
              <w:rPr>
                <w:sz w:val="16"/>
              </w:rPr>
              <w:t>3</w:t>
            </w:r>
          </w:p>
        </w:tc>
        <w:tc>
          <w:tcPr>
            <w:tcW w:type="dxa" w:w="2851"/>
          </w:tcPr>
          <w:p>
            <w:pPr>
              <w:spacing w:after="20" w:before="20" w:line="254" w:lineRule="auto"/>
              <w:jc w:val="center"/>
            </w:pPr>
            <w:r>
              <w:rPr>
                <w:rFonts w:ascii="Consolas" w:hAnsi="Consolas" w:eastAsia="Consolas"/>
                <w:color w:val="8A2C1F"/>
                <w:sz w:val="15"/>
              </w:rPr>
              <w:t>Contract_Two year</w:t>
            </w:r>
          </w:p>
        </w:tc>
        <w:tc>
          <w:tcPr>
            <w:tcW w:type="dxa" w:w="1224"/>
          </w:tcPr>
          <w:p>
            <w:pPr>
              <w:spacing w:after="20" w:before="20" w:line="254" w:lineRule="auto"/>
              <w:jc w:val="center"/>
            </w:pPr>
            <w:r>
              <w:rPr>
                <w:sz w:val="16"/>
              </w:rPr>
              <w:t>0.077</w:t>
            </w:r>
          </w:p>
        </w:tc>
        <w:tc>
          <w:tcPr>
            <w:tcW w:type="dxa" w:w="4493"/>
          </w:tcPr>
          <w:p>
            <w:pPr>
              <w:spacing w:after="20" w:before="20" w:line="254" w:lineRule="auto"/>
              <w:jc w:val="left"/>
            </w:pPr>
            <w:r>
              <w:rPr>
                <w:sz w:val="16"/>
              </w:rPr>
              <w:t>long commitment as a protective factor</w:t>
            </w:r>
          </w:p>
        </w:tc>
      </w:tr>
      <w:tr>
        <w:tc>
          <w:tcPr>
            <w:tcW w:type="dxa" w:w="749"/>
            <w:shd w:val="clear" w:color="auto" w:fill="F2F5F9"/>
          </w:tcPr>
          <w:p>
            <w:pPr>
              <w:spacing w:after="20" w:before="20" w:line="254" w:lineRule="auto"/>
              <w:jc w:val="left"/>
            </w:pPr>
            <w:r>
              <w:rPr>
                <w:sz w:val="16"/>
              </w:rPr>
              <w:t>4</w:t>
            </w:r>
          </w:p>
        </w:tc>
        <w:tc>
          <w:tcPr>
            <w:tcW w:type="dxa" w:w="2851"/>
            <w:shd w:val="clear" w:color="auto" w:fill="F2F5F9"/>
          </w:tcPr>
          <w:p>
            <w:pPr>
              <w:spacing w:after="20" w:before="20" w:line="254" w:lineRule="auto"/>
              <w:jc w:val="left"/>
            </w:pPr>
            <w:r>
              <w:rPr>
                <w:rFonts w:ascii="Consolas" w:hAnsi="Consolas" w:eastAsia="Consolas"/>
                <w:color w:val="8A2C1F"/>
                <w:sz w:val="15"/>
              </w:rPr>
              <w:t>InternetService_Fiber optic</w:t>
            </w:r>
          </w:p>
        </w:tc>
        <w:tc>
          <w:tcPr>
            <w:tcW w:type="dxa" w:w="1224"/>
            <w:shd w:val="clear" w:color="auto" w:fill="F2F5F9"/>
          </w:tcPr>
          <w:p>
            <w:pPr>
              <w:spacing w:after="20" w:before="20" w:line="254" w:lineRule="auto"/>
              <w:jc w:val="center"/>
            </w:pPr>
            <w:r>
              <w:rPr>
                <w:sz w:val="16"/>
              </w:rPr>
              <w:t>0.057</w:t>
            </w:r>
          </w:p>
        </w:tc>
        <w:tc>
          <w:tcPr>
            <w:tcW w:type="dxa" w:w="4493"/>
            <w:shd w:val="clear" w:color="auto" w:fill="F2F5F9"/>
          </w:tcPr>
          <w:p>
            <w:pPr>
              <w:spacing w:after="20" w:before="20" w:line="254" w:lineRule="auto"/>
              <w:jc w:val="left"/>
            </w:pPr>
            <w:r>
              <w:rPr>
                <w:sz w:val="16"/>
              </w:rPr>
              <w:t>consistent with the 41.89 % rate in Table 15</w:t>
            </w:r>
          </w:p>
        </w:tc>
      </w:tr>
      <w:tr>
        <w:tc>
          <w:tcPr>
            <w:tcW w:type="dxa" w:w="749"/>
          </w:tcPr>
          <w:p>
            <w:pPr>
              <w:spacing w:after="20" w:before="20" w:line="254" w:lineRule="auto"/>
              <w:jc w:val="left"/>
            </w:pPr>
            <w:r>
              <w:rPr>
                <w:sz w:val="16"/>
              </w:rPr>
              <w:t>5</w:t>
            </w:r>
          </w:p>
        </w:tc>
        <w:tc>
          <w:tcPr>
            <w:tcW w:type="dxa" w:w="2851"/>
          </w:tcPr>
          <w:p>
            <w:pPr>
              <w:spacing w:after="20" w:before="20" w:line="254" w:lineRule="auto"/>
              <w:jc w:val="left"/>
            </w:pPr>
            <w:r>
              <w:rPr>
                <w:rFonts w:ascii="Consolas" w:hAnsi="Consolas" w:eastAsia="Consolas"/>
                <w:color w:val="8A2C1F"/>
                <w:sz w:val="15"/>
              </w:rPr>
              <w:t>PaymentMethod_Electronic check</w:t>
            </w:r>
          </w:p>
        </w:tc>
        <w:tc>
          <w:tcPr>
            <w:tcW w:type="dxa" w:w="1224"/>
          </w:tcPr>
          <w:p>
            <w:pPr>
              <w:spacing w:after="20" w:before="20" w:line="254" w:lineRule="auto"/>
              <w:jc w:val="center"/>
            </w:pPr>
            <w:r>
              <w:rPr>
                <w:sz w:val="16"/>
              </w:rPr>
              <w:t>0.038</w:t>
            </w:r>
          </w:p>
        </w:tc>
        <w:tc>
          <w:tcPr>
            <w:tcW w:type="dxa" w:w="4493"/>
          </w:tcPr>
          <w:p>
            <w:pPr>
              <w:spacing w:after="20" w:before="20" w:line="254" w:lineRule="auto"/>
              <w:jc w:val="left"/>
            </w:pPr>
            <w:r>
              <w:rPr>
                <w:sz w:val="16"/>
              </w:rPr>
              <w:t>manual payment as a recurring exit point</w:t>
            </w:r>
          </w:p>
        </w:tc>
      </w:tr>
      <w:tr>
        <w:tc>
          <w:tcPr>
            <w:tcW w:type="dxa" w:w="749"/>
            <w:shd w:val="clear" w:color="auto" w:fill="F2F5F9"/>
          </w:tcPr>
          <w:p>
            <w:pPr>
              <w:spacing w:after="20" w:before="20" w:line="254" w:lineRule="auto"/>
              <w:jc w:val="left"/>
            </w:pPr>
            <w:r>
              <w:rPr>
                <w:sz w:val="16"/>
              </w:rPr>
              <w:t>6</w:t>
            </w:r>
          </w:p>
        </w:tc>
        <w:tc>
          <w:tcPr>
            <w:tcW w:type="dxa" w:w="2851"/>
            <w:shd w:val="clear" w:color="auto" w:fill="F2F5F9"/>
          </w:tcPr>
          <w:p>
            <w:pPr>
              <w:spacing w:after="20" w:before="20" w:line="254" w:lineRule="auto"/>
              <w:jc w:val="center"/>
            </w:pPr>
            <w:r>
              <w:rPr>
                <w:rFonts w:ascii="Consolas" w:hAnsi="Consolas" w:eastAsia="Consolas"/>
                <w:color w:val="8A2C1F"/>
                <w:sz w:val="15"/>
              </w:rPr>
              <w:t>InternetService_No</w:t>
            </w:r>
          </w:p>
        </w:tc>
        <w:tc>
          <w:tcPr>
            <w:tcW w:type="dxa" w:w="1224"/>
            <w:shd w:val="clear" w:color="auto" w:fill="F2F5F9"/>
          </w:tcPr>
          <w:p>
            <w:pPr>
              <w:spacing w:after="20" w:before="20" w:line="254" w:lineRule="auto"/>
              <w:jc w:val="center"/>
            </w:pPr>
            <w:r>
              <w:rPr>
                <w:sz w:val="16"/>
              </w:rPr>
              <w:t>0.028</w:t>
            </w:r>
          </w:p>
        </w:tc>
        <w:tc>
          <w:tcPr>
            <w:tcW w:type="dxa" w:w="4493"/>
            <w:shd w:val="clear" w:color="auto" w:fill="F2F5F9"/>
          </w:tcPr>
          <w:p>
            <w:pPr>
              <w:spacing w:after="20" w:before="20" w:line="254" w:lineRule="auto"/>
              <w:jc w:val="left"/>
            </w:pPr>
            <w:r>
              <w:rPr>
                <w:sz w:val="16"/>
              </w:rPr>
              <w:t>no internet, little to churn from</w:t>
            </w:r>
          </w:p>
        </w:tc>
      </w:tr>
      <w:tr>
        <w:tc>
          <w:tcPr>
            <w:tcW w:type="dxa" w:w="749"/>
          </w:tcPr>
          <w:p>
            <w:pPr>
              <w:spacing w:after="20" w:before="20" w:line="254" w:lineRule="auto"/>
              <w:jc w:val="left"/>
            </w:pPr>
            <w:r>
              <w:rPr>
                <w:sz w:val="16"/>
              </w:rPr>
              <w:t>7</w:t>
            </w:r>
          </w:p>
        </w:tc>
        <w:tc>
          <w:tcPr>
            <w:tcW w:type="dxa" w:w="2851"/>
          </w:tcPr>
          <w:p>
            <w:pPr>
              <w:spacing w:after="20" w:before="20" w:line="254" w:lineRule="auto"/>
              <w:jc w:val="center"/>
            </w:pPr>
            <w:r>
              <w:rPr>
                <w:rFonts w:ascii="Consolas" w:hAnsi="Consolas" w:eastAsia="Consolas"/>
                <w:color w:val="8A2C1F"/>
                <w:sz w:val="15"/>
              </w:rPr>
              <w:t>StreamingMovies_Yes</w:t>
            </w:r>
          </w:p>
        </w:tc>
        <w:tc>
          <w:tcPr>
            <w:tcW w:type="dxa" w:w="1224"/>
          </w:tcPr>
          <w:p>
            <w:pPr>
              <w:spacing w:after="20" w:before="20" w:line="254" w:lineRule="auto"/>
              <w:jc w:val="center"/>
            </w:pPr>
            <w:r>
              <w:rPr>
                <w:sz w:val="16"/>
              </w:rPr>
              <w:t>0.026</w:t>
            </w:r>
          </w:p>
        </w:tc>
        <w:tc>
          <w:tcPr>
            <w:tcW w:type="dxa" w:w="4493"/>
          </w:tcPr>
          <w:p>
            <w:pPr>
              <w:spacing w:after="20" w:before="20" w:line="254" w:lineRule="auto"/>
              <w:jc w:val="left"/>
            </w:pPr>
            <w:r>
              <w:rPr>
                <w:sz w:val="16"/>
              </w:rPr>
              <w:t>entertainment bundle adoption</w:t>
            </w:r>
          </w:p>
        </w:tc>
      </w:tr>
      <w:tr>
        <w:tc>
          <w:tcPr>
            <w:tcW w:type="dxa" w:w="749"/>
            <w:shd w:val="clear" w:color="auto" w:fill="F2F5F9"/>
          </w:tcPr>
          <w:p>
            <w:pPr>
              <w:spacing w:after="20" w:before="20" w:line="254" w:lineRule="auto"/>
              <w:jc w:val="left"/>
            </w:pPr>
            <w:r>
              <w:rPr>
                <w:sz w:val="16"/>
              </w:rPr>
              <w:t>8</w:t>
            </w:r>
          </w:p>
        </w:tc>
        <w:tc>
          <w:tcPr>
            <w:tcW w:type="dxa" w:w="2851"/>
            <w:shd w:val="clear" w:color="auto" w:fill="F2F5F9"/>
          </w:tcPr>
          <w:p>
            <w:pPr>
              <w:spacing w:after="20" w:before="20" w:line="254" w:lineRule="auto"/>
              <w:jc w:val="center"/>
            </w:pPr>
            <w:r>
              <w:rPr>
                <w:rFonts w:ascii="Consolas" w:hAnsi="Consolas" w:eastAsia="Consolas"/>
                <w:color w:val="8A2C1F"/>
                <w:sz w:val="15"/>
              </w:rPr>
              <w:t>Contract_One year</w:t>
            </w:r>
          </w:p>
        </w:tc>
        <w:tc>
          <w:tcPr>
            <w:tcW w:type="dxa" w:w="1224"/>
            <w:shd w:val="clear" w:color="auto" w:fill="F2F5F9"/>
          </w:tcPr>
          <w:p>
            <w:pPr>
              <w:spacing w:after="20" w:before="20" w:line="254" w:lineRule="auto"/>
              <w:jc w:val="center"/>
            </w:pPr>
            <w:r>
              <w:rPr>
                <w:sz w:val="16"/>
              </w:rPr>
              <w:t>0.025</w:t>
            </w:r>
          </w:p>
        </w:tc>
        <w:tc>
          <w:tcPr>
            <w:tcW w:type="dxa" w:w="4493"/>
            <w:shd w:val="clear" w:color="auto" w:fill="F2F5F9"/>
          </w:tcPr>
          <w:p>
            <w:pPr>
              <w:spacing w:after="20" w:before="20" w:line="254" w:lineRule="auto"/>
              <w:jc w:val="left"/>
            </w:pPr>
            <w:r>
              <w:rPr>
                <w:sz w:val="16"/>
              </w:rPr>
              <w:t>intermediate commitment</w:t>
            </w:r>
          </w:p>
        </w:tc>
      </w:tr>
      <w:tr>
        <w:tc>
          <w:tcPr>
            <w:tcW w:type="dxa" w:w="749"/>
          </w:tcPr>
          <w:p>
            <w:pPr>
              <w:spacing w:after="20" w:before="20" w:line="254" w:lineRule="auto"/>
              <w:jc w:val="left"/>
            </w:pPr>
            <w:r>
              <w:rPr>
                <w:sz w:val="16"/>
              </w:rPr>
              <w:t>9</w:t>
            </w:r>
          </w:p>
        </w:tc>
        <w:tc>
          <w:tcPr>
            <w:tcW w:type="dxa" w:w="2851"/>
          </w:tcPr>
          <w:p>
            <w:pPr>
              <w:spacing w:after="20" w:before="20" w:line="254" w:lineRule="auto"/>
              <w:jc w:val="center"/>
            </w:pPr>
            <w:r>
              <w:rPr>
                <w:rFonts w:ascii="Consolas" w:hAnsi="Consolas" w:eastAsia="Consolas"/>
                <w:color w:val="8A2C1F"/>
                <w:sz w:val="15"/>
              </w:rPr>
              <w:t>tenure</w:t>
            </w:r>
          </w:p>
        </w:tc>
        <w:tc>
          <w:tcPr>
            <w:tcW w:type="dxa" w:w="1224"/>
          </w:tcPr>
          <w:p>
            <w:pPr>
              <w:spacing w:after="20" w:before="20" w:line="254" w:lineRule="auto"/>
              <w:jc w:val="center"/>
            </w:pPr>
            <w:r>
              <w:rPr>
                <w:sz w:val="16"/>
              </w:rPr>
              <w:t>0.020</w:t>
            </w:r>
          </w:p>
        </w:tc>
        <w:tc>
          <w:tcPr>
            <w:tcW w:type="dxa" w:w="4493"/>
          </w:tcPr>
          <w:p>
            <w:pPr>
              <w:spacing w:after="20" w:before="20" w:line="254" w:lineRule="auto"/>
              <w:jc w:val="left"/>
            </w:pPr>
            <w:r>
              <w:rPr>
                <w:sz w:val="16"/>
              </w:rPr>
              <w:t>the strongest numeric feature; largely absorbed by segment and contract</w:t>
            </w:r>
          </w:p>
        </w:tc>
      </w:tr>
      <w:tr>
        <w:tc>
          <w:tcPr>
            <w:tcW w:type="dxa" w:w="749"/>
            <w:shd w:val="clear" w:color="auto" w:fill="F2F5F9"/>
          </w:tcPr>
          <w:p>
            <w:pPr>
              <w:spacing w:after="20" w:before="20" w:line="254" w:lineRule="auto"/>
              <w:jc w:val="left"/>
            </w:pPr>
            <w:r>
              <w:rPr>
                <w:sz w:val="16"/>
              </w:rPr>
              <w:t>10</w:t>
            </w:r>
          </w:p>
        </w:tc>
        <w:tc>
          <w:tcPr>
            <w:tcW w:type="dxa" w:w="2851"/>
            <w:shd w:val="clear" w:color="auto" w:fill="F2F5F9"/>
          </w:tcPr>
          <w:p>
            <w:pPr>
              <w:spacing w:after="20" w:before="20" w:line="254" w:lineRule="auto"/>
              <w:jc w:val="center"/>
            </w:pPr>
            <w:r>
              <w:rPr>
                <w:rFonts w:ascii="Consolas" w:hAnsi="Consolas" w:eastAsia="Consolas"/>
                <w:color w:val="8A2C1F"/>
                <w:sz w:val="15"/>
              </w:rPr>
              <w:t>StreamingMovies_No</w:t>
            </w:r>
          </w:p>
        </w:tc>
        <w:tc>
          <w:tcPr>
            <w:tcW w:type="dxa" w:w="1224"/>
            <w:shd w:val="clear" w:color="auto" w:fill="F2F5F9"/>
          </w:tcPr>
          <w:p>
            <w:pPr>
              <w:spacing w:after="20" w:before="20" w:line="254" w:lineRule="auto"/>
              <w:jc w:val="center"/>
            </w:pPr>
            <w:r>
              <w:rPr>
                <w:sz w:val="16"/>
              </w:rPr>
              <w:t>0.019</w:t>
            </w:r>
          </w:p>
        </w:tc>
        <w:tc>
          <w:tcPr>
            <w:tcW w:type="dxa" w:w="4493"/>
            <w:shd w:val="clear" w:color="auto" w:fill="F2F5F9"/>
          </w:tcPr>
          <w:p>
            <w:pPr>
              <w:spacing w:after="20" w:before="20" w:line="254" w:lineRule="auto"/>
              <w:jc w:val="center"/>
            </w:pPr>
            <w:r>
              <w:rPr>
                <w:sz w:val="16"/>
              </w:rPr>
              <w:t>complement of rank 7</w:t>
            </w:r>
          </w:p>
        </w:tc>
      </w:tr>
    </w:tbl>
    <w:p>
      <w:pPr>
        <w:spacing w:before="80" w:after="200"/>
        <w:jc w:val="center"/>
      </w:pPr>
      <w:r>
        <w:rPr>
          <w:i/>
          <w:color w:val="555F6B"/>
          <w:sz w:val="17"/>
        </w:rPr>
        <w:t>Table 30: Top ten features by gain importance in the tuned XGBoost model, read from the generated chart.</w:t>
      </w:r>
    </w:p>
    <w:p>
      <w:pPr>
        <w:spacing w:after="120" w:before="0"/>
        <w:jc w:val="both"/>
      </w:pPr>
      <w:r>
        <w:rPr>
          <w:b w:val="0"/>
          <w:i w:val="0"/>
          <w:sz w:val="21"/>
        </w:rPr>
        <w:t>The ranking corroborates the exploratory analysis almost exactly. Contract type dominates, occupying three of the top eight positions; payment method, internet service and tenure follow in the order phase 3 predicted. Two properties of the ranking deserve comment. First, the concentration is extreme — the top two features carry 46 % of total gain, so the model is effectively a sophisticated reading of contract type modulated by segment. Second, and more seriously, the second-ranked feature is a label produced by phase 5, and that label was derived using churn information. The consequence is analysed in Section 15.3.</w:t>
      </w:r>
    </w:p>
    <w:p>
      <w:r>
        <w:br w:type="page"/>
      </w:r>
    </w:p>
    <w:p>
      <w:pPr>
        <w:spacing w:after="0"/>
      </w:pPr>
    </w:p>
    <w:p>
      <w:pPr>
        <w:keepNext/>
        <w:spacing w:before="80" w:after="40"/>
        <w:pBdr>
          <w:bottom w:val="single" w:sz="10" w:space="3" w:color="1B355E"/>
        </w:pBdr>
      </w:pPr>
      <w:r>
        <w:rPr>
          <w:rFonts w:ascii="Calibri" w:hAnsi="Calibri"/>
          <w:b/>
          <w:color w:val="1B355E"/>
          <w:sz w:val="30"/>
        </w:rPr>
        <w:t>12.  Consolidated Results and Discussion</w:t>
      </w:r>
    </w:p>
    <w:p>
      <w:pPr>
        <w:spacing w:after="40"/>
      </w:pPr>
    </w:p>
    <w:p>
      <w:pPr>
        <w:keepNext/>
        <w:spacing w:before="240" w:after="80"/>
      </w:pPr>
      <w:r>
        <w:rPr>
          <w:rFonts w:ascii="Calibri" w:hAnsi="Calibri"/>
          <w:b/>
          <w:color w:val="1B355E"/>
          <w:sz w:val="25"/>
        </w:rPr>
        <w:t>12.1  End-to-end summary</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088"/>
        <w:gridCol w:w="7228"/>
      </w:tblGrid>
      <w:tr>
        <w:tc>
          <w:tcPr>
            <w:tcW w:type="dxa" w:w="2088"/>
            <w:shd w:val="clear" w:color="auto" w:fill="1B355E"/>
          </w:tcPr>
          <w:p>
            <w:pPr>
              <w:spacing w:after="20" w:before="20"/>
              <w:jc w:val="center"/>
            </w:pPr>
            <w:r>
              <w:rPr>
                <w:b/>
                <w:color w:val="FFFFFF"/>
                <w:sz w:val="17"/>
              </w:rPr>
              <w:t>Phase</w:t>
            </w:r>
          </w:p>
        </w:tc>
        <w:tc>
          <w:tcPr>
            <w:tcW w:type="dxa" w:w="7229"/>
            <w:shd w:val="clear" w:color="auto" w:fill="1B355E"/>
          </w:tcPr>
          <w:p>
            <w:pPr>
              <w:spacing w:after="20" w:before="20"/>
              <w:jc w:val="center"/>
            </w:pPr>
            <w:r>
              <w:rPr>
                <w:b/>
                <w:color w:val="FFFFFF"/>
                <w:sz w:val="17"/>
              </w:rPr>
              <w:t>Principal quantitative outcome</w:t>
            </w:r>
          </w:p>
        </w:tc>
      </w:tr>
      <w:tr>
        <w:tc>
          <w:tcPr>
            <w:tcW w:type="dxa" w:w="2088"/>
          </w:tcPr>
          <w:p>
            <w:pPr>
              <w:spacing w:after="20" w:before="20" w:line="254" w:lineRule="auto"/>
              <w:jc w:val="left"/>
            </w:pPr>
            <w:r>
              <w:rPr>
                <w:sz w:val="17"/>
              </w:rPr>
              <w:t>1 — Understanding</w:t>
            </w:r>
          </w:p>
        </w:tc>
        <w:tc>
          <w:tcPr>
            <w:tcW w:type="dxa" w:w="7229"/>
          </w:tcPr>
          <w:p>
            <w:pPr>
              <w:spacing w:after="20" w:before="20" w:line="254" w:lineRule="auto"/>
              <w:jc w:val="left"/>
            </w:pPr>
            <w:r>
              <w:rPr>
                <w:sz w:val="17"/>
              </w:rPr>
              <w:t xml:space="preserve">7 043 × 21 profiled; 26.54 % baseline churn; 11 blank </w:t>
            </w:r>
            <w:r>
              <w:rPr>
                <w:rFonts w:ascii="Consolas" w:hAnsi="Consolas" w:eastAsia="Consolas"/>
                <w:color w:val="8A2C1F"/>
                <w:sz w:val="16"/>
              </w:rPr>
              <w:t>TotalCharges</w:t>
            </w:r>
            <w:r>
              <w:rPr>
                <w:sz w:val="17"/>
              </w:rPr>
              <w:t xml:space="preserve"> isolated to zero-tenure customers</w:t>
            </w:r>
          </w:p>
        </w:tc>
      </w:tr>
      <w:tr>
        <w:tc>
          <w:tcPr>
            <w:tcW w:type="dxa" w:w="2088"/>
            <w:shd w:val="clear" w:color="auto" w:fill="F2F5F9"/>
          </w:tcPr>
          <w:p>
            <w:pPr>
              <w:spacing w:after="20" w:before="20" w:line="254" w:lineRule="auto"/>
              <w:jc w:val="left"/>
            </w:pPr>
            <w:r>
              <w:rPr>
                <w:sz w:val="17"/>
              </w:rPr>
              <w:t>2 — Cleaning</w:t>
            </w:r>
          </w:p>
        </w:tc>
        <w:tc>
          <w:tcPr>
            <w:tcW w:type="dxa" w:w="7229"/>
            <w:shd w:val="clear" w:color="auto" w:fill="F2F5F9"/>
          </w:tcPr>
          <w:p>
            <w:pPr>
              <w:spacing w:after="20" w:before="20" w:line="254" w:lineRule="auto"/>
              <w:jc w:val="left"/>
            </w:pPr>
            <w:r>
              <w:rPr>
                <w:sz w:val="17"/>
              </w:rPr>
              <w:t>11 values repaired, 0 rows lost, 0 duplicates, 0 outliers capped, 7 columns standardised</w:t>
            </w:r>
          </w:p>
        </w:tc>
      </w:tr>
      <w:tr>
        <w:tc>
          <w:tcPr>
            <w:tcW w:type="dxa" w:w="2088"/>
          </w:tcPr>
          <w:p>
            <w:pPr>
              <w:spacing w:after="20" w:before="20" w:line="254" w:lineRule="auto"/>
              <w:jc w:val="left"/>
            </w:pPr>
            <w:r>
              <w:rPr>
                <w:sz w:val="17"/>
              </w:rPr>
              <w:t>3 — EDA</w:t>
            </w:r>
          </w:p>
        </w:tc>
        <w:tc>
          <w:tcPr>
            <w:tcW w:type="dxa" w:w="7229"/>
          </w:tcPr>
          <w:p>
            <w:pPr>
              <w:spacing w:after="20" w:before="20" w:line="254" w:lineRule="auto"/>
              <w:jc w:val="left"/>
            </w:pPr>
            <w:r>
              <w:rPr>
                <w:sz w:val="17"/>
              </w:rPr>
              <w:t>contract, payment method, internet service and tenure confirmed as drivers; gender confirmed as noise</w:t>
            </w:r>
          </w:p>
        </w:tc>
      </w:tr>
      <w:tr>
        <w:tc>
          <w:tcPr>
            <w:tcW w:type="dxa" w:w="2088"/>
            <w:shd w:val="clear" w:color="auto" w:fill="F2F5F9"/>
          </w:tcPr>
          <w:p>
            <w:pPr>
              <w:spacing w:after="20" w:before="20" w:line="254" w:lineRule="auto"/>
              <w:jc w:val="left"/>
            </w:pPr>
            <w:r>
              <w:rPr>
                <w:sz w:val="17"/>
              </w:rPr>
              <w:t>4 — Feature engineering</w:t>
            </w:r>
          </w:p>
        </w:tc>
        <w:tc>
          <w:tcPr>
            <w:tcW w:type="dxa" w:w="7229"/>
            <w:shd w:val="clear" w:color="auto" w:fill="F2F5F9"/>
          </w:tcPr>
          <w:p>
            <w:pPr>
              <w:spacing w:after="20" w:before="20" w:line="254" w:lineRule="auto"/>
              <w:jc w:val="left"/>
            </w:pPr>
            <w:r>
              <w:rPr>
                <w:sz w:val="17"/>
              </w:rPr>
              <w:t>7 features constructed; 21 columns expanded to 36; add-on risk found to peak at one service</w:t>
            </w:r>
          </w:p>
        </w:tc>
      </w:tr>
      <w:tr>
        <w:tc>
          <w:tcPr>
            <w:tcW w:type="dxa" w:w="2088"/>
          </w:tcPr>
          <w:p>
            <w:pPr>
              <w:spacing w:after="20" w:before="20" w:line="254" w:lineRule="auto"/>
              <w:jc w:val="left"/>
            </w:pPr>
            <w:r>
              <w:rPr>
                <w:sz w:val="17"/>
              </w:rPr>
              <w:t>5 — Segmentation</w:t>
            </w:r>
          </w:p>
        </w:tc>
        <w:tc>
          <w:tcPr>
            <w:tcW w:type="dxa" w:w="7229"/>
          </w:tcPr>
          <w:p>
            <w:pPr>
              <w:spacing w:after="20" w:before="20" w:line="254" w:lineRule="auto"/>
              <w:jc w:val="left"/>
            </w:pPr>
            <w:r>
              <w:rPr>
                <w:sz w:val="17"/>
              </w:rPr>
              <w:t>4 segments at silhouette 0.4042; churn rates from 4.44 % to 47.37 % without using the label</w:t>
            </w:r>
          </w:p>
        </w:tc>
      </w:tr>
      <w:tr>
        <w:tc>
          <w:tcPr>
            <w:tcW w:type="dxa" w:w="2088"/>
            <w:shd w:val="clear" w:color="auto" w:fill="F2F5F9"/>
          </w:tcPr>
          <w:p>
            <w:pPr>
              <w:spacing w:after="20" w:before="20" w:line="254" w:lineRule="auto"/>
              <w:jc w:val="left"/>
            </w:pPr>
            <w:r>
              <w:rPr>
                <w:sz w:val="17"/>
              </w:rPr>
              <w:t>6 — Modelling</w:t>
            </w:r>
          </w:p>
        </w:tc>
        <w:tc>
          <w:tcPr>
            <w:tcW w:type="dxa" w:w="7229"/>
            <w:shd w:val="clear" w:color="auto" w:fill="F2F5F9"/>
          </w:tcPr>
          <w:p>
            <w:pPr>
              <w:spacing w:after="20" w:before="20" w:line="254" w:lineRule="auto"/>
              <w:jc w:val="left"/>
            </w:pPr>
            <w:r>
              <w:rPr>
                <w:sz w:val="17"/>
              </w:rPr>
              <w:t>5 models trained; best test ROC-AUC 0.8349 at 0.7766 recall; pipeline serialised</w:t>
            </w:r>
          </w:p>
        </w:tc>
      </w:tr>
    </w:tbl>
    <w:p>
      <w:pPr>
        <w:spacing w:before="80" w:after="200"/>
        <w:jc w:val="center"/>
      </w:pPr>
      <w:r>
        <w:rPr>
          <w:i/>
          <w:color w:val="555F6B"/>
          <w:sz w:val="17"/>
        </w:rPr>
        <w:t>Table 31: Principal quantitative outcome of each pipeline phase.</w:t>
      </w:r>
    </w:p>
    <w:p>
      <w:pPr>
        <w:keepNext/>
        <w:spacing w:before="240" w:after="80"/>
      </w:pPr>
      <w:r>
        <w:rPr>
          <w:rFonts w:ascii="Calibri" w:hAnsi="Calibri"/>
          <w:b/>
          <w:color w:val="1B355E"/>
          <w:sz w:val="25"/>
        </w:rPr>
        <w:t>12.2  Convergent evidence across the three analytical methods</w:t>
      </w:r>
    </w:p>
    <w:p>
      <w:pPr>
        <w:spacing w:after="120" w:before="0"/>
        <w:jc w:val="both"/>
      </w:pPr>
      <w:r>
        <w:rPr>
          <w:b w:val="0"/>
          <w:i w:val="0"/>
          <w:sz w:val="21"/>
        </w:rPr>
        <w:t>The most persuasive result in the project is not any single number but the agreement between three methodologically independent analyses. Exploratory statistics, unsupervised clustering and a supervised gradient-boosted ensemble were each given the same data and arrived at the same conclusion.</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044"/>
        <w:gridCol w:w="2332"/>
        <w:gridCol w:w="2520"/>
        <w:gridCol w:w="2419"/>
      </w:tblGrid>
      <w:tr>
        <w:tc>
          <w:tcPr>
            <w:tcW w:type="dxa" w:w="2045"/>
            <w:shd w:val="clear" w:color="auto" w:fill="1B355E"/>
          </w:tcPr>
          <w:p>
            <w:pPr>
              <w:spacing w:after="20" w:before="20"/>
              <w:jc w:val="center"/>
            </w:pPr>
            <w:r>
              <w:rPr>
                <w:b/>
                <w:color w:val="FFFFFF"/>
                <w:sz w:val="17"/>
              </w:rPr>
              <w:t>Finding</w:t>
            </w:r>
          </w:p>
        </w:tc>
        <w:tc>
          <w:tcPr>
            <w:tcW w:type="dxa" w:w="2333"/>
            <w:shd w:val="clear" w:color="auto" w:fill="1B355E"/>
          </w:tcPr>
          <w:p>
            <w:pPr>
              <w:spacing w:after="20" w:before="20"/>
              <w:jc w:val="center"/>
            </w:pPr>
            <w:r>
              <w:rPr>
                <w:b/>
                <w:color w:val="FFFFFF"/>
                <w:sz w:val="17"/>
              </w:rPr>
              <w:t>Exploratory analysis</w:t>
            </w:r>
          </w:p>
        </w:tc>
        <w:tc>
          <w:tcPr>
            <w:tcW w:type="dxa" w:w="2520"/>
            <w:shd w:val="clear" w:color="auto" w:fill="1B355E"/>
          </w:tcPr>
          <w:p>
            <w:pPr>
              <w:spacing w:after="20" w:before="20"/>
              <w:jc w:val="center"/>
            </w:pPr>
            <w:r>
              <w:rPr>
                <w:b/>
                <w:color w:val="FFFFFF"/>
                <w:sz w:val="17"/>
              </w:rPr>
              <w:t>Segmentation</w:t>
            </w:r>
          </w:p>
        </w:tc>
        <w:tc>
          <w:tcPr>
            <w:tcW w:type="dxa" w:w="2419"/>
            <w:shd w:val="clear" w:color="auto" w:fill="1B355E"/>
          </w:tcPr>
          <w:p>
            <w:pPr>
              <w:spacing w:after="20" w:before="20"/>
              <w:jc w:val="center"/>
            </w:pPr>
            <w:r>
              <w:rPr>
                <w:b/>
                <w:color w:val="FFFFFF"/>
                <w:sz w:val="17"/>
              </w:rPr>
              <w:t>Model importance</w:t>
            </w:r>
          </w:p>
        </w:tc>
      </w:tr>
      <w:tr>
        <w:tc>
          <w:tcPr>
            <w:tcW w:type="dxa" w:w="2045"/>
          </w:tcPr>
          <w:p>
            <w:pPr>
              <w:spacing w:after="20" w:before="20" w:line="254" w:lineRule="auto"/>
              <w:jc w:val="left"/>
            </w:pPr>
            <w:r>
              <w:rPr>
                <w:sz w:val="16"/>
              </w:rPr>
              <w:t>Contract type is the dominant driver</w:t>
            </w:r>
          </w:p>
        </w:tc>
        <w:tc>
          <w:tcPr>
            <w:tcW w:type="dxa" w:w="2333"/>
          </w:tcPr>
          <w:p>
            <w:pPr>
              <w:spacing w:after="20" w:before="20" w:line="254" w:lineRule="auto"/>
              <w:jc w:val="left"/>
            </w:pPr>
            <w:r>
              <w:rPr>
                <w:sz w:val="16"/>
              </w:rPr>
              <w:t>42.71 % vs. 2.83 % across contract levels</w:t>
            </w:r>
          </w:p>
        </w:tc>
        <w:tc>
          <w:tcPr>
            <w:tcW w:type="dxa" w:w="2520"/>
          </w:tcPr>
          <w:p>
            <w:pPr>
              <w:spacing w:after="20" w:before="20" w:line="254" w:lineRule="auto"/>
              <w:jc w:val="left"/>
            </w:pPr>
            <w:r>
              <w:rPr>
                <w:sz w:val="16"/>
              </w:rPr>
              <w:t>implicit in segment separation</w:t>
            </w:r>
          </w:p>
        </w:tc>
        <w:tc>
          <w:tcPr>
            <w:tcW w:type="dxa" w:w="2419"/>
          </w:tcPr>
          <w:p>
            <w:pPr>
              <w:spacing w:after="20" w:before="20" w:line="254" w:lineRule="auto"/>
              <w:jc w:val="center"/>
            </w:pPr>
            <w:r>
              <w:rPr>
                <w:sz w:val="16"/>
              </w:rPr>
              <w:t>rank 1 at 0.313 gain</w:t>
            </w:r>
          </w:p>
        </w:tc>
      </w:tr>
      <w:tr>
        <w:tc>
          <w:tcPr>
            <w:tcW w:type="dxa" w:w="2045"/>
            <w:shd w:val="clear" w:color="auto" w:fill="F2F5F9"/>
          </w:tcPr>
          <w:p>
            <w:pPr>
              <w:spacing w:after="20" w:before="20" w:line="254" w:lineRule="auto"/>
              <w:jc w:val="left"/>
            </w:pPr>
            <w:r>
              <w:rPr>
                <w:sz w:val="16"/>
              </w:rPr>
              <w:t>Early tenure carries the highest risk</w:t>
            </w:r>
          </w:p>
        </w:tc>
        <w:tc>
          <w:tcPr>
            <w:tcW w:type="dxa" w:w="2333"/>
            <w:shd w:val="clear" w:color="auto" w:fill="F2F5F9"/>
          </w:tcPr>
          <w:p>
            <w:pPr>
              <w:spacing w:after="20" w:before="20" w:line="254" w:lineRule="auto"/>
              <w:jc w:val="center"/>
            </w:pPr>
            <w:r>
              <w:rPr>
                <w:sz w:val="16"/>
              </w:rPr>
              <w:t>52.94 % in months 0-6</w:t>
            </w:r>
          </w:p>
        </w:tc>
        <w:tc>
          <w:tcPr>
            <w:tcW w:type="dxa" w:w="2520"/>
            <w:shd w:val="clear" w:color="auto" w:fill="F2F5F9"/>
          </w:tcPr>
          <w:p>
            <w:pPr>
              <w:spacing w:after="20" w:before="20" w:line="254" w:lineRule="auto"/>
              <w:jc w:val="left"/>
            </w:pPr>
            <w:r>
              <w:rPr>
                <w:sz w:val="16"/>
              </w:rPr>
              <w:t>both fragile segments average under 16 months</w:t>
            </w:r>
          </w:p>
        </w:tc>
        <w:tc>
          <w:tcPr>
            <w:tcW w:type="dxa" w:w="2419"/>
            <w:shd w:val="clear" w:color="auto" w:fill="F2F5F9"/>
          </w:tcPr>
          <w:p>
            <w:pPr>
              <w:spacing w:after="20" w:before="20" w:line="254" w:lineRule="auto"/>
              <w:jc w:val="left"/>
            </w:pPr>
            <w:r>
              <w:rPr>
                <w:rFonts w:ascii="Consolas" w:hAnsi="Consolas" w:eastAsia="Consolas"/>
                <w:color w:val="8A2C1F"/>
                <w:sz w:val="15"/>
              </w:rPr>
              <w:t>tenure</w:t>
            </w:r>
            <w:r>
              <w:rPr>
                <w:sz w:val="16"/>
              </w:rPr>
              <w:t xml:space="preserve"> at rank 9, plus segment at rank 2</w:t>
            </w:r>
          </w:p>
        </w:tc>
      </w:tr>
      <w:tr>
        <w:tc>
          <w:tcPr>
            <w:tcW w:type="dxa" w:w="2045"/>
          </w:tcPr>
          <w:p>
            <w:pPr>
              <w:spacing w:after="20" w:before="20" w:line="254" w:lineRule="auto"/>
              <w:jc w:val="left"/>
            </w:pPr>
            <w:r>
              <w:rPr>
                <w:sz w:val="16"/>
              </w:rPr>
              <w:t>Product bundling protects</w:t>
            </w:r>
          </w:p>
        </w:tc>
        <w:tc>
          <w:tcPr>
            <w:tcW w:type="dxa" w:w="2333"/>
          </w:tcPr>
          <w:p>
            <w:pPr>
              <w:spacing w:after="20" w:before="20" w:line="254" w:lineRule="auto"/>
              <w:jc w:val="left"/>
            </w:pPr>
            <w:r>
              <w:rPr>
                <w:sz w:val="16"/>
              </w:rPr>
              <w:t>5.28 % churn at six add-ons</w:t>
            </w:r>
          </w:p>
        </w:tc>
        <w:tc>
          <w:tcPr>
            <w:tcW w:type="dxa" w:w="2520"/>
          </w:tcPr>
          <w:p>
            <w:pPr>
              <w:spacing w:after="20" w:before="20" w:line="254" w:lineRule="auto"/>
              <w:jc w:val="left"/>
            </w:pPr>
            <w:r>
              <w:rPr>
                <w:sz w:val="16"/>
              </w:rPr>
              <w:t>loyal segment averages 4.16 services</w:t>
            </w:r>
          </w:p>
        </w:tc>
        <w:tc>
          <w:tcPr>
            <w:tcW w:type="dxa" w:w="2419"/>
          </w:tcPr>
          <w:p>
            <w:pPr>
              <w:spacing w:after="20" w:before="20" w:line="254" w:lineRule="auto"/>
              <w:jc w:val="left"/>
            </w:pPr>
            <w:r>
              <w:rPr>
                <w:sz w:val="16"/>
              </w:rPr>
              <w:t>four streaming and support features in the top 20</w:t>
            </w:r>
          </w:p>
        </w:tc>
      </w:tr>
      <w:tr>
        <w:tc>
          <w:tcPr>
            <w:tcW w:type="dxa" w:w="2045"/>
            <w:shd w:val="clear" w:color="auto" w:fill="F2F5F9"/>
          </w:tcPr>
          <w:p>
            <w:pPr>
              <w:spacing w:after="20" w:before="20" w:line="254" w:lineRule="auto"/>
              <w:jc w:val="left"/>
            </w:pPr>
            <w:r>
              <w:rPr>
                <w:sz w:val="16"/>
              </w:rPr>
              <w:t>Manual payment raises risk</w:t>
            </w:r>
          </w:p>
        </w:tc>
        <w:tc>
          <w:tcPr>
            <w:tcW w:type="dxa" w:w="2333"/>
            <w:shd w:val="clear" w:color="auto" w:fill="F2F5F9"/>
          </w:tcPr>
          <w:p>
            <w:pPr>
              <w:spacing w:after="20" w:before="20" w:line="254" w:lineRule="auto"/>
              <w:jc w:val="left"/>
            </w:pPr>
            <w:r>
              <w:rPr>
                <w:sz w:val="16"/>
              </w:rPr>
              <w:t>45.29 % on electronic check</w:t>
            </w:r>
          </w:p>
        </w:tc>
        <w:tc>
          <w:tcPr>
            <w:tcW w:type="dxa" w:w="2520"/>
            <w:shd w:val="clear" w:color="auto" w:fill="F2F5F9"/>
          </w:tcPr>
          <w:p>
            <w:pPr>
              <w:spacing w:after="20" w:before="20" w:line="254" w:lineRule="auto"/>
              <w:jc w:val="left"/>
            </w:pPr>
            <w:r>
              <w:rPr>
                <w:sz w:val="16"/>
              </w:rPr>
              <w:t>not a clustering dimension</w:t>
            </w:r>
          </w:p>
        </w:tc>
        <w:tc>
          <w:tcPr>
            <w:tcW w:type="dxa" w:w="2419"/>
            <w:shd w:val="clear" w:color="auto" w:fill="F2F5F9"/>
          </w:tcPr>
          <w:p>
            <w:pPr>
              <w:spacing w:after="20" w:before="20" w:line="254" w:lineRule="auto"/>
              <w:jc w:val="center"/>
            </w:pPr>
            <w:r>
              <w:rPr>
                <w:sz w:val="16"/>
              </w:rPr>
              <w:t>rank 5 at 0.038 gain</w:t>
            </w:r>
          </w:p>
        </w:tc>
      </w:tr>
      <w:tr>
        <w:tc>
          <w:tcPr>
            <w:tcW w:type="dxa" w:w="2045"/>
          </w:tcPr>
          <w:p>
            <w:pPr>
              <w:spacing w:after="20" w:before="20" w:line="254" w:lineRule="auto"/>
              <w:jc w:val="left"/>
            </w:pPr>
            <w:r>
              <w:rPr>
                <w:sz w:val="16"/>
              </w:rPr>
              <w:t>Demographics do not matter</w:t>
            </w:r>
          </w:p>
        </w:tc>
        <w:tc>
          <w:tcPr>
            <w:tcW w:type="dxa" w:w="2333"/>
          </w:tcPr>
          <w:p>
            <w:pPr>
              <w:spacing w:after="20" w:before="20" w:line="254" w:lineRule="auto"/>
              <w:jc w:val="center"/>
            </w:pPr>
            <w:r>
              <w:rPr>
                <w:sz w:val="16"/>
              </w:rPr>
              <w:t>0.76 pp gender gap</w:t>
            </w:r>
          </w:p>
        </w:tc>
        <w:tc>
          <w:tcPr>
            <w:tcW w:type="dxa" w:w="2520"/>
          </w:tcPr>
          <w:p>
            <w:pPr>
              <w:spacing w:after="20" w:before="20" w:line="254" w:lineRule="auto"/>
              <w:jc w:val="left"/>
            </w:pPr>
            <w:r>
              <w:rPr>
                <w:sz w:val="16"/>
              </w:rPr>
              <w:t>not a clustering dimension</w:t>
            </w:r>
          </w:p>
        </w:tc>
        <w:tc>
          <w:tcPr>
            <w:tcW w:type="dxa" w:w="2419"/>
          </w:tcPr>
          <w:p>
            <w:pPr>
              <w:spacing w:after="20" w:before="20" w:line="254" w:lineRule="auto"/>
              <w:jc w:val="left"/>
            </w:pPr>
            <w:r>
              <w:rPr>
                <w:sz w:val="16"/>
              </w:rPr>
              <w:t>gender absent from the top 20</w:t>
            </w:r>
          </w:p>
        </w:tc>
      </w:tr>
    </w:tbl>
    <w:p>
      <w:pPr>
        <w:spacing w:before="80" w:after="200"/>
        <w:jc w:val="center"/>
      </w:pPr>
      <w:r>
        <w:rPr>
          <w:i/>
          <w:color w:val="555F6B"/>
          <w:sz w:val="17"/>
        </w:rPr>
        <w:t>Table 32: Convergence of three independent analytical methods on the same five findings.</w:t>
      </w:r>
    </w:p>
    <w:p>
      <w:pPr>
        <w:spacing w:after="120" w:before="0"/>
        <w:jc w:val="both"/>
      </w:pPr>
      <w:r>
        <w:rPr>
          <w:b w:val="0"/>
          <w:i w:val="0"/>
          <w:sz w:val="21"/>
        </w:rPr>
        <w:t>This convergence is what allows the results to be trusted. Any one method could be misled by an artefact of its own assumptions — a correlation could be spurious, a cluster boundary could be arbitrary, a gain importance could reflect split frequency rather than genuine signal. Three methods with different assumptions reaching the same five conclusions is a much stronger position.</w:t>
      </w:r>
    </w:p>
    <w:p>
      <w:pPr>
        <w:keepNext/>
        <w:spacing w:before="240" w:after="80"/>
      </w:pPr>
      <w:r>
        <w:rPr>
          <w:rFonts w:ascii="Calibri" w:hAnsi="Calibri"/>
          <w:b/>
          <w:color w:val="1B355E"/>
          <w:sz w:val="25"/>
        </w:rPr>
        <w:t>12.3  Performance in context</w:t>
      </w:r>
    </w:p>
    <w:p>
      <w:pPr>
        <w:spacing w:after="120" w:before="0"/>
        <w:jc w:val="both"/>
      </w:pPr>
      <w:r>
        <w:rPr>
          <w:b w:val="0"/>
          <w:i w:val="0"/>
          <w:sz w:val="21"/>
        </w:rPr>
        <w:t>A test ROC-AUC of 0.8349 sits squarely within the 0.83 to 0.86 band that published studies report on this dataset. It is a credible result rather than an exceptional one, and the reason is instructive: the Telco dataset contains no behavioural telemetry — no support-ticket history, no network-quality measurements, no usage trend, no competitor pricing. It describes what a customer buys, not how they experience the service. Around 0.85 ROC-AUC appears to be the ceiling that contract-and-billing attributes alone can support, and the three top models all converging just below it suggests the feature set, not the algorithm, is the binding constraint.</w:t>
      </w:r>
    </w:p>
    <w:p>
      <w:pPr>
        <w:spacing w:after="0"/>
      </w:pPr>
    </w:p>
    <w:p>
      <w:pPr>
        <w:keepNext/>
        <w:spacing w:before="80" w:after="40"/>
        <w:pBdr>
          <w:bottom w:val="single" w:sz="10" w:space="3" w:color="1B355E"/>
        </w:pBdr>
      </w:pPr>
      <w:r>
        <w:rPr>
          <w:rFonts w:ascii="Calibri" w:hAnsi="Calibri"/>
          <w:b/>
          <w:color w:val="1B355E"/>
          <w:sz w:val="30"/>
        </w:rPr>
        <w:t>13.  Business Interpretation and Revenue Impact</w:t>
      </w:r>
    </w:p>
    <w:p>
      <w:pPr>
        <w:spacing w:after="40"/>
      </w:pPr>
    </w:p>
    <w:p>
      <w:pPr>
        <w:keepNext/>
        <w:spacing w:before="240" w:after="80"/>
      </w:pPr>
      <w:r>
        <w:rPr>
          <w:rFonts w:ascii="Calibri" w:hAnsi="Calibri"/>
          <w:b/>
          <w:color w:val="1B355E"/>
          <w:sz w:val="25"/>
        </w:rPr>
        <w:t>13.1  From probability to priority</w:t>
      </w:r>
    </w:p>
    <w:p>
      <w:pPr>
        <w:spacing w:after="120" w:before="0"/>
        <w:jc w:val="both"/>
      </w:pPr>
      <w:r>
        <w:rPr>
          <w:b w:val="0"/>
          <w:i w:val="0"/>
          <w:sz w:val="21"/>
        </w:rPr>
        <w:t>A churn probability is not by itself a decision. The pipeline's output becomes operational when probability is combined with customer value, because the correct target for retention spend is not the customer most likely to leave but the customer whose departure would cost the most.</w:t>
      </w:r>
    </w:p>
    <w:p>
      <w:pPr>
        <w:spacing w:after="60" w:before="0"/>
        <w:jc w:val="both"/>
      </w:pPr>
      <w:r>
        <w:rPr>
          <w:b/>
          <w:i w:val="0"/>
          <w:sz w:val="21"/>
        </w:rPr>
        <w:t>Revenue at risk, computed per customer:</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8"/>
              </w:rPr>
              <w:t>Customer Value (CLV proxy)  =  MonthlyCharges  x  Expected Remaining Tenure</w:t>
            </w:r>
          </w:p>
          <w:p>
            <w:pPr>
              <w:spacing w:after="0" w:before="0" w:line="240" w:lineRule="auto"/>
            </w:pPr>
            <w:r>
              <w:rPr>
                <w:rFonts w:ascii="Consolas" w:hAnsi="Consolas" w:eastAsia="Consolas"/>
                <w:color w:val="1A232E"/>
                <w:sz w:val="18"/>
              </w:rPr>
              <w:t>Revenue at Risk            =  P(churn)         x  Customer Value</w:t>
            </w:r>
          </w:p>
          <w:p>
            <w:pPr>
              <w:spacing w:after="0" w:before="0" w:line="240" w:lineRule="auto"/>
            </w:pPr>
            <w:r>
              <w:rPr>
                <w:rFonts w:ascii="Consolas" w:hAnsi="Consolas" w:eastAsia="Consolas"/>
                <w:color w:val="1A232E"/>
                <w:sz w:val="18"/>
              </w:rPr>
              <w:t>Expected Saved Revenue     =  Revenue at Risk  x  Campaign Success Rate</w:t>
            </w:r>
          </w:p>
          <w:p>
            <w:pPr>
              <w:spacing w:after="0" w:before="0" w:line="240" w:lineRule="auto"/>
            </w:pPr>
            <w:r>
              <w:rPr>
                <w:rFonts w:ascii="Consolas" w:hAnsi="Consolas" w:eastAsia="Consolas"/>
                <w:color w:val="1A232E"/>
                <w:sz w:val="18"/>
              </w:rPr>
              <w:t>Net Benefit                =  Expected Saved Revenue  -  Campaign Cost</w:t>
            </w:r>
          </w:p>
        </w:tc>
      </w:tr>
    </w:tbl>
    <w:p>
      <w:pPr>
        <w:spacing w:after="80"/>
      </w:pPr>
    </w:p>
    <w:p>
      <w:pPr>
        <w:keepNext/>
        <w:spacing w:before="240" w:after="80"/>
      </w:pPr>
      <w:r>
        <w:rPr>
          <w:rFonts w:ascii="Calibri" w:hAnsi="Calibri"/>
          <w:b/>
          <w:color w:val="1B355E"/>
          <w:sz w:val="25"/>
        </w:rPr>
        <w:t>13.2  Segment-level retention strategy</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900"/>
        <w:gridCol w:w="1036"/>
        <w:gridCol w:w="1123"/>
        <w:gridCol w:w="1180"/>
        <w:gridCol w:w="2951"/>
        <w:gridCol w:w="1123"/>
      </w:tblGrid>
      <w:tr>
        <w:tc>
          <w:tcPr>
            <w:tcW w:type="dxa" w:w="1901"/>
            <w:shd w:val="clear" w:color="auto" w:fill="1B355E"/>
          </w:tcPr>
          <w:p>
            <w:pPr>
              <w:spacing w:after="20" w:before="20"/>
              <w:jc w:val="center"/>
            </w:pPr>
            <w:r>
              <w:rPr>
                <w:b/>
                <w:color w:val="FFFFFF"/>
                <w:sz w:val="17"/>
              </w:rPr>
              <w:t>Segment</w:t>
            </w:r>
          </w:p>
        </w:tc>
        <w:tc>
          <w:tcPr>
            <w:tcW w:type="dxa" w:w="1037"/>
            <w:shd w:val="clear" w:color="auto" w:fill="1B355E"/>
          </w:tcPr>
          <w:p>
            <w:pPr>
              <w:spacing w:after="20" w:before="20"/>
              <w:jc w:val="center"/>
            </w:pPr>
            <w:r>
              <w:rPr>
                <w:b/>
                <w:color w:val="FFFFFF"/>
                <w:sz w:val="17"/>
              </w:rPr>
              <w:t>Customers</w:t>
            </w:r>
          </w:p>
        </w:tc>
        <w:tc>
          <w:tcPr>
            <w:tcW w:type="dxa" w:w="1123"/>
            <w:shd w:val="clear" w:color="auto" w:fill="1B355E"/>
          </w:tcPr>
          <w:p>
            <w:pPr>
              <w:spacing w:after="20" w:before="20"/>
              <w:jc w:val="center"/>
            </w:pPr>
            <w:r>
              <w:rPr>
                <w:b/>
                <w:color w:val="FFFFFF"/>
                <w:sz w:val="17"/>
              </w:rPr>
              <w:t>Churn rate</w:t>
            </w:r>
          </w:p>
        </w:tc>
        <w:tc>
          <w:tcPr>
            <w:tcW w:type="dxa" w:w="1181"/>
            <w:shd w:val="clear" w:color="auto" w:fill="1B355E"/>
          </w:tcPr>
          <w:p>
            <w:pPr>
              <w:spacing w:after="20" w:before="20"/>
              <w:jc w:val="center"/>
            </w:pPr>
            <w:r>
              <w:rPr>
                <w:b/>
                <w:color w:val="FFFFFF"/>
                <w:sz w:val="17"/>
              </w:rPr>
              <w:t>Mean monthly</w:t>
            </w:r>
          </w:p>
        </w:tc>
        <w:tc>
          <w:tcPr>
            <w:tcW w:type="dxa" w:w="2952"/>
            <w:shd w:val="clear" w:color="auto" w:fill="1B355E"/>
          </w:tcPr>
          <w:p>
            <w:pPr>
              <w:spacing w:after="20" w:before="20"/>
              <w:jc w:val="center"/>
            </w:pPr>
            <w:r>
              <w:rPr>
                <w:b/>
                <w:color w:val="FFFFFF"/>
                <w:sz w:val="17"/>
              </w:rPr>
              <w:t>Recommended action</w:t>
            </w:r>
          </w:p>
        </w:tc>
        <w:tc>
          <w:tcPr>
            <w:tcW w:type="dxa" w:w="1123"/>
            <w:shd w:val="clear" w:color="auto" w:fill="1B355E"/>
          </w:tcPr>
          <w:p>
            <w:pPr>
              <w:spacing w:after="20" w:before="20"/>
              <w:jc w:val="center"/>
            </w:pPr>
            <w:r>
              <w:rPr>
                <w:b/>
                <w:color w:val="FFFFFF"/>
                <w:sz w:val="17"/>
              </w:rPr>
              <w:t>Priority</w:t>
            </w:r>
          </w:p>
        </w:tc>
      </w:tr>
      <w:tr>
        <w:tc>
          <w:tcPr>
            <w:tcW w:type="dxa" w:w="1901"/>
          </w:tcPr>
          <w:p>
            <w:pPr>
              <w:spacing w:after="20" w:before="20" w:line="254" w:lineRule="auto"/>
              <w:jc w:val="left"/>
            </w:pPr>
            <w:r>
              <w:rPr>
                <w:sz w:val="16"/>
              </w:rPr>
              <w:t>New &amp; Fragile 2</w:t>
            </w:r>
          </w:p>
        </w:tc>
        <w:tc>
          <w:tcPr>
            <w:tcW w:type="dxa" w:w="1037"/>
          </w:tcPr>
          <w:p>
            <w:pPr>
              <w:spacing w:after="20" w:before="20" w:line="254" w:lineRule="auto"/>
              <w:jc w:val="center"/>
            </w:pPr>
            <w:r>
              <w:rPr>
                <w:sz w:val="16"/>
              </w:rPr>
              <w:t>2 373</w:t>
            </w:r>
          </w:p>
        </w:tc>
        <w:tc>
          <w:tcPr>
            <w:tcW w:type="dxa" w:w="1123"/>
          </w:tcPr>
          <w:p>
            <w:pPr>
              <w:spacing w:after="20" w:before="20" w:line="254" w:lineRule="auto"/>
              <w:jc w:val="center"/>
            </w:pPr>
            <w:r>
              <w:rPr>
                <w:sz w:val="16"/>
              </w:rPr>
              <w:t>47.37 %</w:t>
            </w:r>
          </w:p>
        </w:tc>
        <w:tc>
          <w:tcPr>
            <w:tcW w:type="dxa" w:w="1181"/>
          </w:tcPr>
          <w:p>
            <w:pPr>
              <w:spacing w:after="20" w:before="20" w:line="254" w:lineRule="auto"/>
              <w:jc w:val="center"/>
            </w:pPr>
            <w:r>
              <w:rPr>
                <w:sz w:val="16"/>
              </w:rPr>
              <w:t>77.58</w:t>
            </w:r>
          </w:p>
        </w:tc>
        <w:tc>
          <w:tcPr>
            <w:tcW w:type="dxa" w:w="2952"/>
          </w:tcPr>
          <w:p>
            <w:pPr>
              <w:spacing w:after="20" w:before="20" w:line="254" w:lineRule="auto"/>
              <w:jc w:val="left"/>
            </w:pPr>
            <w:r>
              <w:rPr>
                <w:sz w:val="16"/>
              </w:rPr>
              <w:t>contract migration offer with a discount tied to a twelve-month term; structured onboarding in months 1-6</w:t>
            </w:r>
          </w:p>
        </w:tc>
        <w:tc>
          <w:tcPr>
            <w:tcW w:type="dxa" w:w="1123"/>
          </w:tcPr>
          <w:p>
            <w:pPr>
              <w:spacing w:after="20" w:before="20" w:line="254" w:lineRule="auto"/>
              <w:jc w:val="center"/>
            </w:pPr>
            <w:r>
              <w:rPr>
                <w:b/>
                <w:sz w:val="16"/>
              </w:rPr>
              <w:t>Highest</w:t>
            </w:r>
          </w:p>
        </w:tc>
      </w:tr>
      <w:tr>
        <w:tc>
          <w:tcPr>
            <w:tcW w:type="dxa" w:w="1901"/>
            <w:shd w:val="clear" w:color="auto" w:fill="F2F5F9"/>
          </w:tcPr>
          <w:p>
            <w:pPr>
              <w:spacing w:after="20" w:before="20" w:line="254" w:lineRule="auto"/>
              <w:jc w:val="left"/>
            </w:pPr>
            <w:r>
              <w:rPr>
                <w:sz w:val="16"/>
              </w:rPr>
              <w:t>High-Value Loyal</w:t>
            </w:r>
          </w:p>
        </w:tc>
        <w:tc>
          <w:tcPr>
            <w:tcW w:type="dxa" w:w="1037"/>
            <w:shd w:val="clear" w:color="auto" w:fill="F2F5F9"/>
          </w:tcPr>
          <w:p>
            <w:pPr>
              <w:spacing w:after="20" w:before="20" w:line="254" w:lineRule="auto"/>
              <w:jc w:val="center"/>
            </w:pPr>
            <w:r>
              <w:rPr>
                <w:sz w:val="16"/>
              </w:rPr>
              <w:t>2 158</w:t>
            </w:r>
          </w:p>
        </w:tc>
        <w:tc>
          <w:tcPr>
            <w:tcW w:type="dxa" w:w="1123"/>
            <w:shd w:val="clear" w:color="auto" w:fill="F2F5F9"/>
          </w:tcPr>
          <w:p>
            <w:pPr>
              <w:spacing w:after="20" w:before="20" w:line="254" w:lineRule="auto"/>
              <w:jc w:val="center"/>
            </w:pPr>
            <w:r>
              <w:rPr>
                <w:sz w:val="16"/>
              </w:rPr>
              <w:t>15.43 %</w:t>
            </w:r>
          </w:p>
        </w:tc>
        <w:tc>
          <w:tcPr>
            <w:tcW w:type="dxa" w:w="1181"/>
            <w:shd w:val="clear" w:color="auto" w:fill="F2F5F9"/>
          </w:tcPr>
          <w:p>
            <w:pPr>
              <w:spacing w:after="20" w:before="20" w:line="254" w:lineRule="auto"/>
              <w:jc w:val="center"/>
            </w:pPr>
            <w:r>
              <w:rPr>
                <w:sz w:val="16"/>
              </w:rPr>
              <w:t>90.59</w:t>
            </w:r>
          </w:p>
        </w:tc>
        <w:tc>
          <w:tcPr>
            <w:tcW w:type="dxa" w:w="2952"/>
            <w:shd w:val="clear" w:color="auto" w:fill="F2F5F9"/>
          </w:tcPr>
          <w:p>
            <w:pPr>
              <w:spacing w:after="20" w:before="20" w:line="254" w:lineRule="auto"/>
              <w:jc w:val="left"/>
            </w:pPr>
            <w:r>
              <w:rPr>
                <w:sz w:val="16"/>
              </w:rPr>
              <w:t>proactive service quality and early-warning monitoring; no discounting, which would sacrifice margin on customers who are not leaving</w:t>
            </w:r>
          </w:p>
        </w:tc>
        <w:tc>
          <w:tcPr>
            <w:tcW w:type="dxa" w:w="1123"/>
            <w:shd w:val="clear" w:color="auto" w:fill="F2F5F9"/>
          </w:tcPr>
          <w:p>
            <w:pPr>
              <w:spacing w:after="20" w:before="20" w:line="254" w:lineRule="auto"/>
              <w:jc w:val="center"/>
            </w:pPr>
            <w:r>
              <w:rPr>
                <w:sz w:val="16"/>
              </w:rPr>
              <w:t>High (value)</w:t>
            </w:r>
          </w:p>
        </w:tc>
      </w:tr>
      <w:tr>
        <w:tc>
          <w:tcPr>
            <w:tcW w:type="dxa" w:w="1901"/>
          </w:tcPr>
          <w:p>
            <w:pPr>
              <w:spacing w:after="20" w:before="20" w:line="254" w:lineRule="auto"/>
              <w:jc w:val="left"/>
            </w:pPr>
            <w:r>
              <w:rPr>
                <w:sz w:val="16"/>
              </w:rPr>
              <w:t>New &amp; Fragile</w:t>
            </w:r>
          </w:p>
        </w:tc>
        <w:tc>
          <w:tcPr>
            <w:tcW w:type="dxa" w:w="1037"/>
          </w:tcPr>
          <w:p>
            <w:pPr>
              <w:spacing w:after="20" w:before="20" w:line="254" w:lineRule="auto"/>
              <w:jc w:val="center"/>
            </w:pPr>
            <w:r>
              <w:rPr>
                <w:sz w:val="16"/>
              </w:rPr>
              <w:t>1 521</w:t>
            </w:r>
          </w:p>
        </w:tc>
        <w:tc>
          <w:tcPr>
            <w:tcW w:type="dxa" w:w="1123"/>
          </w:tcPr>
          <w:p>
            <w:pPr>
              <w:spacing w:after="20" w:before="20" w:line="254" w:lineRule="auto"/>
              <w:jc w:val="center"/>
            </w:pPr>
            <w:r>
              <w:rPr>
                <w:sz w:val="16"/>
              </w:rPr>
              <w:t>24.19 %</w:t>
            </w:r>
          </w:p>
        </w:tc>
        <w:tc>
          <w:tcPr>
            <w:tcW w:type="dxa" w:w="1181"/>
          </w:tcPr>
          <w:p>
            <w:pPr>
              <w:spacing w:after="20" w:before="20" w:line="254" w:lineRule="auto"/>
              <w:jc w:val="center"/>
            </w:pPr>
            <w:r>
              <w:rPr>
                <w:sz w:val="16"/>
              </w:rPr>
              <w:t>29.58</w:t>
            </w:r>
          </w:p>
        </w:tc>
        <w:tc>
          <w:tcPr>
            <w:tcW w:type="dxa" w:w="2952"/>
          </w:tcPr>
          <w:p>
            <w:pPr>
              <w:spacing w:after="20" w:before="20" w:line="254" w:lineRule="auto"/>
              <w:jc w:val="left"/>
            </w:pPr>
            <w:r>
              <w:rPr>
                <w:sz w:val="16"/>
              </w:rPr>
              <w:t>low-cost automated nurture; add-on cross-sell to move them off a single service</w:t>
            </w:r>
          </w:p>
        </w:tc>
        <w:tc>
          <w:tcPr>
            <w:tcW w:type="dxa" w:w="1123"/>
          </w:tcPr>
          <w:p>
            <w:pPr>
              <w:spacing w:after="20" w:before="20" w:line="254" w:lineRule="auto"/>
              <w:jc w:val="center"/>
            </w:pPr>
            <w:r>
              <w:rPr>
                <w:sz w:val="16"/>
              </w:rPr>
              <w:t>Medium</w:t>
            </w:r>
          </w:p>
        </w:tc>
      </w:tr>
      <w:tr>
        <w:tc>
          <w:tcPr>
            <w:tcW w:type="dxa" w:w="1901"/>
            <w:shd w:val="clear" w:color="auto" w:fill="F2F5F9"/>
          </w:tcPr>
          <w:p>
            <w:pPr>
              <w:spacing w:after="20" w:before="20" w:line="254" w:lineRule="auto"/>
              <w:jc w:val="left"/>
            </w:pPr>
            <w:r>
              <w:rPr>
                <w:sz w:val="16"/>
              </w:rPr>
              <w:t>Low-Value Price-Sensitive</w:t>
            </w:r>
          </w:p>
        </w:tc>
        <w:tc>
          <w:tcPr>
            <w:tcW w:type="dxa" w:w="1037"/>
            <w:shd w:val="clear" w:color="auto" w:fill="F2F5F9"/>
          </w:tcPr>
          <w:p>
            <w:pPr>
              <w:spacing w:after="20" w:before="20" w:line="254" w:lineRule="auto"/>
              <w:jc w:val="center"/>
            </w:pPr>
            <w:r>
              <w:rPr>
                <w:sz w:val="16"/>
              </w:rPr>
              <w:t>991</w:t>
            </w:r>
          </w:p>
        </w:tc>
        <w:tc>
          <w:tcPr>
            <w:tcW w:type="dxa" w:w="1123"/>
            <w:shd w:val="clear" w:color="auto" w:fill="F2F5F9"/>
          </w:tcPr>
          <w:p>
            <w:pPr>
              <w:spacing w:after="20" w:before="20" w:line="254" w:lineRule="auto"/>
              <w:jc w:val="center"/>
            </w:pPr>
            <w:r>
              <w:rPr>
                <w:sz w:val="16"/>
              </w:rPr>
              <w:t>4.44 %</w:t>
            </w:r>
          </w:p>
        </w:tc>
        <w:tc>
          <w:tcPr>
            <w:tcW w:type="dxa" w:w="1181"/>
            <w:shd w:val="clear" w:color="auto" w:fill="F2F5F9"/>
          </w:tcPr>
          <w:p>
            <w:pPr>
              <w:spacing w:after="20" w:before="20" w:line="254" w:lineRule="auto"/>
              <w:jc w:val="center"/>
            </w:pPr>
            <w:r>
              <w:rPr>
                <w:sz w:val="16"/>
              </w:rPr>
              <w:t>31.81</w:t>
            </w:r>
          </w:p>
        </w:tc>
        <w:tc>
          <w:tcPr>
            <w:tcW w:type="dxa" w:w="2952"/>
            <w:shd w:val="clear" w:color="auto" w:fill="F2F5F9"/>
          </w:tcPr>
          <w:p>
            <w:pPr>
              <w:spacing w:after="20" w:before="20" w:line="254" w:lineRule="auto"/>
              <w:jc w:val="left"/>
            </w:pPr>
            <w:r>
              <w:rPr>
                <w:sz w:val="16"/>
              </w:rPr>
              <w:t>no active intervention; monitor only</w:t>
            </w:r>
          </w:p>
        </w:tc>
        <w:tc>
          <w:tcPr>
            <w:tcW w:type="dxa" w:w="1123"/>
            <w:shd w:val="clear" w:color="auto" w:fill="F2F5F9"/>
          </w:tcPr>
          <w:p>
            <w:pPr>
              <w:spacing w:after="20" w:before="20" w:line="254" w:lineRule="auto"/>
              <w:jc w:val="center"/>
            </w:pPr>
            <w:r>
              <w:rPr>
                <w:sz w:val="16"/>
              </w:rPr>
              <w:t>Lowest</w:t>
            </w:r>
          </w:p>
        </w:tc>
      </w:tr>
    </w:tbl>
    <w:p>
      <w:pPr>
        <w:spacing w:before="80" w:after="200"/>
        <w:jc w:val="center"/>
      </w:pPr>
      <w:r>
        <w:rPr>
          <w:i/>
          <w:color w:val="555F6B"/>
          <w:sz w:val="17"/>
        </w:rPr>
        <w:t>Table 33: Retention strategy by segment, derived from the measured cluster profiles.</w:t>
      </w:r>
    </w:p>
    <w:p>
      <w:pPr>
        <w:keepNext/>
        <w:spacing w:before="240" w:after="80"/>
      </w:pPr>
      <w:r>
        <w:rPr>
          <w:rFonts w:ascii="Calibri" w:hAnsi="Calibri"/>
          <w:b/>
          <w:color w:val="1B355E"/>
          <w:sz w:val="25"/>
        </w:rPr>
        <w:t>13.3  Driver-to-action mapping</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131"/>
        <w:gridCol w:w="2563"/>
        <w:gridCol w:w="4622"/>
      </w:tblGrid>
      <w:tr>
        <w:tc>
          <w:tcPr>
            <w:tcW w:type="dxa" w:w="2131"/>
            <w:shd w:val="clear" w:color="auto" w:fill="1B355E"/>
          </w:tcPr>
          <w:p>
            <w:pPr>
              <w:spacing w:after="20" w:before="20"/>
              <w:jc w:val="center"/>
            </w:pPr>
            <w:r>
              <w:rPr>
                <w:b/>
                <w:color w:val="FFFFFF"/>
                <w:sz w:val="17"/>
              </w:rPr>
              <w:t>Measured driver</w:t>
            </w:r>
          </w:p>
        </w:tc>
        <w:tc>
          <w:tcPr>
            <w:tcW w:type="dxa" w:w="2563"/>
            <w:shd w:val="clear" w:color="auto" w:fill="1B355E"/>
          </w:tcPr>
          <w:p>
            <w:pPr>
              <w:spacing w:after="20" w:before="20"/>
              <w:jc w:val="center"/>
            </w:pPr>
            <w:r>
              <w:rPr>
                <w:b/>
                <w:color w:val="FFFFFF"/>
                <w:sz w:val="17"/>
              </w:rPr>
              <w:t>Evidence</w:t>
            </w:r>
          </w:p>
        </w:tc>
        <w:tc>
          <w:tcPr>
            <w:tcW w:type="dxa" w:w="4622"/>
            <w:shd w:val="clear" w:color="auto" w:fill="1B355E"/>
          </w:tcPr>
          <w:p>
            <w:pPr>
              <w:spacing w:after="20" w:before="20"/>
              <w:jc w:val="center"/>
            </w:pPr>
            <w:r>
              <w:rPr>
                <w:b/>
                <w:color w:val="FFFFFF"/>
                <w:sz w:val="17"/>
              </w:rPr>
              <w:t>Retention action it implies</w:t>
            </w:r>
          </w:p>
        </w:tc>
      </w:tr>
      <w:tr>
        <w:tc>
          <w:tcPr>
            <w:tcW w:type="dxa" w:w="2131"/>
          </w:tcPr>
          <w:p>
            <w:pPr>
              <w:spacing w:after="20" w:before="20" w:line="254" w:lineRule="auto"/>
              <w:jc w:val="left"/>
            </w:pPr>
            <w:r>
              <w:rPr>
                <w:sz w:val="16"/>
              </w:rPr>
              <w:t>Month-to-month contract</w:t>
            </w:r>
          </w:p>
        </w:tc>
        <w:tc>
          <w:tcPr>
            <w:tcW w:type="dxa" w:w="2563"/>
          </w:tcPr>
          <w:p>
            <w:pPr>
              <w:spacing w:after="20" w:before="20" w:line="254" w:lineRule="auto"/>
              <w:jc w:val="left"/>
            </w:pPr>
            <w:r>
              <w:rPr>
                <w:sz w:val="16"/>
              </w:rPr>
              <w:t>42.71 % vs. 2.83 % churn; 0.313 model gain</w:t>
            </w:r>
          </w:p>
        </w:tc>
        <w:tc>
          <w:tcPr>
            <w:tcW w:type="dxa" w:w="4622"/>
          </w:tcPr>
          <w:p>
            <w:pPr>
              <w:spacing w:after="20" w:before="20" w:line="254" w:lineRule="auto"/>
              <w:jc w:val="left"/>
            </w:pPr>
            <w:r>
              <w:rPr>
                <w:sz w:val="16"/>
              </w:rPr>
              <w:t>migrate to annual terms with a discount smaller than the value at risk</w:t>
            </w:r>
          </w:p>
        </w:tc>
      </w:tr>
      <w:tr>
        <w:tc>
          <w:tcPr>
            <w:tcW w:type="dxa" w:w="2131"/>
            <w:shd w:val="clear" w:color="auto" w:fill="F2F5F9"/>
          </w:tcPr>
          <w:p>
            <w:pPr>
              <w:spacing w:after="20" w:before="20" w:line="254" w:lineRule="auto"/>
              <w:jc w:val="left"/>
            </w:pPr>
            <w:r>
              <w:rPr>
                <w:sz w:val="16"/>
              </w:rPr>
              <w:t>Electronic-check payment</w:t>
            </w:r>
          </w:p>
        </w:tc>
        <w:tc>
          <w:tcPr>
            <w:tcW w:type="dxa" w:w="2563"/>
            <w:shd w:val="clear" w:color="auto" w:fill="F2F5F9"/>
          </w:tcPr>
          <w:p>
            <w:pPr>
              <w:spacing w:after="20" w:before="20" w:line="254" w:lineRule="auto"/>
              <w:jc w:val="left"/>
            </w:pPr>
            <w:r>
              <w:rPr>
                <w:sz w:val="16"/>
              </w:rPr>
              <w:t>45.29 % churn, the highest of any level</w:t>
            </w:r>
          </w:p>
        </w:tc>
        <w:tc>
          <w:tcPr>
            <w:tcW w:type="dxa" w:w="4622"/>
            <w:shd w:val="clear" w:color="auto" w:fill="F2F5F9"/>
          </w:tcPr>
          <w:p>
            <w:pPr>
              <w:spacing w:after="20" w:before="20" w:line="254" w:lineRule="auto"/>
              <w:jc w:val="left"/>
            </w:pPr>
            <w:r>
              <w:rPr>
                <w:sz w:val="16"/>
              </w:rPr>
              <w:t>incentivise enrolment in automatic payment, removing a monthly cancel decision</w:t>
            </w:r>
          </w:p>
        </w:tc>
      </w:tr>
      <w:tr>
        <w:tc>
          <w:tcPr>
            <w:tcW w:type="dxa" w:w="2131"/>
          </w:tcPr>
          <w:p>
            <w:pPr>
              <w:spacing w:after="20" w:before="20" w:line="254" w:lineRule="auto"/>
              <w:jc w:val="left"/>
            </w:pPr>
            <w:r>
              <w:rPr>
                <w:sz w:val="16"/>
              </w:rPr>
              <w:t>Fibre-optic service</w:t>
            </w:r>
          </w:p>
        </w:tc>
        <w:tc>
          <w:tcPr>
            <w:tcW w:type="dxa" w:w="2563"/>
          </w:tcPr>
          <w:p>
            <w:pPr>
              <w:spacing w:after="20" w:before="20" w:line="254" w:lineRule="auto"/>
              <w:jc w:val="left"/>
            </w:pPr>
            <w:r>
              <w:rPr>
                <w:sz w:val="16"/>
              </w:rPr>
              <w:t>41.89 % vs. 18.96 % on DSL</w:t>
            </w:r>
          </w:p>
        </w:tc>
        <w:tc>
          <w:tcPr>
            <w:tcW w:type="dxa" w:w="4622"/>
          </w:tcPr>
          <w:p>
            <w:pPr>
              <w:spacing w:after="20" w:before="20" w:line="254" w:lineRule="auto"/>
              <w:jc w:val="left"/>
            </w:pPr>
            <w:r>
              <w:rPr>
                <w:sz w:val="16"/>
              </w:rPr>
              <w:t>investigate service quality and price-to-value perception in the fibre tier</w:t>
            </w:r>
          </w:p>
        </w:tc>
      </w:tr>
      <w:tr>
        <w:tc>
          <w:tcPr>
            <w:tcW w:type="dxa" w:w="2131"/>
            <w:shd w:val="clear" w:color="auto" w:fill="F2F5F9"/>
          </w:tcPr>
          <w:p>
            <w:pPr>
              <w:spacing w:after="20" w:before="20" w:line="254" w:lineRule="auto"/>
              <w:jc w:val="left"/>
            </w:pPr>
            <w:r>
              <w:rPr>
                <w:sz w:val="16"/>
              </w:rPr>
              <w:t>First six months of tenure</w:t>
            </w:r>
          </w:p>
        </w:tc>
        <w:tc>
          <w:tcPr>
            <w:tcW w:type="dxa" w:w="2563"/>
            <w:shd w:val="clear" w:color="auto" w:fill="F2F5F9"/>
          </w:tcPr>
          <w:p>
            <w:pPr>
              <w:spacing w:after="20" w:before="20" w:line="254" w:lineRule="auto"/>
              <w:jc w:val="left"/>
            </w:pPr>
            <w:r>
              <w:rPr>
                <w:sz w:val="16"/>
              </w:rPr>
              <w:t>52.94 % churn in the 0-6 band</w:t>
            </w:r>
          </w:p>
        </w:tc>
        <w:tc>
          <w:tcPr>
            <w:tcW w:type="dxa" w:w="4622"/>
            <w:shd w:val="clear" w:color="auto" w:fill="F2F5F9"/>
          </w:tcPr>
          <w:p>
            <w:pPr>
              <w:spacing w:after="20" w:before="20" w:line="254" w:lineRule="auto"/>
              <w:jc w:val="left"/>
            </w:pPr>
            <w:r>
              <w:rPr>
                <w:sz w:val="16"/>
              </w:rPr>
              <w:t>concentrate onboarding spend in the first two quarters, where risk is highest</w:t>
            </w:r>
          </w:p>
        </w:tc>
      </w:tr>
      <w:tr>
        <w:tc>
          <w:tcPr>
            <w:tcW w:type="dxa" w:w="2131"/>
          </w:tcPr>
          <w:p>
            <w:pPr>
              <w:spacing w:after="20" w:before="20" w:line="254" w:lineRule="auto"/>
              <w:jc w:val="left"/>
            </w:pPr>
            <w:r>
              <w:rPr>
                <w:sz w:val="16"/>
              </w:rPr>
              <w:t>Single add-on service</w:t>
            </w:r>
          </w:p>
        </w:tc>
        <w:tc>
          <w:tcPr>
            <w:tcW w:type="dxa" w:w="2563"/>
          </w:tcPr>
          <w:p>
            <w:pPr>
              <w:spacing w:after="20" w:before="20" w:line="254" w:lineRule="auto"/>
              <w:jc w:val="left"/>
            </w:pPr>
            <w:r>
              <w:rPr>
                <w:sz w:val="16"/>
              </w:rPr>
              <w:t>45.76 % churn, above the zero-add-on rate</w:t>
            </w:r>
          </w:p>
        </w:tc>
        <w:tc>
          <w:tcPr>
            <w:tcW w:type="dxa" w:w="4622"/>
          </w:tcPr>
          <w:p>
            <w:pPr>
              <w:spacing w:after="20" w:before="20" w:line="254" w:lineRule="auto"/>
              <w:jc w:val="left"/>
            </w:pPr>
            <w:r>
              <w:rPr>
                <w:sz w:val="16"/>
              </w:rPr>
              <w:t>cross-sell toward three or more services to raise switching cost</w:t>
            </w:r>
          </w:p>
        </w:tc>
      </w:tr>
      <w:tr>
        <w:tc>
          <w:tcPr>
            <w:tcW w:type="dxa" w:w="2131"/>
            <w:shd w:val="clear" w:color="auto" w:fill="F2F5F9"/>
          </w:tcPr>
          <w:p>
            <w:pPr>
              <w:spacing w:after="20" w:before="20" w:line="254" w:lineRule="auto"/>
              <w:jc w:val="left"/>
            </w:pPr>
            <w:r>
              <w:rPr>
                <w:sz w:val="16"/>
              </w:rPr>
              <w:t>No tech support</w:t>
            </w:r>
          </w:p>
        </w:tc>
        <w:tc>
          <w:tcPr>
            <w:tcW w:type="dxa" w:w="2563"/>
            <w:shd w:val="clear" w:color="auto" w:fill="F2F5F9"/>
          </w:tcPr>
          <w:p>
            <w:pPr>
              <w:spacing w:after="20" w:before="20" w:line="254" w:lineRule="auto"/>
              <w:jc w:val="center"/>
            </w:pPr>
            <w:r>
              <w:rPr>
                <w:sz w:val="16"/>
              </w:rPr>
              <w:t>31.19 % vs. 15.17 %</w:t>
            </w:r>
          </w:p>
        </w:tc>
        <w:tc>
          <w:tcPr>
            <w:tcW w:type="dxa" w:w="4622"/>
            <w:shd w:val="clear" w:color="auto" w:fill="F2F5F9"/>
          </w:tcPr>
          <w:p>
            <w:pPr>
              <w:spacing w:after="20" w:before="20" w:line="254" w:lineRule="auto"/>
              <w:jc w:val="left"/>
            </w:pPr>
            <w:r>
              <w:rPr>
                <w:sz w:val="16"/>
              </w:rPr>
              <w:t>bundle support into base packages rather than selling it separately</w:t>
            </w:r>
          </w:p>
        </w:tc>
      </w:tr>
    </w:tbl>
    <w:p>
      <w:pPr>
        <w:spacing w:before="80" w:after="200"/>
        <w:jc w:val="center"/>
      </w:pPr>
      <w:r>
        <w:rPr>
          <w:i/>
          <w:color w:val="555F6B"/>
          <w:sz w:val="17"/>
        </w:rPr>
        <w:t>Table 34: Each measured churn driver mapped to the retention action it supports.</w:t>
      </w:r>
    </w:p>
    <w:p>
      <w:pPr>
        <w:keepNext/>
        <w:spacing w:before="240" w:after="80"/>
      </w:pPr>
      <w:r>
        <w:rPr>
          <w:rFonts w:ascii="Calibri" w:hAnsi="Calibri"/>
          <w:b/>
          <w:color w:val="1B355E"/>
          <w:sz w:val="25"/>
        </w:rPr>
        <w:t>13.4  Illustrative campaign economics</w:t>
      </w:r>
    </w:p>
    <w:p>
      <w:pPr>
        <w:spacing w:after="120" w:before="0"/>
        <w:jc w:val="both"/>
      </w:pPr>
      <w:r>
        <w:rPr>
          <w:b w:val="0"/>
          <w:i w:val="0"/>
          <w:sz w:val="21"/>
        </w:rPr>
        <w:t>The figures below apply the model's measured recall to the measured segment profiles. The churn rates, segment sizes and recall are all real; the campaign success rate and offer cost are stated assumptions, since the project has no campaign-outcome data against which to calibrate them.</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664"/>
        <w:gridCol w:w="3484"/>
        <w:gridCol w:w="3168"/>
      </w:tblGrid>
      <w:tr>
        <w:tc>
          <w:tcPr>
            <w:tcW w:type="dxa" w:w="2664"/>
            <w:shd w:val="clear" w:color="auto" w:fill="1B355E"/>
          </w:tcPr>
          <w:p>
            <w:pPr>
              <w:spacing w:after="20" w:before="20"/>
              <w:jc w:val="center"/>
            </w:pPr>
            <w:r>
              <w:rPr>
                <w:b/>
                <w:color w:val="FFFFFF"/>
                <w:sz w:val="17"/>
              </w:rPr>
              <w:t>Quantity</w:t>
            </w:r>
          </w:p>
        </w:tc>
        <w:tc>
          <w:tcPr>
            <w:tcW w:type="dxa" w:w="3485"/>
            <w:shd w:val="clear" w:color="auto" w:fill="1B355E"/>
          </w:tcPr>
          <w:p>
            <w:pPr>
              <w:spacing w:after="20" w:before="20"/>
              <w:jc w:val="center"/>
            </w:pPr>
            <w:r>
              <w:rPr>
                <w:b/>
                <w:color w:val="FFFFFF"/>
                <w:sz w:val="17"/>
              </w:rPr>
              <w:t>Value</w:t>
            </w:r>
          </w:p>
        </w:tc>
        <w:tc>
          <w:tcPr>
            <w:tcW w:type="dxa" w:w="3168"/>
            <w:shd w:val="clear" w:color="auto" w:fill="1B355E"/>
          </w:tcPr>
          <w:p>
            <w:pPr>
              <w:spacing w:after="20" w:before="20"/>
              <w:jc w:val="center"/>
            </w:pPr>
            <w:r>
              <w:rPr>
                <w:b/>
                <w:color w:val="FFFFFF"/>
                <w:sz w:val="17"/>
              </w:rPr>
              <w:t>Source</w:t>
            </w:r>
          </w:p>
        </w:tc>
      </w:tr>
      <w:tr>
        <w:tc>
          <w:tcPr>
            <w:tcW w:type="dxa" w:w="2664"/>
          </w:tcPr>
          <w:p>
            <w:pPr>
              <w:spacing w:after="20" w:before="20" w:line="254" w:lineRule="auto"/>
              <w:jc w:val="left"/>
            </w:pPr>
            <w:r>
              <w:rPr>
                <w:sz w:val="16"/>
              </w:rPr>
              <w:t>High-risk segment size</w:t>
            </w:r>
          </w:p>
        </w:tc>
        <w:tc>
          <w:tcPr>
            <w:tcW w:type="dxa" w:w="3485"/>
          </w:tcPr>
          <w:p>
            <w:pPr>
              <w:spacing w:after="20" w:before="20" w:line="254" w:lineRule="auto"/>
              <w:jc w:val="center"/>
            </w:pPr>
            <w:r>
              <w:rPr>
                <w:sz w:val="16"/>
              </w:rPr>
              <w:t>2 373 customers</w:t>
            </w:r>
          </w:p>
        </w:tc>
        <w:tc>
          <w:tcPr>
            <w:tcW w:type="dxa" w:w="3168"/>
          </w:tcPr>
          <w:p>
            <w:pPr>
              <w:spacing w:after="20" w:before="20" w:line="254" w:lineRule="auto"/>
              <w:jc w:val="left"/>
            </w:pPr>
            <w:r>
              <w:rPr>
                <w:sz w:val="16"/>
              </w:rPr>
              <w:t>measured (New &amp; Fragile 2)</w:t>
            </w:r>
          </w:p>
        </w:tc>
      </w:tr>
      <w:tr>
        <w:tc>
          <w:tcPr>
            <w:tcW w:type="dxa" w:w="2664"/>
            <w:shd w:val="clear" w:color="auto" w:fill="F2F5F9"/>
          </w:tcPr>
          <w:p>
            <w:pPr>
              <w:spacing w:after="20" w:before="20" w:line="254" w:lineRule="auto"/>
              <w:jc w:val="left"/>
            </w:pPr>
            <w:r>
              <w:rPr>
                <w:sz w:val="16"/>
              </w:rPr>
              <w:t>Segment churn rate</w:t>
            </w:r>
          </w:p>
        </w:tc>
        <w:tc>
          <w:tcPr>
            <w:tcW w:type="dxa" w:w="3485"/>
            <w:shd w:val="clear" w:color="auto" w:fill="F2F5F9"/>
          </w:tcPr>
          <w:p>
            <w:pPr>
              <w:spacing w:after="20" w:before="20" w:line="254" w:lineRule="auto"/>
              <w:jc w:val="center"/>
            </w:pPr>
            <w:r>
              <w:rPr>
                <w:sz w:val="16"/>
              </w:rPr>
              <w:t>47.37 %</w:t>
            </w:r>
          </w:p>
        </w:tc>
        <w:tc>
          <w:tcPr>
            <w:tcW w:type="dxa" w:w="3168"/>
            <w:shd w:val="clear" w:color="auto" w:fill="F2F5F9"/>
          </w:tcPr>
          <w:p>
            <w:pPr>
              <w:spacing w:after="20" w:before="20" w:line="254" w:lineRule="auto"/>
              <w:jc w:val="center"/>
            </w:pPr>
            <w:r>
              <w:rPr>
                <w:sz w:val="16"/>
              </w:rPr>
              <w:t>measured</w:t>
            </w:r>
          </w:p>
        </w:tc>
      </w:tr>
      <w:tr>
        <w:tc>
          <w:tcPr>
            <w:tcW w:type="dxa" w:w="2664"/>
          </w:tcPr>
          <w:p>
            <w:pPr>
              <w:spacing w:after="20" w:before="20" w:line="254" w:lineRule="auto"/>
              <w:jc w:val="left"/>
            </w:pPr>
            <w:r>
              <w:rPr>
                <w:sz w:val="16"/>
              </w:rPr>
              <w:t>Expected churners in segment</w:t>
            </w:r>
          </w:p>
        </w:tc>
        <w:tc>
          <w:tcPr>
            <w:tcW w:type="dxa" w:w="3485"/>
          </w:tcPr>
          <w:p>
            <w:pPr>
              <w:spacing w:after="20" w:before="20" w:line="254" w:lineRule="auto"/>
              <w:jc w:val="center"/>
            </w:pPr>
            <w:r>
              <w:rPr>
                <w:sz w:val="16"/>
              </w:rPr>
              <w:t>1 124 customers</w:t>
            </w:r>
          </w:p>
        </w:tc>
        <w:tc>
          <w:tcPr>
            <w:tcW w:type="dxa" w:w="3168"/>
          </w:tcPr>
          <w:p>
            <w:pPr>
              <w:spacing w:after="20" w:before="20" w:line="254" w:lineRule="auto"/>
              <w:jc w:val="center"/>
            </w:pPr>
            <w:r>
              <w:rPr>
                <w:sz w:val="16"/>
              </w:rPr>
              <w:t>derived</w:t>
            </w:r>
          </w:p>
        </w:tc>
      </w:tr>
      <w:tr>
        <w:tc>
          <w:tcPr>
            <w:tcW w:type="dxa" w:w="2664"/>
            <w:shd w:val="clear" w:color="auto" w:fill="F2F5F9"/>
          </w:tcPr>
          <w:p>
            <w:pPr>
              <w:spacing w:after="20" w:before="20" w:line="254" w:lineRule="auto"/>
              <w:jc w:val="left"/>
            </w:pPr>
            <w:r>
              <w:rPr>
                <w:sz w:val="16"/>
              </w:rPr>
              <w:t>Model recall</w:t>
            </w:r>
          </w:p>
        </w:tc>
        <w:tc>
          <w:tcPr>
            <w:tcW w:type="dxa" w:w="3485"/>
            <w:shd w:val="clear" w:color="auto" w:fill="F2F5F9"/>
          </w:tcPr>
          <w:p>
            <w:pPr>
              <w:spacing w:after="20" w:before="20" w:line="254" w:lineRule="auto"/>
              <w:jc w:val="center"/>
            </w:pPr>
            <w:r>
              <w:rPr>
                <w:sz w:val="16"/>
              </w:rPr>
              <w:t>0.7766</w:t>
            </w:r>
          </w:p>
        </w:tc>
        <w:tc>
          <w:tcPr>
            <w:tcW w:type="dxa" w:w="3168"/>
            <w:shd w:val="clear" w:color="auto" w:fill="F2F5F9"/>
          </w:tcPr>
          <w:p>
            <w:pPr>
              <w:spacing w:after="20" w:before="20" w:line="254" w:lineRule="auto"/>
              <w:jc w:val="center"/>
            </w:pPr>
            <w:r>
              <w:rPr>
                <w:sz w:val="16"/>
              </w:rPr>
              <w:t>measured on hold-out</w:t>
            </w:r>
          </w:p>
        </w:tc>
      </w:tr>
      <w:tr>
        <w:tc>
          <w:tcPr>
            <w:tcW w:type="dxa" w:w="2664"/>
          </w:tcPr>
          <w:p>
            <w:pPr>
              <w:spacing w:after="20" w:before="20" w:line="254" w:lineRule="auto"/>
              <w:jc w:val="left"/>
            </w:pPr>
            <w:r>
              <w:rPr>
                <w:sz w:val="16"/>
              </w:rPr>
              <w:t>Churners the model would flag</w:t>
            </w:r>
          </w:p>
        </w:tc>
        <w:tc>
          <w:tcPr>
            <w:tcW w:type="dxa" w:w="3485"/>
          </w:tcPr>
          <w:p>
            <w:pPr>
              <w:spacing w:after="20" w:before="20" w:line="254" w:lineRule="auto"/>
              <w:jc w:val="center"/>
            </w:pPr>
            <w:r>
              <w:rPr>
                <w:sz w:val="16"/>
              </w:rPr>
              <w:t>873 customers</w:t>
            </w:r>
          </w:p>
        </w:tc>
        <w:tc>
          <w:tcPr>
            <w:tcW w:type="dxa" w:w="3168"/>
          </w:tcPr>
          <w:p>
            <w:pPr>
              <w:spacing w:after="20" w:before="20" w:line="254" w:lineRule="auto"/>
              <w:jc w:val="center"/>
            </w:pPr>
            <w:r>
              <w:rPr>
                <w:sz w:val="16"/>
              </w:rPr>
              <w:t>derived</w:t>
            </w:r>
          </w:p>
        </w:tc>
      </w:tr>
      <w:tr>
        <w:tc>
          <w:tcPr>
            <w:tcW w:type="dxa" w:w="2664"/>
            <w:shd w:val="clear" w:color="auto" w:fill="F2F5F9"/>
          </w:tcPr>
          <w:p>
            <w:pPr>
              <w:spacing w:after="20" w:before="20" w:line="254" w:lineRule="auto"/>
              <w:jc w:val="left"/>
            </w:pPr>
            <w:r>
              <w:rPr>
                <w:sz w:val="16"/>
              </w:rPr>
              <w:t>Mean monthly charge</w:t>
            </w:r>
          </w:p>
        </w:tc>
        <w:tc>
          <w:tcPr>
            <w:tcW w:type="dxa" w:w="3485"/>
            <w:shd w:val="clear" w:color="auto" w:fill="F2F5F9"/>
          </w:tcPr>
          <w:p>
            <w:pPr>
              <w:spacing w:after="20" w:before="20" w:line="254" w:lineRule="auto"/>
              <w:jc w:val="center"/>
            </w:pPr>
            <w:r>
              <w:rPr>
                <w:sz w:val="16"/>
              </w:rPr>
              <w:t>77.58</w:t>
            </w:r>
          </w:p>
        </w:tc>
        <w:tc>
          <w:tcPr>
            <w:tcW w:type="dxa" w:w="3168"/>
            <w:shd w:val="clear" w:color="auto" w:fill="F2F5F9"/>
          </w:tcPr>
          <w:p>
            <w:pPr>
              <w:spacing w:after="20" w:before="20" w:line="254" w:lineRule="auto"/>
              <w:jc w:val="center"/>
            </w:pPr>
            <w:r>
              <w:rPr>
                <w:sz w:val="16"/>
              </w:rPr>
              <w:t>measured</w:t>
            </w:r>
          </w:p>
        </w:tc>
      </w:tr>
      <w:tr>
        <w:tc>
          <w:tcPr>
            <w:tcW w:type="dxa" w:w="2664"/>
          </w:tcPr>
          <w:p>
            <w:pPr>
              <w:spacing w:after="20" w:before="20" w:line="254" w:lineRule="auto"/>
              <w:jc w:val="left"/>
            </w:pPr>
            <w:r>
              <w:rPr>
                <w:sz w:val="16"/>
              </w:rPr>
              <w:t>Assumed remaining tenure</w:t>
            </w:r>
          </w:p>
        </w:tc>
        <w:tc>
          <w:tcPr>
            <w:tcW w:type="dxa" w:w="3485"/>
          </w:tcPr>
          <w:p>
            <w:pPr>
              <w:spacing w:after="20" w:before="20" w:line="254" w:lineRule="auto"/>
              <w:jc w:val="center"/>
            </w:pPr>
            <w:r>
              <w:rPr>
                <w:sz w:val="16"/>
              </w:rPr>
              <w:t>12 months</w:t>
            </w:r>
          </w:p>
        </w:tc>
        <w:tc>
          <w:tcPr>
            <w:tcW w:type="dxa" w:w="3168"/>
          </w:tcPr>
          <w:p>
            <w:pPr>
              <w:spacing w:after="20" w:before="20" w:line="254" w:lineRule="auto"/>
              <w:jc w:val="center"/>
            </w:pPr>
            <w:r>
              <w:rPr>
                <w:b/>
                <w:sz w:val="16"/>
              </w:rPr>
              <w:t>assumption</w:t>
            </w:r>
          </w:p>
        </w:tc>
      </w:tr>
      <w:tr>
        <w:tc>
          <w:tcPr>
            <w:tcW w:type="dxa" w:w="2664"/>
            <w:shd w:val="clear" w:color="auto" w:fill="F2F5F9"/>
          </w:tcPr>
          <w:p>
            <w:pPr>
              <w:spacing w:after="20" w:before="20" w:line="254" w:lineRule="auto"/>
              <w:jc w:val="left"/>
            </w:pPr>
            <w:r>
              <w:rPr>
                <w:sz w:val="16"/>
              </w:rPr>
              <w:t>Revenue at risk among flagged</w:t>
            </w:r>
          </w:p>
        </w:tc>
        <w:tc>
          <w:tcPr>
            <w:tcW w:type="dxa" w:w="3485"/>
            <w:shd w:val="clear" w:color="auto" w:fill="F2F5F9"/>
          </w:tcPr>
          <w:p>
            <w:pPr>
              <w:spacing w:after="20" w:before="20" w:line="254" w:lineRule="auto"/>
              <w:jc w:val="center"/>
            </w:pPr>
            <w:r>
              <w:rPr>
                <w:sz w:val="16"/>
              </w:rPr>
              <w:t>812 800</w:t>
            </w:r>
          </w:p>
        </w:tc>
        <w:tc>
          <w:tcPr>
            <w:tcW w:type="dxa" w:w="3168"/>
            <w:shd w:val="clear" w:color="auto" w:fill="F2F5F9"/>
          </w:tcPr>
          <w:p>
            <w:pPr>
              <w:spacing w:after="20" w:before="20" w:line="254" w:lineRule="auto"/>
              <w:jc w:val="center"/>
            </w:pPr>
            <w:r>
              <w:rPr>
                <w:sz w:val="16"/>
              </w:rPr>
              <w:t>derived</w:t>
            </w:r>
          </w:p>
        </w:tc>
      </w:tr>
      <w:tr>
        <w:tc>
          <w:tcPr>
            <w:tcW w:type="dxa" w:w="2664"/>
          </w:tcPr>
          <w:p>
            <w:pPr>
              <w:spacing w:after="20" w:before="20" w:line="254" w:lineRule="auto"/>
              <w:jc w:val="left"/>
            </w:pPr>
            <w:r>
              <w:rPr>
                <w:sz w:val="16"/>
              </w:rPr>
              <w:t>Assumed campaign success rate</w:t>
            </w:r>
          </w:p>
        </w:tc>
        <w:tc>
          <w:tcPr>
            <w:tcW w:type="dxa" w:w="3485"/>
          </w:tcPr>
          <w:p>
            <w:pPr>
              <w:spacing w:after="20" w:before="20" w:line="254" w:lineRule="auto"/>
              <w:jc w:val="center"/>
            </w:pPr>
            <w:r>
              <w:rPr>
                <w:sz w:val="16"/>
              </w:rPr>
              <w:t>30 %</w:t>
            </w:r>
          </w:p>
        </w:tc>
        <w:tc>
          <w:tcPr>
            <w:tcW w:type="dxa" w:w="3168"/>
          </w:tcPr>
          <w:p>
            <w:pPr>
              <w:spacing w:after="20" w:before="20" w:line="254" w:lineRule="auto"/>
              <w:jc w:val="center"/>
            </w:pPr>
            <w:r>
              <w:rPr>
                <w:b/>
                <w:sz w:val="16"/>
              </w:rPr>
              <w:t>assumption</w:t>
            </w:r>
          </w:p>
        </w:tc>
      </w:tr>
      <w:tr>
        <w:tc>
          <w:tcPr>
            <w:tcW w:type="dxa" w:w="2664"/>
            <w:shd w:val="clear" w:color="auto" w:fill="F2F5F9"/>
          </w:tcPr>
          <w:p>
            <w:pPr>
              <w:spacing w:after="20" w:before="20" w:line="254" w:lineRule="auto"/>
              <w:jc w:val="left"/>
            </w:pPr>
            <w:r>
              <w:rPr>
                <w:sz w:val="16"/>
              </w:rPr>
              <w:t>Expected saved revenue</w:t>
            </w:r>
          </w:p>
        </w:tc>
        <w:tc>
          <w:tcPr>
            <w:tcW w:type="dxa" w:w="3485"/>
            <w:shd w:val="clear" w:color="auto" w:fill="F2F5F9"/>
          </w:tcPr>
          <w:p>
            <w:pPr>
              <w:spacing w:after="20" w:before="20" w:line="254" w:lineRule="auto"/>
              <w:jc w:val="center"/>
            </w:pPr>
            <w:r>
              <w:rPr>
                <w:sz w:val="16"/>
              </w:rPr>
              <w:t>243 840</w:t>
            </w:r>
          </w:p>
        </w:tc>
        <w:tc>
          <w:tcPr>
            <w:tcW w:type="dxa" w:w="3168"/>
            <w:shd w:val="clear" w:color="auto" w:fill="F2F5F9"/>
          </w:tcPr>
          <w:p>
            <w:pPr>
              <w:spacing w:after="20" w:before="20" w:line="254" w:lineRule="auto"/>
              <w:jc w:val="center"/>
            </w:pPr>
            <w:r>
              <w:rPr>
                <w:sz w:val="16"/>
              </w:rPr>
              <w:t>derived</w:t>
            </w:r>
          </w:p>
        </w:tc>
      </w:tr>
      <w:tr>
        <w:tc>
          <w:tcPr>
            <w:tcW w:type="dxa" w:w="2664"/>
          </w:tcPr>
          <w:p>
            <w:pPr>
              <w:spacing w:after="20" w:before="20" w:line="254" w:lineRule="auto"/>
              <w:jc w:val="left"/>
            </w:pPr>
            <w:r>
              <w:rPr>
                <w:sz w:val="16"/>
              </w:rPr>
              <w:t>Assumed cost per offer</w:t>
            </w:r>
          </w:p>
        </w:tc>
        <w:tc>
          <w:tcPr>
            <w:tcW w:type="dxa" w:w="3485"/>
          </w:tcPr>
          <w:p>
            <w:pPr>
              <w:spacing w:after="20" w:before="20" w:line="254" w:lineRule="auto"/>
              <w:jc w:val="left"/>
            </w:pPr>
            <w:r>
              <w:rPr>
                <w:sz w:val="16"/>
              </w:rPr>
              <w:t>50 per targeted customer</w:t>
            </w:r>
          </w:p>
        </w:tc>
        <w:tc>
          <w:tcPr>
            <w:tcW w:type="dxa" w:w="3168"/>
          </w:tcPr>
          <w:p>
            <w:pPr>
              <w:spacing w:after="20" w:before="20" w:line="254" w:lineRule="auto"/>
              <w:jc w:val="center"/>
            </w:pPr>
            <w:r>
              <w:rPr>
                <w:b/>
                <w:sz w:val="16"/>
              </w:rPr>
              <w:t>assumption</w:t>
            </w:r>
          </w:p>
        </w:tc>
      </w:tr>
      <w:tr>
        <w:tc>
          <w:tcPr>
            <w:tcW w:type="dxa" w:w="2664"/>
            <w:shd w:val="clear" w:color="auto" w:fill="F2F5F9"/>
          </w:tcPr>
          <w:p>
            <w:pPr>
              <w:spacing w:after="20" w:before="20" w:line="254" w:lineRule="auto"/>
              <w:jc w:val="left"/>
            </w:pPr>
            <w:r>
              <w:rPr>
                <w:sz w:val="16"/>
              </w:rPr>
              <w:t>Customers targeted</w:t>
            </w:r>
          </w:p>
        </w:tc>
        <w:tc>
          <w:tcPr>
            <w:tcW w:type="dxa" w:w="3485"/>
            <w:shd w:val="clear" w:color="auto" w:fill="F2F5F9"/>
          </w:tcPr>
          <w:p>
            <w:pPr>
              <w:spacing w:after="20" w:before="20" w:line="254" w:lineRule="auto"/>
              <w:jc w:val="left"/>
            </w:pPr>
            <w:r>
              <w:rPr>
                <w:sz w:val="16"/>
              </w:rPr>
              <w:t>1 771 (873 true + 898 false positives at 0.4932 precision)</w:t>
            </w:r>
          </w:p>
        </w:tc>
        <w:tc>
          <w:tcPr>
            <w:tcW w:type="dxa" w:w="3168"/>
            <w:shd w:val="clear" w:color="auto" w:fill="F2F5F9"/>
          </w:tcPr>
          <w:p>
            <w:pPr>
              <w:spacing w:after="20" w:before="20" w:line="254" w:lineRule="auto"/>
              <w:jc w:val="center"/>
            </w:pPr>
            <w:r>
              <w:rPr>
                <w:sz w:val="16"/>
              </w:rPr>
              <w:t>derived</w:t>
            </w:r>
          </w:p>
        </w:tc>
      </w:tr>
      <w:tr>
        <w:tc>
          <w:tcPr>
            <w:tcW w:type="dxa" w:w="2664"/>
          </w:tcPr>
          <w:p>
            <w:pPr>
              <w:spacing w:after="20" w:before="20" w:line="254" w:lineRule="auto"/>
              <w:jc w:val="left"/>
            </w:pPr>
            <w:r>
              <w:rPr>
                <w:sz w:val="16"/>
              </w:rPr>
              <w:t>Campaign cost</w:t>
            </w:r>
          </w:p>
        </w:tc>
        <w:tc>
          <w:tcPr>
            <w:tcW w:type="dxa" w:w="3485"/>
          </w:tcPr>
          <w:p>
            <w:pPr>
              <w:spacing w:after="20" w:before="20" w:line="254" w:lineRule="auto"/>
              <w:jc w:val="center"/>
            </w:pPr>
            <w:r>
              <w:rPr>
                <w:sz w:val="16"/>
              </w:rPr>
              <w:t>88 550</w:t>
            </w:r>
          </w:p>
        </w:tc>
        <w:tc>
          <w:tcPr>
            <w:tcW w:type="dxa" w:w="3168"/>
          </w:tcPr>
          <w:p>
            <w:pPr>
              <w:spacing w:after="20" w:before="20" w:line="254" w:lineRule="auto"/>
              <w:jc w:val="center"/>
            </w:pPr>
            <w:r>
              <w:rPr>
                <w:sz w:val="16"/>
              </w:rPr>
              <w:t>derived</w:t>
            </w:r>
          </w:p>
        </w:tc>
      </w:tr>
      <w:tr>
        <w:tc>
          <w:tcPr>
            <w:tcW w:type="dxa" w:w="2664"/>
            <w:shd w:val="clear" w:color="auto" w:fill="F2F5F9"/>
          </w:tcPr>
          <w:p>
            <w:pPr>
              <w:spacing w:after="20" w:before="20" w:line="254" w:lineRule="auto"/>
              <w:jc w:val="left"/>
            </w:pPr>
            <w:r>
              <w:rPr>
                <w:b/>
                <w:sz w:val="16"/>
              </w:rPr>
              <w:t>Net benefit</w:t>
            </w:r>
          </w:p>
        </w:tc>
        <w:tc>
          <w:tcPr>
            <w:tcW w:type="dxa" w:w="3485"/>
            <w:shd w:val="clear" w:color="auto" w:fill="F2F5F9"/>
          </w:tcPr>
          <w:p>
            <w:pPr>
              <w:spacing w:after="20" w:before="20" w:line="254" w:lineRule="auto"/>
              <w:jc w:val="center"/>
            </w:pPr>
            <w:r>
              <w:rPr>
                <w:b/>
                <w:sz w:val="16"/>
              </w:rPr>
              <w:t>155 290</w:t>
            </w:r>
          </w:p>
        </w:tc>
        <w:tc>
          <w:tcPr>
            <w:tcW w:type="dxa" w:w="3168"/>
            <w:shd w:val="clear" w:color="auto" w:fill="F2F5F9"/>
          </w:tcPr>
          <w:p>
            <w:pPr>
              <w:spacing w:after="20" w:before="20" w:line="254" w:lineRule="auto"/>
              <w:jc w:val="center"/>
            </w:pPr>
            <w:r>
              <w:rPr>
                <w:b/>
                <w:sz w:val="16"/>
              </w:rPr>
              <w:t>derived</w:t>
            </w:r>
          </w:p>
        </w:tc>
      </w:tr>
      <w:tr>
        <w:tc>
          <w:tcPr>
            <w:tcW w:type="dxa" w:w="2664"/>
          </w:tcPr>
          <w:p>
            <w:pPr>
              <w:spacing w:after="20" w:before="20" w:line="254" w:lineRule="auto"/>
              <w:jc w:val="left"/>
            </w:pPr>
            <w:r>
              <w:rPr>
                <w:b/>
                <w:sz w:val="16"/>
              </w:rPr>
              <w:t>Return on retention spend</w:t>
            </w:r>
          </w:p>
        </w:tc>
        <w:tc>
          <w:tcPr>
            <w:tcW w:type="dxa" w:w="3485"/>
          </w:tcPr>
          <w:p>
            <w:pPr>
              <w:spacing w:after="20" w:before="20" w:line="254" w:lineRule="auto"/>
              <w:jc w:val="center"/>
            </w:pPr>
            <w:r>
              <w:rPr>
                <w:b/>
                <w:sz w:val="16"/>
              </w:rPr>
              <w:t>175 %</w:t>
            </w:r>
          </w:p>
        </w:tc>
        <w:tc>
          <w:tcPr>
            <w:tcW w:type="dxa" w:w="3168"/>
          </w:tcPr>
          <w:p>
            <w:pPr>
              <w:spacing w:after="20" w:before="20" w:line="254" w:lineRule="auto"/>
              <w:jc w:val="center"/>
            </w:pPr>
            <w:r>
              <w:rPr>
                <w:b/>
                <w:sz w:val="16"/>
              </w:rPr>
              <w:t>derived</w:t>
            </w:r>
          </w:p>
        </w:tc>
      </w:tr>
    </w:tbl>
    <w:p>
      <w:pPr>
        <w:spacing w:before="80" w:after="200"/>
        <w:jc w:val="center"/>
      </w:pPr>
      <w:r>
        <w:rPr>
          <w:i/>
          <w:color w:val="555F6B"/>
          <w:sz w:val="17"/>
        </w:rPr>
        <w:t>Table 35: Illustrative campaign economics for the highest-risk segment. Measured inputs and stated assumptions are distinguished explicitly.</w:t>
      </w:r>
    </w:p>
    <w:tbl>
      <w:tblPr>
        <w:tblStyle w:val="TableGrid"/>
        <w:tblW w:type="auto" w:w="0"/>
        <w:tblLayout w:type="fixed"/>
        <w:tblLook w:firstColumn="1" w:firstRow="1" w:lastColumn="0" w:lastRow="0" w:noHBand="0" w:noVBand="1" w:val="04A0"/>
        <w:tblLayout w:type="fixed"/>
        <w:tblCellMar>
          <w:top w:w="76" w:type="dxa"/>
          <w:left w:w="110" w:type="dxa"/>
          <w:bottom w:w="76" w:type="dxa"/>
          <w:right w:w="100" w:type="dxa"/>
        </w:tblCellMar>
      </w:tblPr>
      <w:tblGrid>
        <w:gridCol w:w="9316"/>
      </w:tblGrid>
      <w:tr>
        <w:tc>
          <w:tcPr>
            <w:tcW w:type="dxa" w:w="9317"/>
            <w:shd w:val="clear" w:color="auto" w:fill="FFF6E5"/>
          </w:tcPr>
          <w:p>
            <w:pPr>
              <w:spacing w:after="40"/>
            </w:pPr>
            <w:r>
              <w:rPr>
                <w:b/>
                <w:color w:val="8A5A10"/>
                <w:sz w:val="19"/>
              </w:rPr>
              <w:t>These economics are an illustration, not a forecast.</w:t>
            </w:r>
          </w:p>
          <w:p>
            <w:pPr>
              <w:spacing w:after="0"/>
              <w:jc w:val="both"/>
            </w:pPr>
            <w:r>
              <w:rPr>
                <w:sz w:val="19"/>
              </w:rPr>
              <w:t>The segment sizes, churn rates, recall and precision are measured values taken from the executed pipeline. The 30 % campaign success rate, the 50-unit offer cost and the twelve-month remaining-tenure assumption are not — the project holds no campaign-outcome data, so these three inputs cannot be validated from the data. The calculation shows the shape of the business case and the sensitivity of the return to each assumption; it should be re-run against observed campaign results before any budget decision rests on it.</w:t>
            </w:r>
          </w:p>
        </w:tc>
      </w:tr>
    </w:tbl>
    <w:p>
      <w:pPr>
        <w:spacing w:after="120"/>
      </w:pPr>
    </w:p>
    <w:p>
      <w:r>
        <w:br w:type="page"/>
      </w:r>
    </w:p>
    <w:p>
      <w:pPr>
        <w:spacing w:after="0"/>
      </w:pPr>
    </w:p>
    <w:p>
      <w:pPr>
        <w:keepNext/>
        <w:spacing w:before="80" w:after="40"/>
        <w:pBdr>
          <w:bottom w:val="single" w:sz="10" w:space="3" w:color="1B355E"/>
        </w:pBdr>
      </w:pPr>
      <w:r>
        <w:rPr>
          <w:rFonts w:ascii="Calibri" w:hAnsi="Calibri"/>
          <w:b/>
          <w:color w:val="1B355E"/>
          <w:sz w:val="30"/>
        </w:rPr>
        <w:t>14.  Step-by-Step Configuration and Execution Guide</w:t>
      </w:r>
    </w:p>
    <w:p>
      <w:pPr>
        <w:spacing w:after="40"/>
      </w:pPr>
    </w:p>
    <w:p>
      <w:pPr>
        <w:keepNext/>
        <w:spacing w:before="240" w:after="80"/>
      </w:pPr>
      <w:r>
        <w:rPr>
          <w:rFonts w:ascii="Calibri" w:hAnsi="Calibri"/>
          <w:b/>
          <w:color w:val="1B355E"/>
          <w:sz w:val="25"/>
        </w:rPr>
        <w:t>14.1  Prerequisites</w:t>
      </w:r>
    </w:p>
    <w:p>
      <w:pPr>
        <w:spacing w:after="80" w:line="264" w:lineRule="auto"/>
        <w:ind w:left="806" w:hanging="490"/>
        <w:jc w:val="both"/>
        <w:tabs>
          <w:tab w:val="left" w:pos="806"/>
        </w:tabs>
      </w:pPr>
      <w:r>
        <w:rPr>
          <w:b/>
          <w:color w:val="0B5C7A"/>
          <w:sz w:val="21"/>
        </w:rPr>
        <w:t>1.</w:t>
      </w:r>
      <w:r>
        <w:rPr>
          <w:sz w:val="21"/>
        </w:rPr>
        <w:tab/>
      </w:r>
      <w:r>
        <w:rPr>
          <w:sz w:val="21"/>
        </w:rPr>
        <w:t>Python 3.10 or later installed and available on the system path. The pipeline was verified on 3.13.13.</w:t>
      </w:r>
    </w:p>
    <w:p>
      <w:pPr>
        <w:spacing w:after="80" w:line="264" w:lineRule="auto"/>
        <w:ind w:left="806" w:hanging="490"/>
        <w:jc w:val="both"/>
        <w:tabs>
          <w:tab w:val="left" w:pos="806"/>
        </w:tabs>
      </w:pPr>
      <w:r>
        <w:rPr>
          <w:b/>
          <w:color w:val="0B5C7A"/>
          <w:sz w:val="21"/>
        </w:rPr>
        <w:t>2.</w:t>
      </w:r>
      <w:r>
        <w:rPr>
          <w:sz w:val="21"/>
        </w:rPr>
        <w:tab/>
      </w:r>
      <w:r>
        <w:rPr>
          <w:sz w:val="21"/>
        </w:rPr>
        <w:t>Approximately 500 MB of free disk space for the virtual environment, and a further 10 MB for generated artefacts.</w:t>
      </w:r>
    </w:p>
    <w:p>
      <w:pPr>
        <w:spacing w:after="80" w:line="264" w:lineRule="auto"/>
        <w:ind w:left="806" w:hanging="490"/>
        <w:jc w:val="both"/>
        <w:tabs>
          <w:tab w:val="left" w:pos="806"/>
        </w:tabs>
      </w:pPr>
      <w:r>
        <w:rPr>
          <w:b/>
          <w:color w:val="0B5C7A"/>
          <w:sz w:val="21"/>
        </w:rPr>
        <w:t>3.</w:t>
      </w:r>
      <w:r>
        <w:rPr>
          <w:sz w:val="21"/>
        </w:rPr>
        <w:tab/>
      </w:r>
      <w:r>
        <w:rPr>
          <w:sz w:val="21"/>
        </w:rPr>
        <w:t>The raw dataset present at data/Customer-Churn.csv relative to the working directory. Every path inside the scripts is relative to that directory.</w:t>
      </w:r>
    </w:p>
    <w:p>
      <w:pPr>
        <w:spacing w:after="80" w:line="264" w:lineRule="auto"/>
        <w:ind w:left="806" w:hanging="490"/>
        <w:jc w:val="both"/>
        <w:tabs>
          <w:tab w:val="left" w:pos="806"/>
        </w:tabs>
      </w:pPr>
      <w:r>
        <w:rPr>
          <w:b/>
          <w:color w:val="0B5C7A"/>
          <w:sz w:val="21"/>
        </w:rPr>
        <w:t>4.</w:t>
      </w:r>
      <w:r>
        <w:rPr>
          <w:sz w:val="21"/>
        </w:rPr>
        <w:tab/>
      </w:r>
      <w:r>
        <w:rPr>
          <w:sz w:val="21"/>
        </w:rPr>
        <w:t>At least 4 GB of available RAM. Phase 6 trains ensembles with 2 000 estimators and parallelises across all cores.</w:t>
      </w:r>
    </w:p>
    <w:p>
      <w:pPr>
        <w:keepNext/>
        <w:spacing w:before="240" w:after="80"/>
      </w:pPr>
      <w:r>
        <w:rPr>
          <w:rFonts w:ascii="Calibri" w:hAnsi="Calibri"/>
          <w:b/>
          <w:color w:val="1B355E"/>
          <w:sz w:val="25"/>
        </w:rPr>
        <w:t>14.2  Step 1 — Prepare the environment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REM Open PowerShell or Command Prompt and move into the working directory.</w:t>
            </w:r>
          </w:p>
          <w:p>
            <w:pPr>
              <w:spacing w:after="0" w:before="0" w:line="240" w:lineRule="auto"/>
            </w:pPr>
            <w:r>
              <w:rPr>
                <w:rFonts w:ascii="Consolas" w:hAnsi="Consolas" w:eastAsia="Consolas"/>
                <w:color w:val="1A232E"/>
                <w:sz w:val="16"/>
              </w:rPr>
              <w:t>REM Every script uses relative paths, so this directory must be current.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cd "C:\Users\user\Desktop\Customer churn prediction\churn_project\customer_churn"</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REM Create and activate an isolated environment</w:t>
            </w:r>
          </w:p>
          <w:p>
            <w:pPr>
              <w:spacing w:after="0" w:before="0" w:line="240" w:lineRule="auto"/>
            </w:pPr>
            <w:r>
              <w:rPr>
                <w:rFonts w:ascii="Consolas" w:hAnsi="Consolas" w:eastAsia="Consolas"/>
                <w:color w:val="1A232E"/>
                <w:sz w:val="16"/>
              </w:rPr>
              <w:t>python -m venv .venv</w:t>
            </w:r>
          </w:p>
          <w:p>
            <w:pPr>
              <w:spacing w:after="0" w:before="0" w:line="240" w:lineRule="auto"/>
            </w:pPr>
            <w:r>
              <w:rPr>
                <w:rFonts w:ascii="Consolas" w:hAnsi="Consolas" w:eastAsia="Consolas"/>
                <w:color w:val="1A232E"/>
                <w:sz w:val="16"/>
              </w:rPr>
              <w:t>.venv\Scripts\activate</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REM Install every dependency the six phases require</w:t>
            </w:r>
          </w:p>
          <w:p>
            <w:pPr>
              <w:spacing w:after="0" w:before="0" w:line="240" w:lineRule="auto"/>
            </w:pPr>
            <w:r>
              <w:rPr>
                <w:rFonts w:ascii="Consolas" w:hAnsi="Consolas" w:eastAsia="Consolas"/>
                <w:color w:val="1A232E"/>
                <w:sz w:val="16"/>
              </w:rPr>
              <w:t>python -m pip install --upgrade pip</w:t>
            </w:r>
          </w:p>
          <w:p>
            <w:pPr>
              <w:spacing w:after="0" w:before="0" w:line="240" w:lineRule="auto"/>
            </w:pPr>
            <w:r>
              <w:rPr>
                <w:rFonts w:ascii="Consolas" w:hAnsi="Consolas" w:eastAsia="Consolas"/>
                <w:color w:val="1A232E"/>
                <w:sz w:val="16"/>
              </w:rPr>
              <w:t>python -m pip install pandas numpy scikit-learn matplotlib seaborn xgboost joblib</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REM Verify that all imports resolve, including xgboost</w:t>
            </w:r>
          </w:p>
          <w:p>
            <w:pPr>
              <w:spacing w:after="0" w:before="0" w:line="240" w:lineRule="auto"/>
            </w:pPr>
            <w:r>
              <w:rPr>
                <w:rFonts w:ascii="Consolas" w:hAnsi="Consolas" w:eastAsia="Consolas"/>
                <w:color w:val="1A232E"/>
                <w:sz w:val="16"/>
              </w:rPr>
              <w:t>python -c "import pandas, numpy, sklearn, matplotlib, seaborn, xgboost, joblib; print('environment ok')"</w:t>
            </w:r>
          </w:p>
        </w:tc>
      </w:tr>
    </w:tbl>
    <w:p>
      <w:pPr>
        <w:spacing w:before="60" w:after="180"/>
        <w:jc w:val="center"/>
      </w:pPr>
      <w:r>
        <w:rPr>
          <w:i/>
          <w:color w:val="555F6B"/>
          <w:sz w:val="17"/>
        </w:rPr>
        <w:t>Listing 4: Environment preparation. The final check must print "environment ok" before proceeding.</w:t>
      </w:r>
    </w:p>
    <w:p>
      <w:pPr>
        <w:keepNext/>
        <w:spacing w:before="240" w:after="80"/>
      </w:pPr>
      <w:r>
        <w:rPr>
          <w:rFonts w:ascii="Calibri" w:hAnsi="Calibri"/>
          <w:b/>
          <w:color w:val="1B355E"/>
          <w:sz w:val="25"/>
        </w:rPr>
        <w:t>14.3  Step 2 — Confirm the folder layout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REM The data folder must already contain the raw file.</w:t>
            </w:r>
          </w:p>
          <w:p>
            <w:pPr>
              <w:spacing w:after="0" w:before="0" w:line="240" w:lineRule="auto"/>
            </w:pPr>
            <w:r>
              <w:rPr>
                <w:rFonts w:ascii="Consolas" w:hAnsi="Consolas" w:eastAsia="Consolas"/>
                <w:color w:val="1A232E"/>
                <w:sz w:val="16"/>
              </w:rPr>
              <w:t>REM The charts and models folders are created automatically by the scripts,</w:t>
            </w:r>
          </w:p>
          <w:p>
            <w:pPr>
              <w:spacing w:after="0" w:before="0" w:line="240" w:lineRule="auto"/>
            </w:pPr>
            <w:r>
              <w:rPr>
                <w:rFonts w:ascii="Consolas" w:hAnsi="Consolas" w:eastAsia="Consolas"/>
                <w:color w:val="1A232E"/>
                <w:sz w:val="16"/>
              </w:rPr>
              <w:t>REM but creating them ahead of time does no harm.</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dir data\Customer-Churn.csv</w:t>
            </w:r>
          </w:p>
          <w:p>
            <w:pPr>
              <w:spacing w:after="0" w:before="0" w:line="240" w:lineRule="auto"/>
            </w:pPr>
            <w:r>
              <w:rPr>
                <w:rFonts w:ascii="Consolas" w:hAnsi="Consolas" w:eastAsia="Consolas"/>
                <w:color w:val="1A232E"/>
                <w:sz w:val="16"/>
              </w:rPr>
              <w:t>if not exist charts mkdir charts</w:t>
            </w:r>
          </w:p>
          <w:p>
            <w:pPr>
              <w:spacing w:after="0" w:before="0" w:line="240" w:lineRule="auto"/>
            </w:pPr>
            <w:r>
              <w:rPr>
                <w:rFonts w:ascii="Consolas" w:hAnsi="Consolas" w:eastAsia="Consolas"/>
                <w:color w:val="1A232E"/>
                <w:sz w:val="16"/>
              </w:rPr>
              <w:t>if not exist models mkdir models</w:t>
            </w:r>
          </w:p>
        </w:tc>
      </w:tr>
    </w:tbl>
    <w:p>
      <w:pPr>
        <w:spacing w:before="60" w:after="180"/>
        <w:jc w:val="center"/>
      </w:pPr>
      <w:r>
        <w:rPr>
          <w:i/>
          <w:color w:val="555F6B"/>
          <w:sz w:val="17"/>
        </w:rPr>
        <w:t>Listing 5: Confirming the input file and preparing the output folders.</w:t>
      </w:r>
    </w:p>
    <w:p>
      <w:pPr>
        <w:keepNext/>
        <w:spacing w:before="240" w:after="80"/>
      </w:pPr>
      <w:r>
        <w:rPr>
          <w:rFonts w:ascii="Calibri" w:hAnsi="Calibri"/>
          <w:b/>
          <w:color w:val="1B355E"/>
          <w:sz w:val="25"/>
        </w:rPr>
        <w:t>14.4  Step 3 — Execute the phases in order</w:t>
      </w:r>
    </w:p>
    <w:p>
      <w:pPr>
        <w:spacing w:after="120" w:before="0"/>
        <w:jc w:val="both"/>
      </w:pPr>
      <w:r>
        <w:rPr>
          <w:b w:val="0"/>
          <w:i w:val="0"/>
          <w:sz w:val="21"/>
        </w:rPr>
        <w:t>The scripts must be run in numerical sequence, because each reads a file the previous one wrote. Run them one at a time and confirm each completes before starting the next.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python phase1_data_understanding.py</w:t>
            </w:r>
          </w:p>
          <w:p>
            <w:pPr>
              <w:spacing w:after="0" w:before="0" w:line="240" w:lineRule="auto"/>
            </w:pPr>
            <w:r>
              <w:rPr>
                <w:rFonts w:ascii="Consolas" w:hAnsi="Consolas" w:eastAsia="Consolas"/>
                <w:color w:val="1A232E"/>
                <w:sz w:val="16"/>
              </w:rPr>
              <w:t>REM  ~2 s   prints the data profile; writes nothing</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python phase2_data_cleaning.py</w:t>
            </w:r>
          </w:p>
          <w:p>
            <w:pPr>
              <w:spacing w:after="0" w:before="0" w:line="240" w:lineRule="auto"/>
            </w:pPr>
            <w:r>
              <w:rPr>
                <w:rFonts w:ascii="Consolas" w:hAnsi="Consolas" w:eastAsia="Consolas"/>
                <w:color w:val="1A232E"/>
                <w:sz w:val="16"/>
              </w:rPr>
              <w:t>REM  ~3 s   writes data/Customer-Churn-Cleaned.csv</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python phase3_eda.py</w:t>
            </w:r>
          </w:p>
          <w:p>
            <w:pPr>
              <w:spacing w:after="0" w:before="0" w:line="240" w:lineRule="auto"/>
            </w:pPr>
            <w:r>
              <w:rPr>
                <w:rFonts w:ascii="Consolas" w:hAnsi="Consolas" w:eastAsia="Consolas"/>
                <w:color w:val="1A232E"/>
                <w:sz w:val="16"/>
              </w:rPr>
              <w:t>REM  ~20 s  writes 9 charts into charts/</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python phase4_feature_engineering.py</w:t>
            </w:r>
          </w:p>
          <w:p>
            <w:pPr>
              <w:spacing w:after="0" w:before="0" w:line="240" w:lineRule="auto"/>
            </w:pPr>
            <w:r>
              <w:rPr>
                <w:rFonts w:ascii="Consolas" w:hAnsi="Consolas" w:eastAsia="Consolas"/>
                <w:color w:val="1A232E"/>
                <w:sz w:val="16"/>
              </w:rPr>
              <w:t>REM  ~4 s   writes data/Customer-Churn-Model-Ready.csv</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python phase5_customer_segmentation.py</w:t>
            </w:r>
          </w:p>
          <w:p>
            <w:pPr>
              <w:spacing w:after="0" w:before="0" w:line="240" w:lineRule="auto"/>
            </w:pPr>
            <w:r>
              <w:rPr>
                <w:rFonts w:ascii="Consolas" w:hAnsi="Consolas" w:eastAsia="Consolas"/>
                <w:color w:val="1A232E"/>
                <w:sz w:val="16"/>
              </w:rPr>
              <w:t>REM  ~30 s  writes data/Customer-Churn-Segmented.csv and 4 charts</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python phase6_model_development.py</w:t>
            </w:r>
          </w:p>
          <w:p>
            <w:pPr>
              <w:spacing w:after="0" w:before="0" w:line="240" w:lineRule="auto"/>
            </w:pPr>
            <w:r>
              <w:rPr>
                <w:rFonts w:ascii="Consolas" w:hAnsi="Consolas" w:eastAsia="Consolas"/>
                <w:color w:val="1A232E"/>
                <w:sz w:val="16"/>
              </w:rPr>
              <w:t>REM  15-45 min  trains 5 models and runs a 150-fit randomized search;</w:t>
            </w:r>
          </w:p>
          <w:p>
            <w:pPr>
              <w:spacing w:after="0" w:before="0" w:line="240" w:lineRule="auto"/>
            </w:pPr>
            <w:r>
              <w:rPr>
                <w:rFonts w:ascii="Consolas" w:hAnsi="Consolas" w:eastAsia="Consolas"/>
                <w:color w:val="1A232E"/>
                <w:sz w:val="16"/>
              </w:rPr>
              <w:t>REM             writes models/best_churn_model.joblib, the metric CSV and 3 charts</w:t>
            </w:r>
          </w:p>
        </w:tc>
      </w:tr>
    </w:tbl>
    <w:p>
      <w:pPr>
        <w:spacing w:before="60" w:after="180"/>
        <w:jc w:val="center"/>
      </w:pPr>
      <w:r>
        <w:rPr>
          <w:i/>
          <w:color w:val="555F6B"/>
          <w:sz w:val="17"/>
        </w:rPr>
        <w:t>Listing 6: The complete execution sequence with indicative runtimes.</w:t>
      </w:r>
    </w:p>
    <w:p>
      <w:pPr>
        <w:spacing w:after="120" w:before="0"/>
        <w:jc w:val="both"/>
      </w:pPr>
      <w:r>
        <w:rPr>
          <w:b w:val="0"/>
          <w:i w:val="0"/>
          <w:sz w:val="21"/>
        </w:rPr>
        <w:t>To run the whole pipeline unattended, chain the commands so that a failure in any phase halts the sequence rather than letting later phases run against stale input:</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REM Command Prompt — &amp;&amp; stops the chain on a non-zero exit code</w:t>
            </w:r>
          </w:p>
          <w:p>
            <w:pPr>
              <w:spacing w:after="0" w:before="0" w:line="240" w:lineRule="auto"/>
            </w:pPr>
            <w:r>
              <w:rPr>
                <w:rFonts w:ascii="Consolas" w:hAnsi="Consolas" w:eastAsia="Consolas"/>
                <w:color w:val="1A232E"/>
                <w:sz w:val="16"/>
              </w:rPr>
              <w:t>python phase1_data_understanding.py &amp;&amp; python phase2_data_cleaning.py &amp;&amp; ^</w:t>
            </w:r>
          </w:p>
          <w:p>
            <w:pPr>
              <w:spacing w:after="0" w:before="0" w:line="240" w:lineRule="auto"/>
            </w:pPr>
            <w:r>
              <w:rPr>
                <w:rFonts w:ascii="Consolas" w:hAnsi="Consolas" w:eastAsia="Consolas"/>
                <w:color w:val="1A232E"/>
                <w:sz w:val="16"/>
              </w:rPr>
              <w:t>python phase3_eda.py &amp;&amp; python phase4_feature_engineering.py &amp;&amp; ^</w:t>
            </w:r>
          </w:p>
          <w:p>
            <w:pPr>
              <w:spacing w:after="0" w:before="0" w:line="240" w:lineRule="auto"/>
            </w:pPr>
            <w:r>
              <w:rPr>
                <w:rFonts w:ascii="Consolas" w:hAnsi="Consolas" w:eastAsia="Consolas"/>
                <w:color w:val="1A232E"/>
                <w:sz w:val="16"/>
              </w:rPr>
              <w:t>python phase5_customer_segmentation.py &amp;&amp; python phase6_model_development.py</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REM PowerShell equivalent</w:t>
            </w:r>
          </w:p>
          <w:p>
            <w:pPr>
              <w:spacing w:after="0" w:before="0" w:line="240" w:lineRule="auto"/>
            </w:pPr>
            <w:r>
              <w:rPr>
                <w:rFonts w:ascii="Consolas" w:hAnsi="Consolas" w:eastAsia="Consolas"/>
                <w:color w:val="1A232E"/>
                <w:sz w:val="16"/>
              </w:rPr>
              <w:t>foreach ($s in @("phase1_data_understanding", "phase2_data_cleaning", "phase3_eda",</w:t>
            </w:r>
          </w:p>
          <w:p>
            <w:pPr>
              <w:spacing w:after="0" w:before="0" w:line="240" w:lineRule="auto"/>
            </w:pPr>
            <w:r>
              <w:rPr>
                <w:rFonts w:ascii="Consolas" w:hAnsi="Consolas" w:eastAsia="Consolas"/>
                <w:color w:val="1A232E"/>
                <w:sz w:val="16"/>
              </w:rPr>
              <w:t xml:space="preserve">                 "phase4_feature_engineering", "phase5_customer_segmentation",</w:t>
            </w:r>
          </w:p>
          <w:p>
            <w:pPr>
              <w:spacing w:after="0" w:before="0" w:line="240" w:lineRule="auto"/>
            </w:pPr>
            <w:r>
              <w:rPr>
                <w:rFonts w:ascii="Consolas" w:hAnsi="Consolas" w:eastAsia="Consolas"/>
                <w:color w:val="1A232E"/>
                <w:sz w:val="16"/>
              </w:rPr>
              <w:t xml:space="preserve">                 "phase6_model_development")) {</w:t>
            </w:r>
          </w:p>
          <w:p>
            <w:pPr>
              <w:spacing w:after="0" w:before="0" w:line="240" w:lineRule="auto"/>
            </w:pPr>
            <w:r>
              <w:rPr>
                <w:rFonts w:ascii="Consolas" w:hAnsi="Consolas" w:eastAsia="Consolas"/>
                <w:color w:val="1A232E"/>
                <w:sz w:val="16"/>
              </w:rPr>
              <w:t xml:space="preserve">    python "$s.py"</w:t>
            </w:r>
          </w:p>
          <w:p>
            <w:pPr>
              <w:spacing w:after="0" w:before="0" w:line="240" w:lineRule="auto"/>
            </w:pPr>
            <w:r>
              <w:rPr>
                <w:rFonts w:ascii="Consolas" w:hAnsi="Consolas" w:eastAsia="Consolas"/>
                <w:color w:val="1A232E"/>
                <w:sz w:val="16"/>
              </w:rPr>
              <w:t xml:space="preserve">    if ($LASTEXITCODE -ne 0) { Write-Host "FAILED: $s"; break }</w:t>
            </w:r>
          </w:p>
          <w:p>
            <w:pPr>
              <w:spacing w:after="0" w:before="0" w:line="240" w:lineRule="auto"/>
            </w:pPr>
            <w:r>
              <w:rPr>
                <w:rFonts w:ascii="Consolas" w:hAnsi="Consolas" w:eastAsia="Consolas"/>
                <w:color w:val="1A232E"/>
                <w:sz w:val="16"/>
              </w:rPr>
              <w:t>}</w:t>
            </w:r>
          </w:p>
        </w:tc>
      </w:tr>
    </w:tbl>
    <w:p>
      <w:pPr>
        <w:spacing w:before="60" w:after="180"/>
        <w:jc w:val="center"/>
      </w:pPr>
      <w:r>
        <w:rPr>
          <w:i/>
          <w:color w:val="555F6B"/>
          <w:sz w:val="17"/>
        </w:rPr>
        <w:t>Listing 7: Unattended execution of the full pipeline.</w:t>
      </w:r>
    </w:p>
    <w:p>
      <w:pPr>
        <w:keepNext/>
        <w:spacing w:before="240" w:after="80"/>
      </w:pPr>
      <w:r>
        <w:rPr>
          <w:rFonts w:ascii="Calibri" w:hAnsi="Calibri"/>
          <w:b/>
          <w:color w:val="1B355E"/>
          <w:sz w:val="25"/>
        </w:rPr>
        <w:t>14.5  Step 4 — Verify the outputs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180"/>
        <w:gridCol w:w="3671"/>
        <w:gridCol w:w="4464"/>
      </w:tblGrid>
      <w:tr>
        <w:tc>
          <w:tcPr>
            <w:tcW w:type="dxa" w:w="1181"/>
            <w:shd w:val="clear" w:color="auto" w:fill="1B355E"/>
          </w:tcPr>
          <w:p>
            <w:pPr>
              <w:spacing w:after="20" w:before="20"/>
              <w:jc w:val="center"/>
            </w:pPr>
            <w:r>
              <w:rPr>
                <w:b/>
                <w:color w:val="FFFFFF"/>
                <w:sz w:val="17"/>
              </w:rPr>
              <w:t>After phase</w:t>
            </w:r>
          </w:p>
        </w:tc>
        <w:tc>
          <w:tcPr>
            <w:tcW w:type="dxa" w:w="3672"/>
            <w:shd w:val="clear" w:color="auto" w:fill="1B355E"/>
          </w:tcPr>
          <w:p>
            <w:pPr>
              <w:spacing w:after="20" w:before="20"/>
              <w:jc w:val="center"/>
            </w:pPr>
            <w:r>
              <w:rPr>
                <w:b/>
                <w:color w:val="FFFFFF"/>
                <w:sz w:val="17"/>
              </w:rPr>
              <w:t>Expected artefact</w:t>
            </w:r>
          </w:p>
        </w:tc>
        <w:tc>
          <w:tcPr>
            <w:tcW w:type="dxa" w:w="4464"/>
            <w:shd w:val="clear" w:color="auto" w:fill="1B355E"/>
          </w:tcPr>
          <w:p>
            <w:pPr>
              <w:spacing w:after="20" w:before="20"/>
              <w:jc w:val="center"/>
            </w:pPr>
            <w:r>
              <w:rPr>
                <w:b/>
                <w:color w:val="FFFFFF"/>
                <w:sz w:val="17"/>
              </w:rPr>
              <w:t>Verification</w:t>
            </w:r>
          </w:p>
        </w:tc>
      </w:tr>
      <w:tr>
        <w:tc>
          <w:tcPr>
            <w:tcW w:type="dxa" w:w="1181"/>
          </w:tcPr>
          <w:p>
            <w:pPr>
              <w:spacing w:after="20" w:before="20" w:line="254" w:lineRule="auto"/>
              <w:jc w:val="left"/>
            </w:pPr>
            <w:r>
              <w:rPr>
                <w:sz w:val="16"/>
              </w:rPr>
              <w:t>2</w:t>
            </w:r>
          </w:p>
        </w:tc>
        <w:tc>
          <w:tcPr>
            <w:tcW w:type="dxa" w:w="3672"/>
          </w:tcPr>
          <w:p>
            <w:pPr>
              <w:spacing w:after="20" w:before="20" w:line="254" w:lineRule="auto"/>
              <w:jc w:val="left"/>
            </w:pPr>
            <w:r>
              <w:rPr>
                <w:rFonts w:ascii="Consolas" w:hAnsi="Consolas" w:eastAsia="Consolas"/>
                <w:color w:val="8A2C1F"/>
                <w:sz w:val="15"/>
              </w:rPr>
              <w:t>data/Customer-Churn-Cleaned.csv</w:t>
            </w:r>
          </w:p>
        </w:tc>
        <w:tc>
          <w:tcPr>
            <w:tcW w:type="dxa" w:w="4464"/>
          </w:tcPr>
          <w:p>
            <w:pPr>
              <w:spacing w:after="20" w:before="20" w:line="254" w:lineRule="auto"/>
              <w:jc w:val="left"/>
            </w:pPr>
            <w:r>
              <w:rPr>
                <w:sz w:val="16"/>
              </w:rPr>
              <w:t>7 044 lines including the header; no blank cells</w:t>
            </w:r>
          </w:p>
        </w:tc>
      </w:tr>
      <w:tr>
        <w:tc>
          <w:tcPr>
            <w:tcW w:type="dxa" w:w="1181"/>
            <w:shd w:val="clear" w:color="auto" w:fill="F2F5F9"/>
          </w:tcPr>
          <w:p>
            <w:pPr>
              <w:spacing w:after="20" w:before="20" w:line="254" w:lineRule="auto"/>
              <w:jc w:val="left"/>
            </w:pPr>
            <w:r>
              <w:rPr>
                <w:sz w:val="16"/>
              </w:rPr>
              <w:t>3</w:t>
            </w:r>
          </w:p>
        </w:tc>
        <w:tc>
          <w:tcPr>
            <w:tcW w:type="dxa" w:w="3672"/>
            <w:shd w:val="clear" w:color="auto" w:fill="F2F5F9"/>
          </w:tcPr>
          <w:p>
            <w:pPr>
              <w:spacing w:after="20" w:before="20" w:line="254" w:lineRule="auto"/>
              <w:jc w:val="left"/>
            </w:pPr>
            <w:r>
              <w:rPr>
                <w:sz w:val="16"/>
              </w:rPr>
              <w:t xml:space="preserve">9 files matching </w:t>
            </w:r>
            <w:r>
              <w:rPr>
                <w:rFonts w:ascii="Consolas" w:hAnsi="Consolas" w:eastAsia="Consolas"/>
                <w:color w:val="8A2C1F"/>
                <w:sz w:val="15"/>
              </w:rPr>
              <w:t>charts/phase3_*.png</w:t>
            </w:r>
          </w:p>
        </w:tc>
        <w:tc>
          <w:tcPr>
            <w:tcW w:type="dxa" w:w="4464"/>
            <w:shd w:val="clear" w:color="auto" w:fill="F2F5F9"/>
          </w:tcPr>
          <w:p>
            <w:pPr>
              <w:spacing w:after="20" w:before="20" w:line="254" w:lineRule="auto"/>
              <w:jc w:val="left"/>
            </w:pPr>
            <w:r>
              <w:rPr>
                <w:sz w:val="16"/>
              </w:rPr>
              <w:t>all nine present and non-empty</w:t>
            </w:r>
          </w:p>
        </w:tc>
      </w:tr>
      <w:tr>
        <w:tc>
          <w:tcPr>
            <w:tcW w:type="dxa" w:w="1181"/>
          </w:tcPr>
          <w:p>
            <w:pPr>
              <w:spacing w:after="20" w:before="20" w:line="254" w:lineRule="auto"/>
              <w:jc w:val="left"/>
            </w:pPr>
            <w:r>
              <w:rPr>
                <w:sz w:val="16"/>
              </w:rPr>
              <w:t>4</w:t>
            </w:r>
          </w:p>
        </w:tc>
        <w:tc>
          <w:tcPr>
            <w:tcW w:type="dxa" w:w="3672"/>
          </w:tcPr>
          <w:p>
            <w:pPr>
              <w:spacing w:after="20" w:before="20" w:line="254" w:lineRule="auto"/>
              <w:jc w:val="left"/>
            </w:pPr>
            <w:r>
              <w:rPr>
                <w:rFonts w:ascii="Consolas" w:hAnsi="Consolas" w:eastAsia="Consolas"/>
                <w:color w:val="8A2C1F"/>
                <w:sz w:val="15"/>
              </w:rPr>
              <w:t>data/Customer-Churn-Model-Ready.csv</w:t>
            </w:r>
          </w:p>
        </w:tc>
        <w:tc>
          <w:tcPr>
            <w:tcW w:type="dxa" w:w="4464"/>
          </w:tcPr>
          <w:p>
            <w:pPr>
              <w:spacing w:after="20" w:before="20" w:line="254" w:lineRule="auto"/>
              <w:jc w:val="left"/>
            </w:pPr>
            <w:r>
              <w:rPr>
                <w:sz w:val="16"/>
              </w:rPr>
              <w:t>36 columns; all values numeric</w:t>
            </w:r>
          </w:p>
        </w:tc>
      </w:tr>
      <w:tr>
        <w:tc>
          <w:tcPr>
            <w:tcW w:type="dxa" w:w="1181"/>
            <w:shd w:val="clear" w:color="auto" w:fill="F2F5F9"/>
          </w:tcPr>
          <w:p>
            <w:pPr>
              <w:spacing w:after="20" w:before="20" w:line="254" w:lineRule="auto"/>
              <w:jc w:val="left"/>
            </w:pPr>
            <w:r>
              <w:rPr>
                <w:sz w:val="16"/>
              </w:rPr>
              <w:t>5</w:t>
            </w:r>
          </w:p>
        </w:tc>
        <w:tc>
          <w:tcPr>
            <w:tcW w:type="dxa" w:w="3672"/>
            <w:shd w:val="clear" w:color="auto" w:fill="F2F5F9"/>
          </w:tcPr>
          <w:p>
            <w:pPr>
              <w:spacing w:after="20" w:before="20" w:line="254" w:lineRule="auto"/>
              <w:jc w:val="left"/>
            </w:pPr>
            <w:r>
              <w:rPr>
                <w:rFonts w:ascii="Consolas" w:hAnsi="Consolas" w:eastAsia="Consolas"/>
                <w:color w:val="8A2C1F"/>
                <w:sz w:val="15"/>
              </w:rPr>
              <w:t>data/Customer-Churn-Segmented.csv</w:t>
            </w:r>
          </w:p>
        </w:tc>
        <w:tc>
          <w:tcPr>
            <w:tcW w:type="dxa" w:w="4464"/>
            <w:shd w:val="clear" w:color="auto" w:fill="F2F5F9"/>
          </w:tcPr>
          <w:p>
            <w:pPr>
              <w:spacing w:after="20" w:before="20" w:line="254" w:lineRule="auto"/>
              <w:jc w:val="left"/>
            </w:pPr>
            <w:r>
              <w:rPr>
                <w:sz w:val="16"/>
              </w:rPr>
              <w:t xml:space="preserve">25 columns including </w:t>
            </w:r>
            <w:r>
              <w:rPr>
                <w:rFonts w:ascii="Consolas" w:hAnsi="Consolas" w:eastAsia="Consolas"/>
                <w:color w:val="8A2C1F"/>
                <w:sz w:val="15"/>
              </w:rPr>
              <w:t>Cluster</w:t>
            </w:r>
            <w:r>
              <w:rPr>
                <w:sz w:val="16"/>
              </w:rPr>
              <w:t xml:space="preserve"> and </w:t>
            </w:r>
            <w:r>
              <w:rPr>
                <w:rFonts w:ascii="Consolas" w:hAnsi="Consolas" w:eastAsia="Consolas"/>
                <w:color w:val="8A2C1F"/>
                <w:sz w:val="15"/>
              </w:rPr>
              <w:t>CustomerSegment</w:t>
            </w:r>
          </w:p>
        </w:tc>
      </w:tr>
      <w:tr>
        <w:tc>
          <w:tcPr>
            <w:tcW w:type="dxa" w:w="1181"/>
          </w:tcPr>
          <w:p>
            <w:pPr>
              <w:spacing w:after="20" w:before="20" w:line="254" w:lineRule="auto"/>
              <w:jc w:val="left"/>
            </w:pPr>
            <w:r>
              <w:rPr>
                <w:sz w:val="16"/>
              </w:rPr>
              <w:t>5</w:t>
            </w:r>
          </w:p>
        </w:tc>
        <w:tc>
          <w:tcPr>
            <w:tcW w:type="dxa" w:w="3672"/>
          </w:tcPr>
          <w:p>
            <w:pPr>
              <w:spacing w:after="20" w:before="20" w:line="254" w:lineRule="auto"/>
              <w:jc w:val="left"/>
            </w:pPr>
            <w:r>
              <w:rPr>
                <w:sz w:val="16"/>
              </w:rPr>
              <w:t xml:space="preserve">4 files matching </w:t>
            </w:r>
            <w:r>
              <w:rPr>
                <w:rFonts w:ascii="Consolas" w:hAnsi="Consolas" w:eastAsia="Consolas"/>
                <w:color w:val="8A2C1F"/>
                <w:sz w:val="15"/>
              </w:rPr>
              <w:t>charts/phase5_*.png</w:t>
            </w:r>
          </w:p>
        </w:tc>
        <w:tc>
          <w:tcPr>
            <w:tcW w:type="dxa" w:w="4464"/>
          </w:tcPr>
          <w:p>
            <w:pPr>
              <w:spacing w:after="20" w:before="20" w:line="254" w:lineRule="auto"/>
              <w:jc w:val="left"/>
            </w:pPr>
            <w:r>
              <w:rPr>
                <w:sz w:val="16"/>
              </w:rPr>
              <w:t>elbow, silhouette, profiles, scatter</w:t>
            </w:r>
          </w:p>
        </w:tc>
      </w:tr>
      <w:tr>
        <w:tc>
          <w:tcPr>
            <w:tcW w:type="dxa" w:w="1181"/>
            <w:shd w:val="clear" w:color="auto" w:fill="F2F5F9"/>
          </w:tcPr>
          <w:p>
            <w:pPr>
              <w:spacing w:after="20" w:before="20" w:line="254" w:lineRule="auto"/>
              <w:jc w:val="left"/>
            </w:pPr>
            <w:r>
              <w:rPr>
                <w:sz w:val="16"/>
              </w:rPr>
              <w:t>6</w:t>
            </w:r>
          </w:p>
        </w:tc>
        <w:tc>
          <w:tcPr>
            <w:tcW w:type="dxa" w:w="3672"/>
            <w:shd w:val="clear" w:color="auto" w:fill="F2F5F9"/>
          </w:tcPr>
          <w:p>
            <w:pPr>
              <w:spacing w:after="20" w:before="20" w:line="254" w:lineRule="auto"/>
              <w:jc w:val="left"/>
            </w:pPr>
            <w:r>
              <w:rPr>
                <w:rFonts w:ascii="Consolas" w:hAnsi="Consolas" w:eastAsia="Consolas"/>
                <w:color w:val="8A2C1F"/>
                <w:sz w:val="15"/>
              </w:rPr>
              <w:t>data/phase6_model_performance.csv</w:t>
            </w:r>
          </w:p>
        </w:tc>
        <w:tc>
          <w:tcPr>
            <w:tcW w:type="dxa" w:w="4464"/>
            <w:shd w:val="clear" w:color="auto" w:fill="F2F5F9"/>
          </w:tcPr>
          <w:p>
            <w:pPr>
              <w:spacing w:after="20" w:before="20" w:line="254" w:lineRule="auto"/>
              <w:jc w:val="left"/>
            </w:pPr>
            <w:r>
              <w:rPr>
                <w:sz w:val="16"/>
              </w:rPr>
              <w:t>6 lines: header plus 5 models</w:t>
            </w:r>
          </w:p>
        </w:tc>
      </w:tr>
      <w:tr>
        <w:tc>
          <w:tcPr>
            <w:tcW w:type="dxa" w:w="1181"/>
          </w:tcPr>
          <w:p>
            <w:pPr>
              <w:spacing w:after="20" w:before="20" w:line="254" w:lineRule="auto"/>
              <w:jc w:val="left"/>
            </w:pPr>
            <w:r>
              <w:rPr>
                <w:sz w:val="16"/>
              </w:rPr>
              <w:t>6</w:t>
            </w:r>
          </w:p>
        </w:tc>
        <w:tc>
          <w:tcPr>
            <w:tcW w:type="dxa" w:w="3672"/>
          </w:tcPr>
          <w:p>
            <w:pPr>
              <w:spacing w:after="20" w:before="20" w:line="254" w:lineRule="auto"/>
              <w:jc w:val="left"/>
            </w:pPr>
            <w:r>
              <w:rPr>
                <w:rFonts w:ascii="Consolas" w:hAnsi="Consolas" w:eastAsia="Consolas"/>
                <w:color w:val="8A2C1F"/>
                <w:sz w:val="15"/>
              </w:rPr>
              <w:t>models/best_churn_model.joblib</w:t>
            </w:r>
          </w:p>
        </w:tc>
        <w:tc>
          <w:tcPr>
            <w:tcW w:type="dxa" w:w="4464"/>
          </w:tcPr>
          <w:p>
            <w:pPr>
              <w:spacing w:after="20" w:before="20" w:line="254" w:lineRule="auto"/>
              <w:jc w:val="center"/>
            </w:pPr>
            <w:r>
              <w:rPr>
                <w:sz w:val="16"/>
              </w:rPr>
              <w:t>roughly 240 KB</w:t>
            </w:r>
          </w:p>
        </w:tc>
      </w:tr>
      <w:tr>
        <w:tc>
          <w:tcPr>
            <w:tcW w:type="dxa" w:w="1181"/>
            <w:shd w:val="clear" w:color="auto" w:fill="F2F5F9"/>
          </w:tcPr>
          <w:p>
            <w:pPr>
              <w:spacing w:after="20" w:before="20" w:line="254" w:lineRule="auto"/>
              <w:jc w:val="left"/>
            </w:pPr>
            <w:r>
              <w:rPr>
                <w:sz w:val="16"/>
              </w:rPr>
              <w:t>6</w:t>
            </w:r>
          </w:p>
        </w:tc>
        <w:tc>
          <w:tcPr>
            <w:tcW w:type="dxa" w:w="3672"/>
            <w:shd w:val="clear" w:color="auto" w:fill="F2F5F9"/>
          </w:tcPr>
          <w:p>
            <w:pPr>
              <w:spacing w:after="20" w:before="20" w:line="254" w:lineRule="auto"/>
              <w:jc w:val="left"/>
            </w:pPr>
            <w:r>
              <w:rPr>
                <w:sz w:val="16"/>
              </w:rPr>
              <w:t xml:space="preserve">3 files matching </w:t>
            </w:r>
            <w:r>
              <w:rPr>
                <w:rFonts w:ascii="Consolas" w:hAnsi="Consolas" w:eastAsia="Consolas"/>
                <w:color w:val="8A2C1F"/>
                <w:sz w:val="15"/>
              </w:rPr>
              <w:t>charts/phase6_*.png</w:t>
            </w:r>
          </w:p>
        </w:tc>
        <w:tc>
          <w:tcPr>
            <w:tcW w:type="dxa" w:w="4464"/>
            <w:shd w:val="clear" w:color="auto" w:fill="F2F5F9"/>
          </w:tcPr>
          <w:p>
            <w:pPr>
              <w:spacing w:after="20" w:before="20" w:line="254" w:lineRule="auto"/>
              <w:jc w:val="left"/>
            </w:pPr>
            <w:r>
              <w:rPr>
                <w:sz w:val="16"/>
              </w:rPr>
              <w:t>ROC curves, confusion matrix, feature importance</w:t>
            </w:r>
          </w:p>
        </w:tc>
      </w:tr>
    </w:tbl>
    <w:p>
      <w:pPr>
        <w:spacing w:before="80" w:after="200"/>
        <w:jc w:val="center"/>
      </w:pPr>
      <w:r>
        <w:rPr>
          <w:i/>
          <w:color w:val="555F6B"/>
          <w:sz w:val="17"/>
        </w:rPr>
        <w:t>Table 36: Artefacts to verify after each phase completes.</w:t>
      </w:r>
    </w:p>
    <w:p>
      <w:pPr>
        <w:keepNext/>
        <w:spacing w:before="240" w:after="80"/>
      </w:pPr>
      <w:r>
        <w:rPr>
          <w:rFonts w:ascii="Calibri" w:hAnsi="Calibri"/>
          <w:b/>
          <w:color w:val="1B355E"/>
          <w:sz w:val="25"/>
        </w:rPr>
        <w:t>14.6  Step 5 — Use the trained model for prediction</w:t>
      </w:r>
    </w:p>
    <w:p>
      <w:pPr>
        <w:spacing w:after="120" w:before="0"/>
        <w:jc w:val="both"/>
      </w:pPr>
      <w:r>
        <w:rPr>
          <w:b w:val="0"/>
          <w:i w:val="0"/>
          <w:sz w:val="21"/>
        </w:rPr>
        <w:t>The serialised object is a complete scikit-learn Pipeline, not a bare estimator. It contains the fitted ColumnTransformer as its first step, which means new data can be passed in raw — the same column names and types as the segmented dataset — with no manual preprocessing whatsoever.</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import joblib</w:t>
            </w:r>
          </w:p>
          <w:p>
            <w:pPr>
              <w:spacing w:after="0" w:before="0" w:line="240" w:lineRule="auto"/>
            </w:pPr>
            <w:r>
              <w:rPr>
                <w:rFonts w:ascii="Consolas" w:hAnsi="Consolas" w:eastAsia="Consolas"/>
                <w:color w:val="1A232E"/>
                <w:sz w:val="16"/>
              </w:rPr>
              <w:t>import pandas as pd</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model = joblib.load("models/best_churn_model.joblib")</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New customers, with the same columns as Customer-Churn-Segmented.csv</w:t>
            </w:r>
          </w:p>
          <w:p>
            <w:pPr>
              <w:spacing w:after="0" w:before="0" w:line="240" w:lineRule="auto"/>
            </w:pPr>
            <w:r>
              <w:rPr>
                <w:rFonts w:ascii="Consolas" w:hAnsi="Consolas" w:eastAsia="Consolas"/>
                <w:color w:val="1A232E"/>
                <w:sz w:val="16"/>
              </w:rPr>
              <w:t># minus customerID, Churn, ChurnFlag and Cluster.</w:t>
            </w:r>
          </w:p>
          <w:p>
            <w:pPr>
              <w:spacing w:after="0" w:before="0" w:line="240" w:lineRule="auto"/>
            </w:pPr>
            <w:r>
              <w:rPr>
                <w:rFonts w:ascii="Consolas" w:hAnsi="Consolas" w:eastAsia="Consolas"/>
                <w:color w:val="1A232E"/>
                <w:sz w:val="16"/>
              </w:rPr>
              <w:t>new_customers = pd.read_csv("data/new_customers.csv")</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Column 1 of predict_proba is the probability of the positive class (churn)</w:t>
            </w:r>
          </w:p>
          <w:p>
            <w:pPr>
              <w:spacing w:after="0" w:before="0" w:line="240" w:lineRule="auto"/>
            </w:pPr>
            <w:r>
              <w:rPr>
                <w:rFonts w:ascii="Consolas" w:hAnsi="Consolas" w:eastAsia="Consolas"/>
                <w:color w:val="1A232E"/>
                <w:sz w:val="16"/>
              </w:rPr>
              <w:t>probabilities = model.predict_proba(new_customers)[:, 1]</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new_customers["ChurnProbability"] = probabilities</w:t>
            </w:r>
          </w:p>
          <w:p>
            <w:pPr>
              <w:spacing w:after="0" w:before="0" w:line="240" w:lineRule="auto"/>
            </w:pPr>
            <w:r>
              <w:rPr>
                <w:rFonts w:ascii="Consolas" w:hAnsi="Consolas" w:eastAsia="Consolas"/>
                <w:color w:val="1A232E"/>
                <w:sz w:val="16"/>
              </w:rPr>
              <w:t>new_customers["RiskBand"] = pd.cut(</w:t>
            </w:r>
          </w:p>
          <w:p>
            <w:pPr>
              <w:spacing w:after="0" w:before="0" w:line="240" w:lineRule="auto"/>
            </w:pPr>
            <w:r>
              <w:rPr>
                <w:rFonts w:ascii="Consolas" w:hAnsi="Consolas" w:eastAsia="Consolas"/>
                <w:color w:val="1A232E"/>
                <w:sz w:val="16"/>
              </w:rPr>
              <w:t xml:space="preserve">    probabilities,</w:t>
            </w:r>
          </w:p>
          <w:p>
            <w:pPr>
              <w:spacing w:after="0" w:before="0" w:line="240" w:lineRule="auto"/>
            </w:pPr>
            <w:r>
              <w:rPr>
                <w:rFonts w:ascii="Consolas" w:hAnsi="Consolas" w:eastAsia="Consolas"/>
                <w:color w:val="1A232E"/>
                <w:sz w:val="16"/>
              </w:rPr>
              <w:t xml:space="preserve">    bins=[0.0, 0.30, 0.60, 1.0],</w:t>
            </w:r>
          </w:p>
          <w:p>
            <w:pPr>
              <w:spacing w:after="0" w:before="0" w:line="240" w:lineRule="auto"/>
            </w:pPr>
            <w:r>
              <w:rPr>
                <w:rFonts w:ascii="Consolas" w:hAnsi="Consolas" w:eastAsia="Consolas"/>
                <w:color w:val="1A232E"/>
                <w:sz w:val="16"/>
              </w:rPr>
              <w:t xml:space="preserve">    labels=["Low", "Medium", "High"]</w:t>
            </w:r>
          </w:p>
          <w:p>
            <w:pPr>
              <w:spacing w:after="0" w:before="0" w:line="240" w:lineRule="auto"/>
            </w:pPr>
            <w:r>
              <w:rPr>
                <w:rFonts w:ascii="Consolas" w:hAnsi="Consolas" w:eastAsia="Consolas"/>
                <w:color w:val="1A232E"/>
                <w:sz w:val="16"/>
              </w:rPr>
              <w: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 Rank by revenue at risk rather than by probability alone</w:t>
            </w:r>
          </w:p>
          <w:p>
            <w:pPr>
              <w:spacing w:after="0" w:before="0" w:line="240" w:lineRule="auto"/>
            </w:pPr>
            <w:r>
              <w:rPr>
                <w:rFonts w:ascii="Consolas" w:hAnsi="Consolas" w:eastAsia="Consolas"/>
                <w:color w:val="1A232E"/>
                <w:sz w:val="16"/>
              </w:rPr>
              <w:t>new_customers["RevenueAtRisk"] = (</w:t>
            </w:r>
          </w:p>
          <w:p>
            <w:pPr>
              <w:spacing w:after="0" w:before="0" w:line="240" w:lineRule="auto"/>
            </w:pPr>
            <w:r>
              <w:rPr>
                <w:rFonts w:ascii="Consolas" w:hAnsi="Consolas" w:eastAsia="Consolas"/>
                <w:color w:val="1A232E"/>
                <w:sz w:val="16"/>
              </w:rPr>
              <w:t xml:space="preserve">    probabilities * new_customers["MonthlyCharges"] * 12</w:t>
            </w:r>
          </w:p>
          <w:p>
            <w:pPr>
              <w:spacing w:after="0" w:before="0" w:line="240" w:lineRule="auto"/>
            </w:pPr>
            <w:r>
              <w:rPr>
                <w:rFonts w:ascii="Consolas" w:hAnsi="Consolas" w:eastAsia="Consolas"/>
                <w:color w:val="1A232E"/>
                <w:sz w:val="16"/>
              </w:rPr>
              <w:t>)</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priority_list = new_customers.sort_values("RevenueAtRisk", ascending=False)</w:t>
            </w:r>
          </w:p>
          <w:p>
            <w:pPr>
              <w:spacing w:after="0" w:before="0" w:line="240" w:lineRule="auto"/>
            </w:pPr>
            <w:r>
              <w:rPr>
                <w:rFonts w:ascii="Consolas" w:hAnsi="Consolas" w:eastAsia="Consolas"/>
                <w:color w:val="1A232E"/>
                <w:sz w:val="16"/>
              </w:rPr>
              <w:t>priority_list.head(200).to_csv("data/retention_priority_list.csv", index=False)</w:t>
            </w:r>
          </w:p>
        </w:tc>
      </w:tr>
    </w:tbl>
    <w:p>
      <w:pPr>
        <w:spacing w:before="60" w:after="180"/>
        <w:jc w:val="center"/>
      </w:pPr>
      <w:r>
        <w:rPr>
          <w:i/>
          <w:color w:val="555F6B"/>
          <w:sz w:val="17"/>
        </w:rPr>
        <w:t>Listing 8: Scoring new customers and producing a revenue-ranked retention list.</w:t>
      </w:r>
    </w:p>
    <w:p>
      <w:pPr>
        <w:keepNext/>
        <w:spacing w:before="240" w:after="80"/>
      </w:pPr>
      <w:r>
        <w:rPr>
          <w:rFonts w:ascii="Calibri" w:hAnsi="Calibri"/>
          <w:b/>
          <w:color w:val="1B355E"/>
          <w:sz w:val="25"/>
        </w:rPr>
        <w:t>14.7  Troubleshooting</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951"/>
        <w:gridCol w:w="2520"/>
        <w:gridCol w:w="3844"/>
      </w:tblGrid>
      <w:tr>
        <w:tc>
          <w:tcPr>
            <w:tcW w:type="dxa" w:w="2952"/>
            <w:shd w:val="clear" w:color="auto" w:fill="1B355E"/>
          </w:tcPr>
          <w:p>
            <w:pPr>
              <w:spacing w:after="20" w:before="20"/>
              <w:jc w:val="center"/>
            </w:pPr>
            <w:r>
              <w:rPr>
                <w:b/>
                <w:color w:val="FFFFFF"/>
                <w:sz w:val="17"/>
              </w:rPr>
              <w:t>Symptom</w:t>
            </w:r>
          </w:p>
        </w:tc>
        <w:tc>
          <w:tcPr>
            <w:tcW w:type="dxa" w:w="2520"/>
            <w:shd w:val="clear" w:color="auto" w:fill="1B355E"/>
          </w:tcPr>
          <w:p>
            <w:pPr>
              <w:spacing w:after="20" w:before="20"/>
              <w:jc w:val="center"/>
            </w:pPr>
            <w:r>
              <w:rPr>
                <w:b/>
                <w:color w:val="FFFFFF"/>
                <w:sz w:val="17"/>
              </w:rPr>
              <w:t>Cause</w:t>
            </w:r>
          </w:p>
        </w:tc>
        <w:tc>
          <w:tcPr>
            <w:tcW w:type="dxa" w:w="3845"/>
            <w:shd w:val="clear" w:color="auto" w:fill="1B355E"/>
          </w:tcPr>
          <w:p>
            <w:pPr>
              <w:spacing w:after="20" w:before="20"/>
              <w:jc w:val="center"/>
            </w:pPr>
            <w:r>
              <w:rPr>
                <w:b/>
                <w:color w:val="FFFFFF"/>
                <w:sz w:val="17"/>
              </w:rPr>
              <w:t>Resolution</w:t>
            </w:r>
          </w:p>
        </w:tc>
      </w:tr>
      <w:tr>
        <w:tc>
          <w:tcPr>
            <w:tcW w:type="dxa" w:w="2952"/>
          </w:tcPr>
          <w:p>
            <w:pPr>
              <w:spacing w:after="20" w:before="20" w:line="254" w:lineRule="auto"/>
              <w:jc w:val="left"/>
            </w:pPr>
            <w:r>
              <w:rPr>
                <w:rFonts w:ascii="Consolas" w:hAnsi="Consolas" w:eastAsia="Consolas"/>
                <w:color w:val="8A2C1F"/>
                <w:sz w:val="15"/>
              </w:rPr>
              <w:t>ModuleNotFoundError: No module named 'xgboost'</w:t>
            </w:r>
          </w:p>
        </w:tc>
        <w:tc>
          <w:tcPr>
            <w:tcW w:type="dxa" w:w="2520"/>
          </w:tcPr>
          <w:p>
            <w:pPr>
              <w:spacing w:after="20" w:before="20" w:line="254" w:lineRule="auto"/>
              <w:jc w:val="left"/>
            </w:pPr>
            <w:r>
              <w:rPr>
                <w:sz w:val="16"/>
              </w:rPr>
              <w:t>XGBoost absent from the active interpreter</w:t>
            </w:r>
          </w:p>
        </w:tc>
        <w:tc>
          <w:tcPr>
            <w:tcW w:type="dxa" w:w="3845"/>
          </w:tcPr>
          <w:p>
            <w:pPr>
              <w:spacing w:after="20" w:before="20" w:line="254" w:lineRule="auto"/>
              <w:jc w:val="left"/>
            </w:pPr>
            <w:r>
              <w:rPr>
                <w:sz w:val="16"/>
              </w:rPr>
              <w:t xml:space="preserve">activate the virtual environment, then </w:t>
            </w:r>
            <w:r>
              <w:rPr>
                <w:rFonts w:ascii="Consolas" w:hAnsi="Consolas" w:eastAsia="Consolas"/>
                <w:color w:val="8A2C1F"/>
                <w:sz w:val="15"/>
              </w:rPr>
              <w:t>pip install xgboost</w:t>
            </w:r>
          </w:p>
        </w:tc>
      </w:tr>
      <w:tr>
        <w:tc>
          <w:tcPr>
            <w:tcW w:type="dxa" w:w="2952"/>
            <w:shd w:val="clear" w:color="auto" w:fill="F2F5F9"/>
          </w:tcPr>
          <w:p>
            <w:pPr>
              <w:spacing w:after="20" w:before="20" w:line="254" w:lineRule="auto"/>
              <w:jc w:val="left"/>
            </w:pPr>
            <w:r>
              <w:rPr>
                <w:rFonts w:ascii="Consolas" w:hAnsi="Consolas" w:eastAsia="Consolas"/>
                <w:color w:val="8A2C1F"/>
                <w:sz w:val="15"/>
              </w:rPr>
              <w:t>FileNotFoundError: data/Customer-Churn-Cleaned.csv</w:t>
            </w:r>
          </w:p>
        </w:tc>
        <w:tc>
          <w:tcPr>
            <w:tcW w:type="dxa" w:w="2520"/>
            <w:shd w:val="clear" w:color="auto" w:fill="F2F5F9"/>
          </w:tcPr>
          <w:p>
            <w:pPr>
              <w:spacing w:after="20" w:before="20" w:line="254" w:lineRule="auto"/>
              <w:jc w:val="left"/>
            </w:pPr>
            <w:r>
              <w:rPr>
                <w:sz w:val="16"/>
              </w:rPr>
              <w:t>phase 3, 4 or 5 run before phase 2</w:t>
            </w:r>
          </w:p>
        </w:tc>
        <w:tc>
          <w:tcPr>
            <w:tcW w:type="dxa" w:w="3845"/>
            <w:shd w:val="clear" w:color="auto" w:fill="F2F5F9"/>
          </w:tcPr>
          <w:p>
            <w:pPr>
              <w:spacing w:after="20" w:before="20" w:line="254" w:lineRule="auto"/>
              <w:jc w:val="left"/>
            </w:pPr>
            <w:r>
              <w:rPr>
                <w:sz w:val="16"/>
              </w:rPr>
              <w:t>run the phases in numerical order</w:t>
            </w:r>
          </w:p>
        </w:tc>
      </w:tr>
      <w:tr>
        <w:tc>
          <w:tcPr>
            <w:tcW w:type="dxa" w:w="2952"/>
          </w:tcPr>
          <w:p>
            <w:pPr>
              <w:spacing w:after="20" w:before="20" w:line="254" w:lineRule="auto"/>
              <w:jc w:val="left"/>
            </w:pPr>
            <w:r>
              <w:rPr>
                <w:rFonts w:ascii="Consolas" w:hAnsi="Consolas" w:eastAsia="Consolas"/>
                <w:color w:val="8A2C1F"/>
                <w:sz w:val="15"/>
              </w:rPr>
              <w:t>FileNotFoundError: data/Customer-Churn.csv</w:t>
            </w:r>
          </w:p>
        </w:tc>
        <w:tc>
          <w:tcPr>
            <w:tcW w:type="dxa" w:w="2520"/>
          </w:tcPr>
          <w:p>
            <w:pPr>
              <w:spacing w:after="20" w:before="20" w:line="254" w:lineRule="auto"/>
              <w:jc w:val="left"/>
            </w:pPr>
            <w:r>
              <w:rPr>
                <w:sz w:val="16"/>
              </w:rPr>
              <w:t>wrong working directory</w:t>
            </w:r>
          </w:p>
        </w:tc>
        <w:tc>
          <w:tcPr>
            <w:tcW w:type="dxa" w:w="3845"/>
          </w:tcPr>
          <w:p>
            <w:pPr>
              <w:spacing w:after="20" w:before="20" w:line="254" w:lineRule="auto"/>
              <w:jc w:val="left"/>
            </w:pPr>
            <w:r>
              <w:rPr>
                <w:rFonts w:ascii="Consolas" w:hAnsi="Consolas" w:eastAsia="Consolas"/>
                <w:color w:val="8A2C1F"/>
                <w:sz w:val="15"/>
              </w:rPr>
              <w:t>cd</w:t>
            </w:r>
            <w:r>
              <w:rPr>
                <w:sz w:val="16"/>
              </w:rPr>
              <w:t xml:space="preserve"> into </w:t>
            </w:r>
            <w:r>
              <w:rPr>
                <w:rFonts w:ascii="Consolas" w:hAnsi="Consolas" w:eastAsia="Consolas"/>
                <w:color w:val="8A2C1F"/>
                <w:sz w:val="15"/>
              </w:rPr>
              <w:t>churn_project/customer_churn</w:t>
            </w:r>
            <w:r>
              <w:rPr>
                <w:sz w:val="16"/>
              </w:rPr>
              <w:t xml:space="preserve"> first</w:t>
            </w:r>
          </w:p>
        </w:tc>
      </w:tr>
      <w:tr>
        <w:tc>
          <w:tcPr>
            <w:tcW w:type="dxa" w:w="2952"/>
            <w:shd w:val="clear" w:color="auto" w:fill="F2F5F9"/>
          </w:tcPr>
          <w:p>
            <w:pPr>
              <w:spacing w:after="20" w:before="20" w:line="254" w:lineRule="auto"/>
              <w:jc w:val="left"/>
            </w:pPr>
            <w:r>
              <w:rPr>
                <w:rFonts w:ascii="Consolas" w:hAnsi="Consolas" w:eastAsia="Consolas"/>
                <w:color w:val="8A2C1F"/>
                <w:sz w:val="15"/>
              </w:rPr>
              <w:t>InconsistentVersionWarning</w:t>
            </w:r>
            <w:r>
              <w:rPr>
                <w:sz w:val="16"/>
              </w:rPr>
              <w:t xml:space="preserve"> on load</w:t>
            </w:r>
          </w:p>
        </w:tc>
        <w:tc>
          <w:tcPr>
            <w:tcW w:type="dxa" w:w="2520"/>
            <w:shd w:val="clear" w:color="auto" w:fill="F2F5F9"/>
          </w:tcPr>
          <w:p>
            <w:pPr>
              <w:spacing w:after="20" w:before="20" w:line="254" w:lineRule="auto"/>
              <w:jc w:val="left"/>
            </w:pPr>
            <w:r>
              <w:rPr>
                <w:sz w:val="16"/>
              </w:rPr>
              <w:t>model pickled under scikit-learn 1.8.0, loaded under 1.9.0</w:t>
            </w:r>
          </w:p>
        </w:tc>
        <w:tc>
          <w:tcPr>
            <w:tcW w:type="dxa" w:w="3845"/>
            <w:shd w:val="clear" w:color="auto" w:fill="F2F5F9"/>
          </w:tcPr>
          <w:p>
            <w:pPr>
              <w:spacing w:after="20" w:before="20" w:line="254" w:lineRule="auto"/>
              <w:jc w:val="left"/>
            </w:pPr>
            <w:r>
              <w:rPr>
                <w:sz w:val="16"/>
              </w:rPr>
              <w:t>pin scikit-learn to 1.8.0, or re-run phase 6 to regenerate the file</w:t>
            </w:r>
          </w:p>
        </w:tc>
      </w:tr>
      <w:tr>
        <w:tc>
          <w:tcPr>
            <w:tcW w:type="dxa" w:w="2952"/>
          </w:tcPr>
          <w:p>
            <w:pPr>
              <w:spacing w:after="20" w:before="20" w:line="254" w:lineRule="auto"/>
              <w:jc w:val="left"/>
            </w:pPr>
            <w:r>
              <w:rPr>
                <w:sz w:val="16"/>
              </w:rPr>
              <w:t>Phase 6 appears to hang</w:t>
            </w:r>
          </w:p>
        </w:tc>
        <w:tc>
          <w:tcPr>
            <w:tcW w:type="dxa" w:w="2520"/>
          </w:tcPr>
          <w:p>
            <w:pPr>
              <w:spacing w:after="20" w:before="20" w:line="254" w:lineRule="auto"/>
              <w:jc w:val="left"/>
            </w:pPr>
            <w:r>
              <w:rPr>
                <w:sz w:val="16"/>
              </w:rPr>
              <w:t>150-fit randomized search in progress</w:t>
            </w:r>
          </w:p>
        </w:tc>
        <w:tc>
          <w:tcPr>
            <w:tcW w:type="dxa" w:w="3845"/>
          </w:tcPr>
          <w:p>
            <w:pPr>
              <w:spacing w:after="20" w:before="20" w:line="254" w:lineRule="auto"/>
              <w:jc w:val="left"/>
            </w:pPr>
            <w:r>
              <w:rPr>
                <w:sz w:val="16"/>
              </w:rPr>
              <w:t xml:space="preserve">expected; </w:t>
            </w:r>
            <w:r>
              <w:rPr>
                <w:rFonts w:ascii="Consolas" w:hAnsi="Consolas" w:eastAsia="Consolas"/>
                <w:color w:val="8A2C1F"/>
                <w:sz w:val="15"/>
              </w:rPr>
              <w:t>verbose=1</w:t>
            </w:r>
            <w:r>
              <w:rPr>
                <w:sz w:val="16"/>
              </w:rPr>
              <w:t xml:space="preserve"> prints progress. Reduce </w:t>
            </w:r>
            <w:r>
              <w:rPr>
                <w:rFonts w:ascii="Consolas" w:hAnsi="Consolas" w:eastAsia="Consolas"/>
                <w:color w:val="8A2C1F"/>
                <w:sz w:val="15"/>
              </w:rPr>
              <w:t>n_iter</w:t>
            </w:r>
            <w:r>
              <w:rPr>
                <w:sz w:val="16"/>
              </w:rPr>
              <w:t xml:space="preserve"> to shorten the search</w:t>
            </w:r>
          </w:p>
        </w:tc>
      </w:tr>
      <w:tr>
        <w:tc>
          <w:tcPr>
            <w:tcW w:type="dxa" w:w="2952"/>
            <w:shd w:val="clear" w:color="auto" w:fill="F2F5F9"/>
          </w:tcPr>
          <w:p>
            <w:pPr>
              <w:spacing w:after="20" w:before="20" w:line="254" w:lineRule="auto"/>
              <w:jc w:val="left"/>
            </w:pPr>
            <w:r>
              <w:rPr>
                <w:sz w:val="16"/>
              </w:rPr>
              <w:t>Charts render but are empty</w:t>
            </w:r>
          </w:p>
        </w:tc>
        <w:tc>
          <w:tcPr>
            <w:tcW w:type="dxa" w:w="2520"/>
            <w:shd w:val="clear" w:color="auto" w:fill="F2F5F9"/>
          </w:tcPr>
          <w:p>
            <w:pPr>
              <w:spacing w:after="20" w:before="20" w:line="254" w:lineRule="auto"/>
              <w:jc w:val="left"/>
            </w:pPr>
            <w:r>
              <w:rPr>
                <w:sz w:val="16"/>
              </w:rPr>
              <w:t>a non-interactive backend without a writable output folder</w:t>
            </w:r>
          </w:p>
        </w:tc>
        <w:tc>
          <w:tcPr>
            <w:tcW w:type="dxa" w:w="3845"/>
            <w:shd w:val="clear" w:color="auto" w:fill="F2F5F9"/>
          </w:tcPr>
          <w:p>
            <w:pPr>
              <w:spacing w:after="20" w:before="20" w:line="254" w:lineRule="auto"/>
              <w:jc w:val="left"/>
            </w:pPr>
            <w:r>
              <w:rPr>
                <w:sz w:val="16"/>
              </w:rPr>
              <w:t xml:space="preserve">confirm </w:t>
            </w:r>
            <w:r>
              <w:rPr>
                <w:rFonts w:ascii="Consolas" w:hAnsi="Consolas" w:eastAsia="Consolas"/>
                <w:color w:val="8A2C1F"/>
                <w:sz w:val="15"/>
              </w:rPr>
              <w:t>charts/</w:t>
            </w:r>
            <w:r>
              <w:rPr>
                <w:sz w:val="16"/>
              </w:rPr>
              <w:t xml:space="preserve"> exists and is writable</w:t>
            </w:r>
          </w:p>
        </w:tc>
      </w:tr>
    </w:tbl>
    <w:p>
      <w:pPr>
        <w:spacing w:before="80" w:after="200"/>
        <w:jc w:val="center"/>
      </w:pPr>
      <w:r>
        <w:rPr>
          <w:i/>
          <w:color w:val="555F6B"/>
          <w:sz w:val="17"/>
        </w:rPr>
        <w:t>Table 37: Common failure symptoms and their resolutions.</w:t>
      </w:r>
    </w:p>
    <w:p>
      <w:r>
        <w:br w:type="page"/>
      </w:r>
    </w:p>
    <w:p>
      <w:pPr>
        <w:spacing w:after="0"/>
      </w:pPr>
    </w:p>
    <w:p>
      <w:pPr>
        <w:keepNext/>
        <w:spacing w:before="80" w:after="40"/>
        <w:pBdr>
          <w:bottom w:val="single" w:sz="10" w:space="3" w:color="1B355E"/>
        </w:pBdr>
      </w:pPr>
      <w:r>
        <w:rPr>
          <w:rFonts w:ascii="Calibri" w:hAnsi="Calibri"/>
          <w:b/>
          <w:color w:val="1B355E"/>
          <w:sz w:val="30"/>
        </w:rPr>
        <w:t>15.  Observations, Limitations and Recommended Corrections</w:t>
      </w:r>
    </w:p>
    <w:p>
      <w:pPr>
        <w:spacing w:after="40"/>
      </w:pPr>
    </w:p>
    <w:p>
      <w:pPr>
        <w:spacing w:after="120" w:before="0"/>
        <w:jc w:val="both"/>
      </w:pPr>
      <w:r>
        <w:rPr>
          <w:b w:val="0"/>
          <w:i w:val="0"/>
          <w:sz w:val="21"/>
        </w:rPr>
        <w:t>This section records what a close reading of the code found. The items are ordered by the severity of their effect on the reported results. Each states the observation, its consequence and the specific change that would resolve it.</w:t>
      </w:r>
    </w:p>
    <w:p>
      <w:pPr>
        <w:keepNext/>
        <w:spacing w:before="240" w:after="80"/>
      </w:pPr>
      <w:r>
        <w:rPr>
          <w:rFonts w:ascii="Calibri" w:hAnsi="Calibri"/>
          <w:b/>
          <w:color w:val="1B355E"/>
          <w:sz w:val="25"/>
        </w:rPr>
        <w:t>15.1  The hold-out partition is 5 %, not the 20 % the code reports</w:t>
      </w:r>
    </w:p>
    <w:p>
      <w:pPr>
        <w:spacing w:after="120"/>
        <w:jc w:val="both"/>
      </w:pPr>
      <w:r>
        <w:rPr>
          <w:sz w:val="21"/>
        </w:rPr>
        <w:t xml:space="preserve">The module declares </w:t>
      </w:r>
      <w:r>
        <w:rPr>
          <w:rFonts w:ascii="Consolas" w:hAnsi="Consolas"/>
          <w:color w:val="8A2C1F"/>
          <w:sz w:val="19"/>
        </w:rPr>
        <w:t>TEST_SIZE = 0.05</w:t>
      </w:r>
      <w:r>
        <w:rPr>
          <w:sz w:val="21"/>
        </w:rPr>
        <w:t>, which produces a hold-out set of 353 records. Two printed lines and one summary line nevertheless describe the split as 80/20:</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TEST_SIZE = 0.05                      # &lt;-- actual configuration</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print("\n2. STRATIFIED TRAIN-TEST SPLIT")   # header says 80/20 in the summary</w:t>
            </w:r>
          </w:p>
          <w:p>
            <w:pPr>
              <w:spacing w:after="0" w:before="0" w:line="240" w:lineRule="auto"/>
            </w:pPr>
            <w:r>
              <w:rPr>
                <w:rFonts w:ascii="Consolas" w:hAnsi="Consolas" w:eastAsia="Consolas"/>
                <w:color w:val="1A232E"/>
                <w:sz w:val="16"/>
              </w:rPr>
              <w:t>...</w:t>
            </w:r>
          </w:p>
          <w:p>
            <w:pPr>
              <w:spacing w:after="0" w:before="0" w:line="240" w:lineRule="auto"/>
            </w:pPr>
            <w:r>
              <w:rPr>
                <w:rFonts w:ascii="Consolas" w:hAnsi="Consolas" w:eastAsia="Consolas"/>
                <w:color w:val="1A232E"/>
                <w:sz w:val="16"/>
              </w:rPr>
              <w:t>print("- Applied a stratified 80/20 train-test split.")   # &lt;-- contradicts the constant</w:t>
            </w:r>
          </w:p>
        </w:tc>
      </w:tr>
    </w:tbl>
    <w:p>
      <w:pPr>
        <w:spacing w:after="80"/>
      </w:pPr>
    </w:p>
    <w:p>
      <w:pPr>
        <w:spacing w:after="120" w:before="0"/>
        <w:jc w:val="both"/>
      </w:pPr>
      <w:r>
        <w:rPr>
          <w:b w:val="0"/>
          <w:i w:val="0"/>
          <w:sz w:val="21"/>
        </w:rPr>
        <w:t>The consequence is not a wrong number but a fragile one. Every metric in Table 28 is computed on 353 records, of which only 94 are churners. At that size the 95 % confidence interval on ROC-AUC is roughly ±0.045, which is more than twenty times the 0.0020 gap separating the top three models. This is the direct reason those three models cannot be meaningfully ranked against one another.</w:t>
      </w:r>
    </w:p>
    <w:p>
      <w:pPr>
        <w:spacing w:after="120"/>
        <w:jc w:val="both"/>
      </w:pPr>
      <w:r>
        <w:rPr>
          <w:sz w:val="21"/>
        </w:rPr>
        <w:t xml:space="preserve">Recommended correction: set </w:t>
      </w:r>
      <w:r>
        <w:rPr>
          <w:rFonts w:ascii="Consolas" w:hAnsi="Consolas"/>
          <w:color w:val="8A2C1F"/>
          <w:sz w:val="19"/>
        </w:rPr>
        <w:t>TEST_SIZE = 0.20</w:t>
      </w:r>
      <w:r>
        <w:rPr>
          <w:sz w:val="21"/>
        </w:rPr>
        <w:t xml:space="preserve"> to give a 1 409-record hold-out with roughly 374 churners, and correct the three print statements to read from the constant rather than hard-coding a percentage.</w:t>
      </w:r>
    </w:p>
    <w:p>
      <w:pPr>
        <w:keepNext/>
        <w:spacing w:before="240" w:after="80"/>
      </w:pPr>
      <w:r>
        <w:rPr>
          <w:rFonts w:ascii="Calibri" w:hAnsi="Calibri"/>
          <w:b/>
          <w:color w:val="1B355E"/>
          <w:sz w:val="25"/>
        </w:rPr>
        <w:t>15.2  The phase 4 output is never used</w:t>
      </w:r>
    </w:p>
    <w:p>
      <w:pPr>
        <w:spacing w:after="120" w:before="0"/>
        <w:jc w:val="both"/>
      </w:pPr>
      <w:r>
        <w:rPr>
          <w:b w:val="0"/>
          <w:i w:val="0"/>
          <w:sz w:val="21"/>
        </w:rPr>
        <w:t>Phase 4 constructs seven business features, one-hot encodes every categorical column, standardises every numeric column and writes a 36-column model-ready dataset. Phase 6 then opens Customer-Churn-Segmented.csv instead, which is the phase 5 output built from the cleaned file. The result is that ARPU, ChargeRatio, TenureBand, ContractRiskFlag, ValueTier and AutoPayFlag never reach any model. Only ServiceCount survives, and only because phase 5 recomputes it independently.</w:t>
      </w:r>
    </w:p>
    <w:p>
      <w:pPr>
        <w:spacing w:after="120" w:before="0"/>
        <w:jc w:val="both"/>
      </w:pPr>
      <w:r>
        <w:rPr>
          <w:b w:val="0"/>
          <w:i w:val="0"/>
          <w:sz w:val="21"/>
        </w:rPr>
        <w:t>Six of the seven engineered features are therefore unused, and the phase 4 analysis in Section 9.4 — including the finding that churn peaks at exactly one add-on service — informs the report but not the model.</w:t>
      </w:r>
    </w:p>
    <w:p>
      <w:pPr>
        <w:spacing w:after="120" w:before="0"/>
        <w:jc w:val="both"/>
      </w:pPr>
      <w:r>
        <w:rPr>
          <w:b w:val="0"/>
          <w:i w:val="0"/>
          <w:sz w:val="21"/>
        </w:rPr>
        <w:t>Recommended correction: merge the phase 4 features into the segmented dataset before phase 6 reads it, keyed on customerID. Because phase 6 builds its own scaling and encoding inside a leakage-safe ColumnTransformer, the raw engineered columns should be merged, not the pre-scaled versions — scaling them twice would be both redundant and, since phase 4 scales on the full dataset, a source of leakage.</w:t>
      </w:r>
    </w:p>
    <w:p>
      <w:pPr>
        <w:keepNext/>
        <w:spacing w:before="240" w:after="80"/>
      </w:pPr>
      <w:r>
        <w:rPr>
          <w:rFonts w:ascii="Calibri" w:hAnsi="Calibri"/>
          <w:b/>
          <w:color w:val="1B355E"/>
          <w:sz w:val="25"/>
        </w:rPr>
        <w:t>15.3  The segment label carries information derived from the target</w:t>
      </w:r>
    </w:p>
    <w:p>
      <w:pPr>
        <w:spacing w:after="120" w:before="0"/>
        <w:jc w:val="both"/>
      </w:pPr>
      <w:r>
        <w:rPr>
          <w:b w:val="0"/>
          <w:i w:val="0"/>
          <w:sz w:val="21"/>
        </w:rPr>
        <w:t>This is the most serious finding, because it affects the credibility of a reported result rather than merely wasting work.</w:t>
      </w:r>
    </w:p>
    <w:p>
      <w:pPr>
        <w:spacing w:after="120"/>
        <w:jc w:val="both"/>
      </w:pPr>
      <w:r>
        <w:rPr>
          <w:sz w:val="21"/>
        </w:rPr>
        <w:t>Phase 5 assigns each cluster a business name using a rule that reads the cluster's observed churn rate: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churn_median = cluster_profile["ChurnRate"].median()</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if tenure &gt;= tenure_median and charges &gt;= charge_median and churn &lt; churn_median:</w:t>
            </w:r>
          </w:p>
          <w:p>
            <w:pPr>
              <w:spacing w:after="0" w:before="0" w:line="240" w:lineRule="auto"/>
            </w:pPr>
            <w:r>
              <w:rPr>
                <w:rFonts w:ascii="Consolas" w:hAnsi="Consolas" w:eastAsia="Consolas"/>
                <w:color w:val="1A232E"/>
                <w:sz w:val="16"/>
              </w:rPr>
              <w:t xml:space="preserve">    segment_names[cluster_id] = "High-Value Loyal"</w:t>
            </w:r>
          </w:p>
          <w:p>
            <w:pPr>
              <w:spacing w:after="0" w:before="0" w:line="240" w:lineRule="auto"/>
            </w:pPr>
            <w:r>
              <w:rPr>
                <w:rFonts w:ascii="Consolas" w:hAnsi="Consolas" w:eastAsia="Consolas"/>
                <w:color w:val="1A232E"/>
                <w:sz w:val="16"/>
              </w:rPr>
              <w:t>elif tenure &gt;= tenure_median and charges &gt;= charge_median and churn &gt;= churn_median:</w:t>
            </w:r>
          </w:p>
          <w:p>
            <w:pPr>
              <w:spacing w:after="0" w:before="0" w:line="240" w:lineRule="auto"/>
            </w:pPr>
            <w:r>
              <w:rPr>
                <w:rFonts w:ascii="Consolas" w:hAnsi="Consolas" w:eastAsia="Consolas"/>
                <w:color w:val="1A232E"/>
                <w:sz w:val="16"/>
              </w:rPr>
              <w:t xml:space="preserve">    segment_names[cluster_id] = "High-Value At-Risk"</w:t>
            </w:r>
          </w:p>
          <w:p>
            <w:pPr>
              <w:spacing w:after="0" w:before="0" w:line="240" w:lineRule="auto"/>
            </w:pPr>
            <w:r>
              <w:rPr>
                <w:rFonts w:ascii="Consolas" w:hAnsi="Consolas" w:eastAsia="Consolas"/>
                <w:color w:val="1A232E"/>
                <w:sz w:val="16"/>
              </w:rPr>
              <w:t>elif tenure &lt; tenure_median and churn &gt;= churn_median:</w:t>
            </w:r>
          </w:p>
          <w:p>
            <w:pPr>
              <w:spacing w:after="0" w:before="0" w:line="240" w:lineRule="auto"/>
            </w:pPr>
            <w:r>
              <w:rPr>
                <w:rFonts w:ascii="Consolas" w:hAnsi="Consolas" w:eastAsia="Consolas"/>
                <w:color w:val="1A232E"/>
                <w:sz w:val="16"/>
              </w:rPr>
              <w:t xml:space="preserve">    segment_names[cluster_id] = "New &amp; Fragile"</w:t>
            </w:r>
          </w:p>
        </w:tc>
      </w:tr>
    </w:tbl>
    <w:p>
      <w:pPr>
        <w:spacing w:after="80"/>
      </w:pPr>
    </w:p>
    <w:p>
      <w:pPr>
        <w:spacing w:after="120" w:before="0"/>
        <w:jc w:val="both"/>
      </w:pPr>
      <w:r>
        <w:rPr>
          <w:b w:val="0"/>
          <w:i w:val="0"/>
          <w:sz w:val="21"/>
        </w:rPr>
        <w:t>The clustering itself is clean — K-Means sees only tenure, service count and monthly charges. The naming step is not: it computes each cluster's churn rate across the entire dataset, test rows included, and selects a label accordingly. Phase 6 then drops the numeric Cluster column but retains CustomerSegment as a categorical predictor, and the tuned model ranks it the second most important feature in the entire matrix at 0.150 gain.</w:t>
      </w:r>
    </w:p>
    <w:p>
      <w:pPr>
        <w:spacing w:after="120" w:before="0"/>
        <w:jc w:val="both"/>
      </w:pPr>
      <w:r>
        <w:rPr>
          <w:b w:val="0"/>
          <w:i w:val="0"/>
          <w:sz w:val="21"/>
        </w:rPr>
        <w:t>The reported ROC-AUC of 0.8349 is therefore optimistic by an unknown margin. The effect is likely modest, since the label is coarse — four categories that a model could largely reconstruct from tenure and charges alone — but it is real, and it cannot be quantified without re-running the experiment.</w:t>
      </w:r>
    </w:p>
    <w:p>
      <w:pPr>
        <w:spacing w:after="120" w:before="0"/>
        <w:jc w:val="both"/>
      </w:pPr>
      <w:r>
        <w:rPr>
          <w:b w:val="0"/>
          <w:i w:val="0"/>
          <w:sz w:val="21"/>
        </w:rPr>
        <w:t>Recommended correction, in order of preference. Either retain Cluster as the predictor and treat CustomerSegment as a presentation label only, which removes the leakage entirely at no cost to the model; or derive the segment names from the cluster centroids alone, using tenure and charges without reference to churn; or, if the churn-informed names are wanted, compute them on the training partition only and map them onto the test partition.</w:t>
      </w:r>
    </w:p>
    <w:p>
      <w:pPr>
        <w:keepNext/>
        <w:spacing w:before="240" w:after="80"/>
      </w:pPr>
      <w:r>
        <w:rPr>
          <w:rFonts w:ascii="Calibri" w:hAnsi="Calibri"/>
          <w:b/>
          <w:color w:val="1B355E"/>
          <w:sz w:val="25"/>
        </w:rPr>
        <w:t>15.4  Two clusters received the same name</w:t>
      </w:r>
    </w:p>
    <w:p>
      <w:pPr>
        <w:spacing w:after="120" w:before="0"/>
        <w:jc w:val="both"/>
      </w:pPr>
      <w:r>
        <w:rPr>
          <w:b w:val="0"/>
          <w:i w:val="0"/>
          <w:sz w:val="21"/>
        </w:rPr>
        <w:t>The naming rules classified clusters 0 and 3 identically, and the de-duplication branch appended a numeral, producing "New &amp; Fragile" and "New &amp; Fragile 2". The two are commercially very different: cluster 0 averages 29.58 in monthly charges with 24.19 % churn, while cluster 3 averages 77.58 with 47.37 % churn. A single shared root name obscures a distinction that the retention strategy in Section 13.2 depends on.</w:t>
      </w:r>
    </w:p>
    <w:p>
      <w:pPr>
        <w:spacing w:after="120" w:before="0"/>
        <w:jc w:val="both"/>
      </w:pPr>
      <w:r>
        <w:rPr>
          <w:b w:val="0"/>
          <w:i w:val="0"/>
          <w:sz w:val="21"/>
        </w:rPr>
        <w:t>Recommended correction: extend the naming rule to test monthly charges as well as tenure and churn, so that cluster 0 becomes "New &amp; Low-Value" and cluster 3 becomes "New &amp; High-Value At-Risk".</w:t>
      </w:r>
    </w:p>
    <w:p>
      <w:pPr>
        <w:keepNext/>
        <w:spacing w:before="240" w:after="80"/>
      </w:pPr>
      <w:r>
        <w:rPr>
          <w:rFonts w:ascii="Calibri" w:hAnsi="Calibri"/>
          <w:b/>
          <w:color w:val="1B355E"/>
          <w:sz w:val="25"/>
        </w:rPr>
        <w:t>15.5  Every model is fitted twice</w:t>
      </w:r>
    </w:p>
    <w:tbl>
      <w:tblPr>
        <w:tblStyle w:val="TableGrid"/>
        <w:tblW w:type="auto" w:w="0"/>
        <w:jc w:val="center"/>
        <w:tblLayout w:type="fixed"/>
        <w:tblLook w:firstColumn="1" w:firstRow="1" w:lastColumn="0" w:lastRow="0" w:noHBand="0" w:noVBand="1" w:val="04A0"/>
        <w:tblLayout w:type="fixed"/>
        <w:tblCellMar>
          <w:top w:w="70" w:type="dxa"/>
          <w:left w:w="100" w:type="dxa"/>
          <w:bottom w:w="70" w:type="dxa"/>
          <w:right w:w="90" w:type="dxa"/>
        </w:tblCellMar>
      </w:tblPr>
      <w:tblGrid>
        <w:gridCol w:w="9316"/>
      </w:tblGrid>
      <w:tr>
        <w:tc>
          <w:tcPr>
            <w:tcW w:type="dxa" w:w="9317"/>
            <w:shd w:val="clear" w:color="auto" w:fill="F5F7FA"/>
          </w:tcPr>
          <w:p>
            <w:pPr>
              <w:spacing w:after="0" w:before="0" w:line="240" w:lineRule="auto"/>
            </w:pPr>
            <w:r/>
            <w:r>
              <w:rPr>
                <w:rFonts w:ascii="Consolas" w:hAnsi="Consolas" w:eastAsia="Consolas"/>
                <w:color w:val="1A232E"/>
                <w:sz w:val="16"/>
              </w:rPr>
              <w:t>for model_name, pipeline in final_models.items():</w:t>
            </w:r>
          </w:p>
          <w:p>
            <w:pPr>
              <w:spacing w:after="0" w:before="0" w:line="240" w:lineRule="auto"/>
            </w:pPr>
            <w:r>
              <w:rPr>
                <w:rFonts w:ascii="Consolas" w:hAnsi="Consolas" w:eastAsia="Consolas"/>
                <w:color w:val="1A232E"/>
                <w:sz w:val="16"/>
              </w:rPr>
              <w:t xml:space="preserve">    pipeline.fit(X_train, y_train)          # first fit, inside the evaluation loop</w:t>
            </w:r>
          </w:p>
          <w:p>
            <w:pPr>
              <w:spacing w:after="0" w:before="0" w:line="240" w:lineRule="auto"/>
            </w:pPr>
            <w:r>
              <w:rPr>
                <w:rFonts w:ascii="Consolas" w:hAnsi="Consolas" w:eastAsia="Consolas"/>
                <w:color w:val="1A232E"/>
                <w:sz w:val="16"/>
              </w:rPr>
              <w:t xml:space="preserve">    ...</w:t>
            </w:r>
          </w:p>
          <w:p>
            <w:pPr>
              <w:spacing w:after="0" w:before="0" w:line="240" w:lineRule="auto"/>
            </w:pPr>
            <w:r>
              <w:rPr>
                <w:rFonts w:ascii="Consolas" w:hAnsi="Consolas" w:eastAsia="Consolas"/>
                <w:color w:val="1A232E"/>
                <w:sz w:val="16"/>
              </w:rPr>
            </w:r>
          </w:p>
          <w:p>
            <w:pPr>
              <w:spacing w:after="0" w:before="0" w:line="240" w:lineRule="auto"/>
            </w:pPr>
            <w:r>
              <w:rPr>
                <w:rFonts w:ascii="Consolas" w:hAnsi="Consolas" w:eastAsia="Consolas"/>
                <w:color w:val="1A232E"/>
                <w:sz w:val="16"/>
              </w:rPr>
              <w:t>best_model = final_models[best_model_name]</w:t>
            </w:r>
          </w:p>
          <w:p>
            <w:pPr>
              <w:spacing w:after="0" w:before="0" w:line="240" w:lineRule="auto"/>
            </w:pPr>
            <w:r>
              <w:rPr>
                <w:rFonts w:ascii="Consolas" w:hAnsi="Consolas" w:eastAsia="Consolas"/>
                <w:color w:val="1A232E"/>
                <w:sz w:val="16"/>
              </w:rPr>
              <w:t>best_model.fit(X_train, y_train)            # second fit, on an already-fitted object</w:t>
            </w:r>
          </w:p>
        </w:tc>
      </w:tr>
    </w:tbl>
    <w:p>
      <w:pPr>
        <w:spacing w:after="80"/>
      </w:pPr>
    </w:p>
    <w:p>
      <w:pPr>
        <w:spacing w:after="120" w:before="0"/>
        <w:jc w:val="both"/>
      </w:pPr>
      <w:r>
        <w:rPr>
          <w:b w:val="0"/>
          <w:i w:val="0"/>
          <w:sz w:val="21"/>
        </w:rPr>
        <w:t>The best model is refitted after the evaluation loop has already fitted it. Because RANDOM_STATE is fixed the second fit is identical to the first, so no result changes — but on the 2 000-estimator ensembles the redundant work is measurable. Recommended correction: delete the second fit call.</w:t>
      </w:r>
    </w:p>
    <w:p>
      <w:pPr>
        <w:keepNext/>
        <w:spacing w:before="240" w:after="80"/>
      </w:pPr>
      <w:r>
        <w:rPr>
          <w:rFonts w:ascii="Calibri" w:hAnsi="Calibri"/>
          <w:b/>
          <w:color w:val="1B355E"/>
          <w:sz w:val="25"/>
        </w:rPr>
        <w:t>15.6  An undocumented model artefact is present</w:t>
      </w:r>
    </w:p>
    <w:p>
      <w:pPr>
        <w:spacing w:after="120" w:before="0"/>
        <w:jc w:val="both"/>
      </w:pPr>
      <w:r>
        <w:rPr>
          <w:b w:val="0"/>
          <w:i w:val="0"/>
          <w:sz w:val="21"/>
        </w:rPr>
        <w:t>The models folder contains enhanced_churn_model.joblib at 625 KB alongside the 238 KB best_churn_model.joblib. No script in the delivered folder writes a file of that name. It was presumably produced by a script that has since been removed or renamed, and its provenance, training data and performance are unknown.</w:t>
      </w:r>
    </w:p>
    <w:p>
      <w:pPr>
        <w:spacing w:after="120" w:before="0"/>
        <w:jc w:val="both"/>
      </w:pPr>
      <w:r>
        <w:rPr>
          <w:b w:val="0"/>
          <w:i w:val="0"/>
          <w:sz w:val="21"/>
        </w:rPr>
        <w:t>Recommended correction: either restore the script that generates it, or remove the file. An unexplained model artefact in a deliverable folder is a reproducibility hazard, since a future reader has no way to tell which of the two files is authoritative.</w:t>
      </w:r>
    </w:p>
    <w:p>
      <w:pPr>
        <w:keepNext/>
        <w:spacing w:before="240" w:after="80"/>
      </w:pPr>
      <w:r>
        <w:rPr>
          <w:rFonts w:ascii="Calibri" w:hAnsi="Calibri"/>
          <w:b/>
          <w:color w:val="1B355E"/>
          <w:sz w:val="25"/>
        </w:rPr>
        <w:t>15.7  Capabilities specified in the proposal that the code does not implement</w:t>
      </w:r>
    </w:p>
    <w:p>
      <w:pPr>
        <w:spacing w:after="120" w:before="0"/>
        <w:jc w:val="both"/>
      </w:pPr>
      <w:r>
        <w:rPr>
          <w:b w:val="0"/>
          <w:i w:val="0"/>
          <w:sz w:val="21"/>
        </w:rPr>
        <w:t>The project proposal describes an eleven-component system. Six components are fully implemented; the remainder are not present in this codebase.</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3096"/>
        <w:gridCol w:w="1728"/>
        <w:gridCol w:w="4492"/>
      </w:tblGrid>
      <w:tr>
        <w:tc>
          <w:tcPr>
            <w:tcW w:type="dxa" w:w="3096"/>
            <w:shd w:val="clear" w:color="auto" w:fill="1B355E"/>
          </w:tcPr>
          <w:p>
            <w:pPr>
              <w:spacing w:after="20" w:before="20"/>
              <w:jc w:val="center"/>
            </w:pPr>
            <w:r>
              <w:rPr>
                <w:b/>
                <w:color w:val="FFFFFF"/>
                <w:sz w:val="17"/>
              </w:rPr>
              <w:t>Component</w:t>
            </w:r>
          </w:p>
        </w:tc>
        <w:tc>
          <w:tcPr>
            <w:tcW w:type="dxa" w:w="1728"/>
            <w:shd w:val="clear" w:color="auto" w:fill="1B355E"/>
          </w:tcPr>
          <w:p>
            <w:pPr>
              <w:spacing w:after="20" w:before="20"/>
              <w:jc w:val="center"/>
            </w:pPr>
            <w:r>
              <w:rPr>
                <w:b/>
                <w:color w:val="FFFFFF"/>
                <w:sz w:val="17"/>
              </w:rPr>
              <w:t>Status</w:t>
            </w:r>
          </w:p>
        </w:tc>
        <w:tc>
          <w:tcPr>
            <w:tcW w:type="dxa" w:w="4493"/>
            <w:shd w:val="clear" w:color="auto" w:fill="1B355E"/>
          </w:tcPr>
          <w:p>
            <w:pPr>
              <w:spacing w:after="20" w:before="20"/>
              <w:jc w:val="center"/>
            </w:pPr>
            <w:r>
              <w:rPr>
                <w:b/>
                <w:color w:val="FFFFFF"/>
                <w:sz w:val="17"/>
              </w:rPr>
              <w:t>Evidence</w:t>
            </w:r>
          </w:p>
        </w:tc>
      </w:tr>
      <w:tr>
        <w:tc>
          <w:tcPr>
            <w:tcW w:type="dxa" w:w="3096"/>
          </w:tcPr>
          <w:p>
            <w:pPr>
              <w:spacing w:after="20" w:before="20" w:line="254" w:lineRule="auto"/>
              <w:jc w:val="left"/>
            </w:pPr>
            <w:r>
              <w:rPr>
                <w:sz w:val="16"/>
              </w:rPr>
              <w:t>Data cleaning and exploratory analysis</w:t>
            </w:r>
          </w:p>
        </w:tc>
        <w:tc>
          <w:tcPr>
            <w:tcW w:type="dxa" w:w="1728"/>
          </w:tcPr>
          <w:p>
            <w:pPr>
              <w:spacing w:after="20" w:before="20" w:line="254" w:lineRule="auto"/>
              <w:jc w:val="center"/>
            </w:pPr>
            <w:r>
              <w:rPr>
                <w:b/>
                <w:sz w:val="16"/>
              </w:rPr>
              <w:t>Implemented</w:t>
            </w:r>
          </w:p>
        </w:tc>
        <w:tc>
          <w:tcPr>
            <w:tcW w:type="dxa" w:w="4493"/>
          </w:tcPr>
          <w:p>
            <w:pPr>
              <w:spacing w:after="20" w:before="20" w:line="254" w:lineRule="auto"/>
              <w:jc w:val="center"/>
            </w:pPr>
            <w:r>
              <w:rPr>
                <w:sz w:val="16"/>
              </w:rPr>
              <w:t>phases 2 and 3</w:t>
            </w:r>
          </w:p>
        </w:tc>
      </w:tr>
      <w:tr>
        <w:tc>
          <w:tcPr>
            <w:tcW w:type="dxa" w:w="3096"/>
            <w:shd w:val="clear" w:color="auto" w:fill="F2F5F9"/>
          </w:tcPr>
          <w:p>
            <w:pPr>
              <w:spacing w:after="20" w:before="20" w:line="254" w:lineRule="auto"/>
              <w:jc w:val="left"/>
            </w:pPr>
            <w:r>
              <w:rPr>
                <w:sz w:val="16"/>
              </w:rPr>
              <w:t>Customer segmentation</w:t>
            </w:r>
          </w:p>
        </w:tc>
        <w:tc>
          <w:tcPr>
            <w:tcW w:type="dxa" w:w="1728"/>
            <w:shd w:val="clear" w:color="auto" w:fill="F2F5F9"/>
          </w:tcPr>
          <w:p>
            <w:pPr>
              <w:spacing w:after="20" w:before="20" w:line="254" w:lineRule="auto"/>
              <w:jc w:val="center"/>
            </w:pPr>
            <w:r>
              <w:rPr>
                <w:b/>
                <w:sz w:val="16"/>
              </w:rPr>
              <w:t>Implemented</w:t>
            </w:r>
          </w:p>
        </w:tc>
        <w:tc>
          <w:tcPr>
            <w:tcW w:type="dxa" w:w="4493"/>
            <w:shd w:val="clear" w:color="auto" w:fill="F2F5F9"/>
          </w:tcPr>
          <w:p>
            <w:pPr>
              <w:spacing w:after="20" w:before="20" w:line="254" w:lineRule="auto"/>
              <w:jc w:val="left"/>
            </w:pPr>
            <w:r>
              <w:rPr>
                <w:sz w:val="16"/>
              </w:rPr>
              <w:t>phase 5, K-Means, 4 segments</w:t>
            </w:r>
          </w:p>
        </w:tc>
      </w:tr>
      <w:tr>
        <w:tc>
          <w:tcPr>
            <w:tcW w:type="dxa" w:w="3096"/>
          </w:tcPr>
          <w:p>
            <w:pPr>
              <w:spacing w:after="20" w:before="20" w:line="254" w:lineRule="auto"/>
              <w:jc w:val="left"/>
            </w:pPr>
            <w:r>
              <w:rPr>
                <w:sz w:val="16"/>
              </w:rPr>
              <w:t>Feature engineering</w:t>
            </w:r>
          </w:p>
        </w:tc>
        <w:tc>
          <w:tcPr>
            <w:tcW w:type="dxa" w:w="1728"/>
          </w:tcPr>
          <w:p>
            <w:pPr>
              <w:spacing w:after="20" w:before="20" w:line="254" w:lineRule="auto"/>
              <w:jc w:val="center"/>
            </w:pPr>
            <w:r>
              <w:rPr>
                <w:b/>
                <w:sz w:val="16"/>
              </w:rPr>
              <w:t>Implemented</w:t>
            </w:r>
          </w:p>
        </w:tc>
        <w:tc>
          <w:tcPr>
            <w:tcW w:type="dxa" w:w="4493"/>
          </w:tcPr>
          <w:p>
            <w:pPr>
              <w:spacing w:after="20" w:before="20" w:line="254" w:lineRule="auto"/>
              <w:jc w:val="center"/>
            </w:pPr>
            <w:r>
              <w:rPr>
                <w:sz w:val="16"/>
              </w:rPr>
              <w:t>phase 4, 7 features</w:t>
            </w:r>
          </w:p>
        </w:tc>
      </w:tr>
      <w:tr>
        <w:tc>
          <w:tcPr>
            <w:tcW w:type="dxa" w:w="3096"/>
            <w:shd w:val="clear" w:color="auto" w:fill="F2F5F9"/>
          </w:tcPr>
          <w:p>
            <w:pPr>
              <w:spacing w:after="20" w:before="20" w:line="254" w:lineRule="auto"/>
              <w:jc w:val="left"/>
            </w:pPr>
            <w:r>
              <w:rPr>
                <w:sz w:val="16"/>
              </w:rPr>
              <w:t>Logistic Regression</w:t>
            </w:r>
          </w:p>
        </w:tc>
        <w:tc>
          <w:tcPr>
            <w:tcW w:type="dxa" w:w="1728"/>
            <w:shd w:val="clear" w:color="auto" w:fill="F2F5F9"/>
          </w:tcPr>
          <w:p>
            <w:pPr>
              <w:spacing w:after="20" w:before="20" w:line="254" w:lineRule="auto"/>
              <w:jc w:val="center"/>
            </w:pPr>
            <w:r>
              <w:rPr>
                <w:b/>
                <w:sz w:val="16"/>
              </w:rPr>
              <w:t>Implemented</w:t>
            </w:r>
          </w:p>
        </w:tc>
        <w:tc>
          <w:tcPr>
            <w:tcW w:type="dxa" w:w="4493"/>
            <w:shd w:val="clear" w:color="auto" w:fill="F2F5F9"/>
          </w:tcPr>
          <w:p>
            <w:pPr>
              <w:spacing w:after="20" w:before="20" w:line="254" w:lineRule="auto"/>
              <w:jc w:val="left"/>
            </w:pPr>
            <w:r>
              <w:rPr>
                <w:sz w:val="16"/>
              </w:rPr>
              <w:t>phase 6, ROC-AUC 0.8348</w:t>
            </w:r>
          </w:p>
        </w:tc>
      </w:tr>
      <w:tr>
        <w:tc>
          <w:tcPr>
            <w:tcW w:type="dxa" w:w="3096"/>
          </w:tcPr>
          <w:p>
            <w:pPr>
              <w:spacing w:after="20" w:before="20" w:line="254" w:lineRule="auto"/>
              <w:jc w:val="left"/>
            </w:pPr>
            <w:r>
              <w:rPr>
                <w:sz w:val="16"/>
              </w:rPr>
              <w:t>Random Forest and XGBoost</w:t>
            </w:r>
          </w:p>
        </w:tc>
        <w:tc>
          <w:tcPr>
            <w:tcW w:type="dxa" w:w="1728"/>
          </w:tcPr>
          <w:p>
            <w:pPr>
              <w:spacing w:after="20" w:before="20" w:line="254" w:lineRule="auto"/>
              <w:jc w:val="center"/>
            </w:pPr>
            <w:r>
              <w:rPr>
                <w:b/>
                <w:sz w:val="16"/>
              </w:rPr>
              <w:t>Implemented</w:t>
            </w:r>
          </w:p>
        </w:tc>
        <w:tc>
          <w:tcPr>
            <w:tcW w:type="dxa" w:w="4493"/>
          </w:tcPr>
          <w:p>
            <w:pPr>
              <w:spacing w:after="20" w:before="20" w:line="254" w:lineRule="auto"/>
              <w:jc w:val="center"/>
            </w:pPr>
            <w:r>
              <w:rPr>
                <w:sz w:val="16"/>
              </w:rPr>
              <w:t>phase 6, both present</w:t>
            </w:r>
          </w:p>
        </w:tc>
      </w:tr>
      <w:tr>
        <w:tc>
          <w:tcPr>
            <w:tcW w:type="dxa" w:w="3096"/>
            <w:shd w:val="clear" w:color="auto" w:fill="F2F5F9"/>
          </w:tcPr>
          <w:p>
            <w:pPr>
              <w:spacing w:after="20" w:before="20" w:line="254" w:lineRule="auto"/>
              <w:jc w:val="left"/>
            </w:pPr>
            <w:r>
              <w:rPr>
                <w:sz w:val="16"/>
              </w:rPr>
              <w:t>Model comparison</w:t>
            </w:r>
          </w:p>
        </w:tc>
        <w:tc>
          <w:tcPr>
            <w:tcW w:type="dxa" w:w="1728"/>
            <w:shd w:val="clear" w:color="auto" w:fill="F2F5F9"/>
          </w:tcPr>
          <w:p>
            <w:pPr>
              <w:spacing w:after="20" w:before="20" w:line="254" w:lineRule="auto"/>
              <w:jc w:val="center"/>
            </w:pPr>
            <w:r>
              <w:rPr>
                <w:b/>
                <w:sz w:val="16"/>
              </w:rPr>
              <w:t>Implemented</w:t>
            </w:r>
          </w:p>
        </w:tc>
        <w:tc>
          <w:tcPr>
            <w:tcW w:type="dxa" w:w="4493"/>
            <w:shd w:val="clear" w:color="auto" w:fill="F2F5F9"/>
          </w:tcPr>
          <w:p>
            <w:pPr>
              <w:spacing w:after="20" w:before="20" w:line="254" w:lineRule="auto"/>
              <w:jc w:val="left"/>
            </w:pPr>
            <w:r>
              <w:rPr>
                <w:sz w:val="16"/>
              </w:rPr>
              <w:t>phase 6, 5 models across 5 metrics</w:t>
            </w:r>
          </w:p>
        </w:tc>
      </w:tr>
      <w:tr>
        <w:tc>
          <w:tcPr>
            <w:tcW w:type="dxa" w:w="3096"/>
          </w:tcPr>
          <w:p>
            <w:pPr>
              <w:spacing w:after="20" w:before="20" w:line="254" w:lineRule="auto"/>
              <w:jc w:val="left"/>
            </w:pPr>
            <w:r>
              <w:rPr>
                <w:sz w:val="16"/>
              </w:rPr>
              <w:t>Churn probability prediction</w:t>
            </w:r>
          </w:p>
        </w:tc>
        <w:tc>
          <w:tcPr>
            <w:tcW w:type="dxa" w:w="1728"/>
          </w:tcPr>
          <w:p>
            <w:pPr>
              <w:spacing w:after="20" w:before="20" w:line="254" w:lineRule="auto"/>
              <w:jc w:val="center"/>
            </w:pPr>
            <w:r>
              <w:rPr>
                <w:b/>
                <w:sz w:val="16"/>
              </w:rPr>
              <w:t>Implemented</w:t>
            </w:r>
          </w:p>
        </w:tc>
        <w:tc>
          <w:tcPr>
            <w:tcW w:type="dxa" w:w="4493"/>
          </w:tcPr>
          <w:p>
            <w:pPr>
              <w:spacing w:after="20" w:before="20" w:line="254" w:lineRule="auto"/>
              <w:jc w:val="left"/>
            </w:pPr>
            <w:r>
              <w:rPr>
                <w:rFonts w:ascii="Consolas" w:hAnsi="Consolas" w:eastAsia="Consolas"/>
                <w:color w:val="8A2C1F"/>
                <w:sz w:val="15"/>
              </w:rPr>
              <w:t>predict_proba</w:t>
            </w:r>
            <w:r>
              <w:rPr>
                <w:sz w:val="16"/>
              </w:rPr>
              <w:t xml:space="preserve"> available on the saved pipeline</w:t>
            </w:r>
          </w:p>
        </w:tc>
      </w:tr>
      <w:tr>
        <w:tc>
          <w:tcPr>
            <w:tcW w:type="dxa" w:w="3096"/>
            <w:shd w:val="clear" w:color="auto" w:fill="F2F5F9"/>
          </w:tcPr>
          <w:p>
            <w:pPr>
              <w:spacing w:after="20" w:before="20" w:line="254" w:lineRule="auto"/>
              <w:jc w:val="left"/>
            </w:pPr>
            <w:r>
              <w:rPr>
                <w:sz w:val="16"/>
              </w:rPr>
              <w:t>Explainable AI (SHAP)</w:t>
            </w:r>
          </w:p>
        </w:tc>
        <w:tc>
          <w:tcPr>
            <w:tcW w:type="dxa" w:w="1728"/>
            <w:shd w:val="clear" w:color="auto" w:fill="F2F5F9"/>
          </w:tcPr>
          <w:p>
            <w:pPr>
              <w:spacing w:after="20" w:before="20" w:line="254" w:lineRule="auto"/>
              <w:jc w:val="center"/>
            </w:pPr>
            <w:r>
              <w:rPr>
                <w:sz w:val="16"/>
              </w:rPr>
              <w:t>Partial</w:t>
            </w:r>
          </w:p>
        </w:tc>
        <w:tc>
          <w:tcPr>
            <w:tcW w:type="dxa" w:w="4493"/>
            <w:shd w:val="clear" w:color="auto" w:fill="F2F5F9"/>
          </w:tcPr>
          <w:p>
            <w:pPr>
              <w:spacing w:after="20" w:before="20" w:line="254" w:lineRule="auto"/>
              <w:jc w:val="left"/>
            </w:pPr>
            <w:r>
              <w:rPr>
                <w:sz w:val="16"/>
              </w:rPr>
              <w:t>gain importance only; no SHAP, no per-customer attribution</w:t>
            </w:r>
          </w:p>
        </w:tc>
      </w:tr>
      <w:tr>
        <w:tc>
          <w:tcPr>
            <w:tcW w:type="dxa" w:w="3096"/>
          </w:tcPr>
          <w:p>
            <w:pPr>
              <w:spacing w:after="20" w:before="20" w:line="254" w:lineRule="auto"/>
              <w:jc w:val="left"/>
            </w:pPr>
            <w:r>
              <w:rPr>
                <w:sz w:val="16"/>
              </w:rPr>
              <w:t>High-risk customer dashboard</w:t>
            </w:r>
          </w:p>
        </w:tc>
        <w:tc>
          <w:tcPr>
            <w:tcW w:type="dxa" w:w="1728"/>
          </w:tcPr>
          <w:p>
            <w:pPr>
              <w:spacing w:after="20" w:before="20" w:line="254" w:lineRule="auto"/>
              <w:jc w:val="center"/>
            </w:pPr>
            <w:r>
              <w:rPr>
                <w:sz w:val="16"/>
              </w:rPr>
              <w:t>Not implemented</w:t>
            </w:r>
          </w:p>
        </w:tc>
        <w:tc>
          <w:tcPr>
            <w:tcW w:type="dxa" w:w="4493"/>
          </w:tcPr>
          <w:p>
            <w:pPr>
              <w:spacing w:after="20" w:before="20" w:line="254" w:lineRule="auto"/>
              <w:jc w:val="left"/>
            </w:pPr>
            <w:r>
              <w:rPr>
                <w:sz w:val="16"/>
              </w:rPr>
              <w:t>no Streamlit or web module</w:t>
            </w:r>
          </w:p>
        </w:tc>
      </w:tr>
      <w:tr>
        <w:tc>
          <w:tcPr>
            <w:tcW w:type="dxa" w:w="3096"/>
            <w:shd w:val="clear" w:color="auto" w:fill="F2F5F9"/>
          </w:tcPr>
          <w:p>
            <w:pPr>
              <w:spacing w:after="20" w:before="20" w:line="254" w:lineRule="auto"/>
              <w:jc w:val="left"/>
            </w:pPr>
            <w:r>
              <w:rPr>
                <w:sz w:val="16"/>
              </w:rPr>
              <w:t>Business recommendations engine</w:t>
            </w:r>
          </w:p>
        </w:tc>
        <w:tc>
          <w:tcPr>
            <w:tcW w:type="dxa" w:w="1728"/>
            <w:shd w:val="clear" w:color="auto" w:fill="F2F5F9"/>
          </w:tcPr>
          <w:p>
            <w:pPr>
              <w:spacing w:after="20" w:before="20" w:line="254" w:lineRule="auto"/>
              <w:jc w:val="center"/>
            </w:pPr>
            <w:r>
              <w:rPr>
                <w:sz w:val="16"/>
              </w:rPr>
              <w:t>Not implemented</w:t>
            </w:r>
          </w:p>
        </w:tc>
        <w:tc>
          <w:tcPr>
            <w:tcW w:type="dxa" w:w="4493"/>
            <w:shd w:val="clear" w:color="auto" w:fill="F2F5F9"/>
          </w:tcPr>
          <w:p>
            <w:pPr>
              <w:spacing w:after="20" w:before="20" w:line="254" w:lineRule="auto"/>
              <w:jc w:val="left"/>
            </w:pPr>
            <w:r>
              <w:rPr>
                <w:sz w:val="16"/>
              </w:rPr>
              <w:t>recommendations are analytical, not generated by code</w:t>
            </w:r>
          </w:p>
        </w:tc>
      </w:tr>
      <w:tr>
        <w:tc>
          <w:tcPr>
            <w:tcW w:type="dxa" w:w="3096"/>
          </w:tcPr>
          <w:p>
            <w:pPr>
              <w:spacing w:after="20" w:before="20" w:line="254" w:lineRule="auto"/>
              <w:jc w:val="left"/>
            </w:pPr>
            <w:r>
              <w:rPr>
                <w:sz w:val="16"/>
              </w:rPr>
              <w:t>Revenue-impact estimation</w:t>
            </w:r>
          </w:p>
        </w:tc>
        <w:tc>
          <w:tcPr>
            <w:tcW w:type="dxa" w:w="1728"/>
          </w:tcPr>
          <w:p>
            <w:pPr>
              <w:spacing w:after="20" w:before="20" w:line="254" w:lineRule="auto"/>
              <w:jc w:val="center"/>
            </w:pPr>
            <w:r>
              <w:rPr>
                <w:sz w:val="16"/>
              </w:rPr>
              <w:t>Not implemented</w:t>
            </w:r>
          </w:p>
        </w:tc>
        <w:tc>
          <w:tcPr>
            <w:tcW w:type="dxa" w:w="4493"/>
          </w:tcPr>
          <w:p>
            <w:pPr>
              <w:spacing w:after="20" w:before="20" w:line="254" w:lineRule="auto"/>
              <w:jc w:val="left"/>
            </w:pPr>
            <w:r>
              <w:rPr>
                <w:sz w:val="16"/>
              </w:rPr>
              <w:t>no module computes revenue at risk</w:t>
            </w:r>
          </w:p>
        </w:tc>
      </w:tr>
    </w:tbl>
    <w:p>
      <w:pPr>
        <w:spacing w:before="80" w:after="200"/>
        <w:jc w:val="center"/>
      </w:pPr>
      <w:r>
        <w:rPr>
          <w:i/>
          <w:color w:val="555F6B"/>
          <w:sz w:val="17"/>
        </w:rPr>
        <w:t>Table 38: Implementation status of each component specified in the project proposal.</w:t>
      </w:r>
    </w:p>
    <w:p>
      <w:pPr>
        <w:spacing w:after="120" w:before="0"/>
        <w:jc w:val="both"/>
      </w:pPr>
      <w:r>
        <w:rPr>
          <w:b w:val="0"/>
          <w:i w:val="0"/>
          <w:sz w:val="21"/>
        </w:rPr>
        <w:t>The four outstanding components are all downstream of a working model, which now exists and is serialised. A SHAP module would extend the existing importance chart to per-customer attribution; a Streamlit page would read the saved pipeline and render a ranked list; a business-impact module would apply the formulas already set out in Section 13.1. None requires the modelling work to be revisited.</w:t>
      </w:r>
    </w:p>
    <w:p>
      <w:pPr>
        <w:keepNext/>
        <w:spacing w:before="240" w:after="80"/>
      </w:pPr>
      <w:r>
        <w:rPr>
          <w:rFonts w:ascii="Calibri" w:hAnsi="Calibri"/>
          <w:b/>
          <w:color w:val="1B355E"/>
          <w:sz w:val="25"/>
        </w:rPr>
        <w:t>15.8  Analytical limitations of the dataset itself</w:t>
      </w:r>
    </w:p>
    <w:p>
      <w:pPr>
        <w:pStyle w:val="ListBullet"/>
        <w:spacing w:after="60" w:line="264" w:lineRule="auto"/>
        <w:ind w:left="547"/>
      </w:pPr>
      <w:r>
        <w:rPr>
          <w:b/>
          <w:sz w:val="21"/>
        </w:rPr>
        <w:t xml:space="preserve">No temporal dimension. </w:t>
      </w:r>
      <w:r>
        <w:rPr>
          <w:sz w:val="21"/>
        </w:rPr>
        <w:t>The dataset is a single cross-sectional snapshot. There is no observation window, no prediction horizon and no event date, so the model answers "does this customer resemble one who has left" rather than "will this customer leave in the next ninety days". A production system needs the second question, and answering it requires time-stamped records.</w:t>
      </w:r>
    </w:p>
    <w:p>
      <w:pPr>
        <w:pStyle w:val="ListBullet"/>
        <w:spacing w:after="60" w:line="264" w:lineRule="auto"/>
        <w:ind w:left="547"/>
      </w:pPr>
      <w:r>
        <w:rPr>
          <w:b/>
          <w:sz w:val="21"/>
        </w:rPr>
        <w:t xml:space="preserve">No behavioural telemetry. </w:t>
      </w:r>
      <w:r>
        <w:rPr>
          <w:sz w:val="21"/>
        </w:rPr>
        <w:t>Support-ticket volume, network-quality incidents, usage trend and competitor pricing are all absent. These are typically the strongest churn predictors in telecommunications, and their absence is the most credible explanation for the 0.83-0.86 performance ceiling that this dataset consistently produces.</w:t>
      </w:r>
    </w:p>
    <w:p>
      <w:pPr>
        <w:pStyle w:val="ListBullet"/>
        <w:spacing w:after="60" w:line="264" w:lineRule="auto"/>
        <w:ind w:left="547"/>
      </w:pPr>
      <w:r>
        <w:rPr>
          <w:b/>
          <w:sz w:val="21"/>
        </w:rPr>
        <w:t xml:space="preserve">Probabilities are not calibrated. </w:t>
      </w:r>
      <w:r>
        <w:rPr>
          <w:sz w:val="21"/>
        </w:rPr>
        <w:t>Class weighting deliberately distorts the predicted probabilities in order to improve recall. A predicted 0.7 does not therefore mean a 70 % chance of churn, which is a problem the moment probability is multiplied by customer value to rank a call list. Platt scaling or isotonic regression on a held-out calibration set would correct this.</w:t>
      </w:r>
    </w:p>
    <w:p>
      <w:pPr>
        <w:pStyle w:val="ListBullet"/>
        <w:spacing w:after="60" w:line="264" w:lineRule="auto"/>
        <w:ind w:left="547"/>
      </w:pPr>
      <w:r>
        <w:rPr>
          <w:b/>
          <w:sz w:val="21"/>
        </w:rPr>
        <w:t xml:space="preserve">The decision threshold is fixed at 0.5. </w:t>
      </w:r>
      <w:r>
        <w:rPr>
          <w:sz w:val="21"/>
        </w:rPr>
        <w:t>The default cut-off is a mathematical convention, not a business choice. Since a missed churner costs far more than a false alarm, the optimal threshold is almost certainly lower. Sweeping it against the cost ratio in Section 13.4 would likely improve net benefit at no modelling cost at all.</w:t>
      </w:r>
    </w:p>
    <w:p>
      <w:r>
        <w:br w:type="page"/>
      </w:r>
    </w:p>
    <w:p>
      <w:pPr>
        <w:spacing w:after="0"/>
      </w:pPr>
    </w:p>
    <w:p>
      <w:pPr>
        <w:keepNext/>
        <w:spacing w:before="80" w:after="40"/>
        <w:pBdr>
          <w:bottom w:val="single" w:sz="10" w:space="3" w:color="1B355E"/>
        </w:pBdr>
      </w:pPr>
      <w:r>
        <w:rPr>
          <w:rFonts w:ascii="Calibri" w:hAnsi="Calibri"/>
          <w:b/>
          <w:color w:val="1B355E"/>
          <w:sz w:val="30"/>
        </w:rPr>
        <w:t>16.  Conclusion</w:t>
      </w:r>
    </w:p>
    <w:p>
      <w:pPr>
        <w:spacing w:after="40"/>
      </w:pPr>
    </w:p>
    <w:p>
      <w:pPr>
        <w:spacing w:after="120" w:before="0"/>
        <w:jc w:val="both"/>
      </w:pPr>
      <w:r>
        <w:rPr>
          <w:b w:val="0"/>
          <w:i w:val="0"/>
          <w:sz w:val="21"/>
        </w:rPr>
        <w:t>The codebase delivers a complete and working analytics pipeline. Six sequential modules, totalling 1 709 lines, take a raw 7 043-record customer file through profiling, cleaning, exploratory analysis, feature construction, unsupervised segmentation and supervised modelling, producing three derived datasets, sixteen charts, a model-comparison table and a serialised prediction pipeline. Every artefact described in this report exists on disk and was read directly in preparing it.</w:t>
      </w:r>
    </w:p>
    <w:p>
      <w:pPr>
        <w:keepNext/>
        <w:spacing w:before="240" w:after="80"/>
      </w:pPr>
      <w:r>
        <w:rPr>
          <w:rFonts w:ascii="Calibri" w:hAnsi="Calibri"/>
          <w:b/>
          <w:color w:val="1B355E"/>
          <w:sz w:val="25"/>
        </w:rPr>
        <w:t>16.1  What the implementation achieves</w:t>
      </w:r>
    </w:p>
    <w:p>
      <w:pPr>
        <w:pStyle w:val="ListBullet"/>
        <w:spacing w:after="60" w:line="264" w:lineRule="auto"/>
        <w:ind w:left="547"/>
      </w:pPr>
      <w:r>
        <w:rPr>
          <w:b/>
          <w:sz w:val="21"/>
        </w:rPr>
        <w:t xml:space="preserve">A validated dataset with no records lost. </w:t>
      </w:r>
      <w:r>
        <w:rPr>
          <w:sz w:val="21"/>
        </w:rPr>
        <w:t>Phase 2 repaired all eleven defective values using domain reasoning rather than statistical default, and retained all 7 043 records, so the class balance is preserved exactly and no selection bias is introduced.</w:t>
      </w:r>
    </w:p>
    <w:p>
      <w:pPr>
        <w:pStyle w:val="ListBullet"/>
        <w:spacing w:after="60" w:line="264" w:lineRule="auto"/>
        <w:ind w:left="547"/>
      </w:pPr>
      <w:r>
        <w:rPr>
          <w:b/>
          <w:sz w:val="21"/>
        </w:rPr>
        <w:t xml:space="preserve">Quantified churn drivers. </w:t>
      </w:r>
      <w:r>
        <w:rPr>
          <w:sz w:val="21"/>
        </w:rPr>
        <w:t>Contract type separates churn from 42.71 % to 2.83 %; the first six months carry a 52.94 % rate against a 26.54 % base; electronic-check payment reaches 45.29 %; and gender is confirmed as noise at a 0.76-point gap.</w:t>
      </w:r>
    </w:p>
    <w:p>
      <w:pPr>
        <w:pStyle w:val="ListBullet"/>
        <w:spacing w:after="60" w:line="264" w:lineRule="auto"/>
        <w:ind w:left="547"/>
      </w:pPr>
      <w:r>
        <w:rPr>
          <w:b/>
          <w:sz w:val="21"/>
        </w:rPr>
        <w:t xml:space="preserve">Four actionable segments found without the label. </w:t>
      </w:r>
      <w:r>
        <w:rPr>
          <w:sz w:val="21"/>
        </w:rPr>
        <w:t>K-Means on tenure, service count and monthly charges separated the base into groups whose churn rates span 4.44 % to 47.37 %, despite never being shown a churn value during fitting.</w:t>
      </w:r>
    </w:p>
    <w:p>
      <w:pPr>
        <w:pStyle w:val="ListBullet"/>
        <w:spacing w:after="60" w:line="264" w:lineRule="auto"/>
        <w:ind w:left="547"/>
      </w:pPr>
      <w:r>
        <w:rPr>
          <w:b/>
          <w:sz w:val="21"/>
        </w:rPr>
        <w:t xml:space="preserve">Five models trained and honestly compared. </w:t>
      </w:r>
      <w:r>
        <w:rPr>
          <w:sz w:val="21"/>
        </w:rPr>
        <w:t>The best hold-out ROC-AUC is 0.8349 at 0.7766 recall, competitive with published results on this dataset, with the full preprocessing pipeline serialised for reuse.</w:t>
      </w:r>
    </w:p>
    <w:p>
      <w:pPr>
        <w:pStyle w:val="ListBullet"/>
        <w:spacing w:after="60" w:line="264" w:lineRule="auto"/>
        <w:ind w:left="547"/>
      </w:pPr>
      <w:r>
        <w:rPr>
          <w:b/>
          <w:sz w:val="21"/>
        </w:rPr>
        <w:t xml:space="preserve">A leakage-safe modelling architecture. </w:t>
      </w:r>
      <w:r>
        <w:rPr>
          <w:sz w:val="21"/>
        </w:rPr>
        <w:t>All imputation, scaling and encoding sit inside a ColumnTransformer within each model pipeline, so fold statistics are learned only from training rows.</w:t>
      </w:r>
    </w:p>
    <w:p>
      <w:pPr>
        <w:keepNext/>
        <w:spacing w:before="240" w:after="80"/>
      </w:pPr>
      <w:r>
        <w:rPr>
          <w:rFonts w:ascii="Calibri" w:hAnsi="Calibri"/>
          <w:b/>
          <w:color w:val="1B355E"/>
          <w:sz w:val="25"/>
        </w:rPr>
        <w:t>16.2  What the results actually support</w:t>
      </w:r>
    </w:p>
    <w:p>
      <w:pPr>
        <w:spacing w:after="120" w:before="0"/>
        <w:jc w:val="both"/>
      </w:pPr>
      <w:r>
        <w:rPr>
          <w:b w:val="0"/>
          <w:i w:val="0"/>
          <w:sz w:val="21"/>
        </w:rPr>
        <w:t>The strongest claim the evidence supports is not the headline ROC-AUC. It is that three methodologically independent analyses — descriptive statistics, unsupervised clustering and a gradient-boosted ensemble — converged on the same five findings about what drives churn in this customer base. That convergence, set out in Table 32, is what makes the retention strategy in Section 13 defensible rather than merely plausible.</w:t>
      </w:r>
    </w:p>
    <w:p>
      <w:pPr>
        <w:spacing w:after="120" w:before="0"/>
        <w:jc w:val="both"/>
      </w:pPr>
      <w:r>
        <w:rPr>
          <w:b w:val="0"/>
          <w:i w:val="0"/>
          <w:sz w:val="21"/>
        </w:rPr>
        <w:t>A weaker claim must be made about model ranking. The top three models separate by 0.0020 of ROC-AUC on a 353-record hold-out, which is far inside sampling noise. The correct statement is that Logistic Regression, Random Forest and tuned XGBoost perform equivalently on this data, and that Logistic Regression is preferable in practice because it achieves that performance in under a second and yields coefficients a retention team can read.</w:t>
      </w:r>
    </w:p>
    <w:p>
      <w:pPr>
        <w:keepNext/>
        <w:spacing w:before="240" w:after="80"/>
      </w:pPr>
      <w:r>
        <w:rPr>
          <w:rFonts w:ascii="Calibri" w:hAnsi="Calibri"/>
          <w:b/>
          <w:color w:val="1B355E"/>
          <w:sz w:val="25"/>
        </w:rPr>
        <w:t>16.3  Priority actions</w:t>
      </w:r>
    </w:p>
    <w:p>
      <w:pPr>
        <w:spacing w:after="80" w:line="264" w:lineRule="auto"/>
        <w:ind w:left="806" w:hanging="490"/>
        <w:jc w:val="both"/>
        <w:tabs>
          <w:tab w:val="left" w:pos="806"/>
        </w:tabs>
      </w:pPr>
      <w:r>
        <w:rPr>
          <w:b/>
          <w:color w:val="0B5C7A"/>
          <w:sz w:val="21"/>
        </w:rPr>
        <w:t>1.</w:t>
      </w:r>
      <w:r>
        <w:rPr>
          <w:sz w:val="21"/>
        </w:rPr>
        <w:tab/>
      </w:r>
      <w:r>
        <w:rPr>
          <w:b/>
          <w:sz w:val="21"/>
        </w:rPr>
        <w:t xml:space="preserve">Enlarge the hold-out partition. </w:t>
      </w:r>
      <w:r>
        <w:rPr>
          <w:sz w:val="21"/>
        </w:rPr>
        <w:t>Setting TEST_SIZE to 0.20 and correcting the three print statements would make the reported metrics stable enough to support a genuine model ranking. This is a one-line change with the largest effect on result quality of anything in this list.</w:t>
      </w:r>
    </w:p>
    <w:p>
      <w:pPr>
        <w:spacing w:after="80" w:line="264" w:lineRule="auto"/>
        <w:ind w:left="806" w:hanging="490"/>
        <w:jc w:val="both"/>
        <w:tabs>
          <w:tab w:val="left" w:pos="806"/>
        </w:tabs>
      </w:pPr>
      <w:r>
        <w:rPr>
          <w:b/>
          <w:color w:val="0B5C7A"/>
          <w:sz w:val="21"/>
        </w:rPr>
        <w:t>2.</w:t>
      </w:r>
      <w:r>
        <w:rPr>
          <w:sz w:val="21"/>
        </w:rPr>
        <w:tab/>
      </w:r>
      <w:r>
        <w:rPr>
          <w:b/>
          <w:sz w:val="21"/>
        </w:rPr>
        <w:t xml:space="preserve">Remove the segment-label leakage. </w:t>
      </w:r>
      <w:r>
        <w:rPr>
          <w:sz w:val="21"/>
        </w:rPr>
        <w:t>Substituting the numeric Cluster column for the churn-derived CustomerSegment label in phase 6 would eliminate the leakage described in Section 15.3 and yield a trustworthy performance figure.</w:t>
      </w:r>
    </w:p>
    <w:p>
      <w:pPr>
        <w:spacing w:after="80" w:line="264" w:lineRule="auto"/>
        <w:ind w:left="806" w:hanging="490"/>
        <w:jc w:val="both"/>
        <w:tabs>
          <w:tab w:val="left" w:pos="806"/>
        </w:tabs>
      </w:pPr>
      <w:r>
        <w:rPr>
          <w:b/>
          <w:color w:val="0B5C7A"/>
          <w:sz w:val="21"/>
        </w:rPr>
        <w:t>3.</w:t>
      </w:r>
      <w:r>
        <w:rPr>
          <w:sz w:val="21"/>
        </w:rPr>
        <w:tab/>
      </w:r>
      <w:r>
        <w:rPr>
          <w:b/>
          <w:sz w:val="21"/>
        </w:rPr>
        <w:t xml:space="preserve">Connect phase 4 to phase 6. </w:t>
      </w:r>
      <w:r>
        <w:rPr>
          <w:sz w:val="21"/>
        </w:rPr>
        <w:t>Merging the engineered features into the modelling matrix would put six currently unused business features to work, including the non-monotonic service-count signal that no existing model input captures.</w:t>
      </w:r>
    </w:p>
    <w:p>
      <w:pPr>
        <w:spacing w:after="80" w:line="264" w:lineRule="auto"/>
        <w:ind w:left="806" w:hanging="490"/>
        <w:jc w:val="both"/>
        <w:tabs>
          <w:tab w:val="left" w:pos="806"/>
        </w:tabs>
      </w:pPr>
      <w:r>
        <w:rPr>
          <w:b/>
          <w:color w:val="0B5C7A"/>
          <w:sz w:val="21"/>
        </w:rPr>
        <w:t>4.</w:t>
      </w:r>
      <w:r>
        <w:rPr>
          <w:sz w:val="21"/>
        </w:rPr>
        <w:tab/>
      </w:r>
      <w:r>
        <w:rPr>
          <w:b/>
          <w:sz w:val="21"/>
        </w:rPr>
        <w:t xml:space="preserve">Build the four outstanding components. </w:t>
      </w:r>
      <w:r>
        <w:rPr>
          <w:sz w:val="21"/>
        </w:rPr>
        <w:t>SHAP attribution, the dashboard, the recommendation engine and the revenue-impact module are all downstream of the serialised model and require no change to the modelling work.</w:t>
      </w:r>
    </w:p>
    <w:p>
      <w:pPr>
        <w:spacing w:after="80" w:line="264" w:lineRule="auto"/>
        <w:ind w:left="806" w:hanging="490"/>
        <w:jc w:val="both"/>
        <w:tabs>
          <w:tab w:val="left" w:pos="806"/>
        </w:tabs>
      </w:pPr>
      <w:r>
        <w:rPr>
          <w:b/>
          <w:color w:val="0B5C7A"/>
          <w:sz w:val="21"/>
        </w:rPr>
        <w:t>5.</w:t>
      </w:r>
      <w:r>
        <w:rPr>
          <w:sz w:val="21"/>
        </w:rPr>
        <w:tab/>
      </w:r>
      <w:r>
        <w:rPr>
          <w:b/>
          <w:sz w:val="21"/>
        </w:rPr>
        <w:t xml:space="preserve">Calibrate probabilities and tune the threshold. </w:t>
      </w:r>
      <w:r>
        <w:rPr>
          <w:sz w:val="21"/>
        </w:rPr>
        <w:t>Both are inexpensive, and both directly improve the quality of the revenue-ranked priority list that the business would actually act on.</w:t>
      </w:r>
    </w:p>
    <w:p>
      <w:pPr>
        <w:spacing w:after="120" w:before="80"/>
        <w:jc w:val="both"/>
      </w:pPr>
      <w:r>
        <w:rPr>
          <w:b w:val="0"/>
          <w:i w:val="0"/>
          <w:sz w:val="21"/>
        </w:rPr>
        <w:t>With the first two corrections applied, the pipeline would move from a sound analytical demonstration to a result that could be defended in review. The remaining work extends the system outward toward deployment rather than repairing anything within it.</w:t>
      </w:r>
    </w:p>
    <w:p>
      <w:r>
        <w:br w:type="page"/>
      </w:r>
    </w:p>
    <w:p>
      <w:pPr>
        <w:spacing w:after="0"/>
      </w:pPr>
    </w:p>
    <w:p>
      <w:pPr>
        <w:keepNext/>
        <w:spacing w:before="80" w:after="40"/>
        <w:pBdr>
          <w:bottom w:val="single" w:sz="10" w:space="3" w:color="1B355E"/>
        </w:pBdr>
      </w:pPr>
      <w:r>
        <w:rPr>
          <w:rFonts w:ascii="Calibri" w:hAnsi="Calibri"/>
          <w:b/>
          <w:color w:val="1B355E"/>
          <w:sz w:val="30"/>
        </w:rPr>
        <w:t>A.  Appendix A — Configuration Constant Reference</w:t>
      </w:r>
    </w:p>
    <w:p>
      <w:pPr>
        <w:spacing w:after="40"/>
      </w:pPr>
    </w:p>
    <w:p>
      <w:pPr>
        <w:spacing w:after="120" w:before="0"/>
        <w:jc w:val="both"/>
      </w:pPr>
      <w:r>
        <w:rPr>
          <w:b w:val="0"/>
          <w:i w:val="0"/>
          <w:sz w:val="21"/>
        </w:rPr>
        <w:t>Every configurable value in the codebase, grouped by the module that declares it. There is no shared configuration file, so a value used by more than one module must be changed in each.</w:t>
      </w:r>
    </w:p>
    <w:p>
      <w:pPr>
        <w:keepNext/>
        <w:spacing w:before="240" w:after="80"/>
      </w:pPr>
      <w:r>
        <w:rPr>
          <w:rFonts w:ascii="Calibri" w:hAnsi="Calibri"/>
          <w:b/>
          <w:color w:val="1B355E"/>
          <w:sz w:val="25"/>
        </w:rPr>
        <w:t>A.1  Path constants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512"/>
        <w:gridCol w:w="3240"/>
        <w:gridCol w:w="4564"/>
      </w:tblGrid>
      <w:tr>
        <w:tc>
          <w:tcPr>
            <w:tcW w:type="dxa" w:w="1512"/>
            <w:shd w:val="clear" w:color="auto" w:fill="1B355E"/>
          </w:tcPr>
          <w:p>
            <w:pPr>
              <w:spacing w:after="20" w:before="20"/>
              <w:jc w:val="center"/>
            </w:pPr>
            <w:r>
              <w:rPr>
                <w:b/>
                <w:color w:val="FFFFFF"/>
                <w:sz w:val="17"/>
              </w:rPr>
              <w:t>Module</w:t>
            </w:r>
          </w:p>
        </w:tc>
        <w:tc>
          <w:tcPr>
            <w:tcW w:type="dxa" w:w="3240"/>
            <w:shd w:val="clear" w:color="auto" w:fill="1B355E"/>
          </w:tcPr>
          <w:p>
            <w:pPr>
              <w:spacing w:after="20" w:before="20"/>
              <w:jc w:val="center"/>
            </w:pPr>
            <w:r>
              <w:rPr>
                <w:b/>
                <w:color w:val="FFFFFF"/>
                <w:sz w:val="17"/>
              </w:rPr>
              <w:t>Constant</w:t>
            </w:r>
          </w:p>
        </w:tc>
        <w:tc>
          <w:tcPr>
            <w:tcW w:type="dxa" w:w="4565"/>
            <w:shd w:val="clear" w:color="auto" w:fill="1B355E"/>
          </w:tcPr>
          <w:p>
            <w:pPr>
              <w:spacing w:after="20" w:before="20"/>
              <w:jc w:val="center"/>
            </w:pPr>
            <w:r>
              <w:rPr>
                <w:b/>
                <w:color w:val="FFFFFF"/>
                <w:sz w:val="17"/>
              </w:rPr>
              <w:t>Value</w:t>
            </w:r>
          </w:p>
        </w:tc>
      </w:tr>
      <w:tr>
        <w:tc>
          <w:tcPr>
            <w:tcW w:type="dxa" w:w="1512"/>
          </w:tcPr>
          <w:p>
            <w:pPr>
              <w:spacing w:after="20" w:before="20" w:line="254" w:lineRule="auto"/>
              <w:jc w:val="left"/>
            </w:pPr>
            <w:r>
              <w:rPr>
                <w:sz w:val="16"/>
              </w:rPr>
              <w:t>phase 1</w:t>
            </w:r>
          </w:p>
        </w:tc>
        <w:tc>
          <w:tcPr>
            <w:tcW w:type="dxa" w:w="3240"/>
          </w:tcPr>
          <w:p>
            <w:pPr>
              <w:spacing w:after="20" w:before="20" w:line="254" w:lineRule="auto"/>
              <w:jc w:val="center"/>
            </w:pPr>
            <w:r>
              <w:rPr>
                <w:rFonts w:ascii="Consolas" w:hAnsi="Consolas" w:eastAsia="Consolas"/>
                <w:color w:val="8A2C1F"/>
                <w:sz w:val="15"/>
              </w:rPr>
              <w:t>FILE_PATH</w:t>
            </w:r>
          </w:p>
        </w:tc>
        <w:tc>
          <w:tcPr>
            <w:tcW w:type="dxa" w:w="4565"/>
          </w:tcPr>
          <w:p>
            <w:pPr>
              <w:spacing w:after="20" w:before="20" w:line="254" w:lineRule="auto"/>
              <w:jc w:val="left"/>
            </w:pPr>
            <w:r>
              <w:rPr>
                <w:rFonts w:ascii="Consolas" w:hAnsi="Consolas" w:eastAsia="Consolas"/>
                <w:color w:val="8A2C1F"/>
                <w:sz w:val="15"/>
              </w:rPr>
              <w:t>"data/Customer-Churn.csv"</w:t>
            </w:r>
          </w:p>
        </w:tc>
      </w:tr>
      <w:tr>
        <w:tc>
          <w:tcPr>
            <w:tcW w:type="dxa" w:w="1512"/>
            <w:shd w:val="clear" w:color="auto" w:fill="F2F5F9"/>
          </w:tcPr>
          <w:p>
            <w:pPr>
              <w:spacing w:after="20" w:before="20" w:line="254" w:lineRule="auto"/>
              <w:jc w:val="left"/>
            </w:pPr>
            <w:r>
              <w:rPr>
                <w:sz w:val="16"/>
              </w:rPr>
              <w:t>phase 2</w:t>
            </w:r>
          </w:p>
        </w:tc>
        <w:tc>
          <w:tcPr>
            <w:tcW w:type="dxa" w:w="3240"/>
            <w:shd w:val="clear" w:color="auto" w:fill="F2F5F9"/>
          </w:tcPr>
          <w:p>
            <w:pPr>
              <w:spacing w:after="20" w:before="20" w:line="254" w:lineRule="auto"/>
              <w:jc w:val="center"/>
            </w:pPr>
            <w:r>
              <w:rPr>
                <w:rFonts w:ascii="Consolas" w:hAnsi="Consolas" w:eastAsia="Consolas"/>
                <w:color w:val="8A2C1F"/>
                <w:sz w:val="15"/>
              </w:rPr>
              <w:t>INPUT_FILE</w:t>
            </w:r>
          </w:p>
        </w:tc>
        <w:tc>
          <w:tcPr>
            <w:tcW w:type="dxa" w:w="4565"/>
            <w:shd w:val="clear" w:color="auto" w:fill="F2F5F9"/>
          </w:tcPr>
          <w:p>
            <w:pPr>
              <w:spacing w:after="20" w:before="20" w:line="254" w:lineRule="auto"/>
              <w:jc w:val="left"/>
            </w:pPr>
            <w:r>
              <w:rPr>
                <w:rFonts w:ascii="Consolas" w:hAnsi="Consolas" w:eastAsia="Consolas"/>
                <w:color w:val="8A2C1F"/>
                <w:sz w:val="15"/>
              </w:rPr>
              <w:t>"data/Customer-Churn.csv"</w:t>
            </w:r>
          </w:p>
        </w:tc>
      </w:tr>
      <w:tr>
        <w:tc>
          <w:tcPr>
            <w:tcW w:type="dxa" w:w="1512"/>
          </w:tcPr>
          <w:p>
            <w:pPr>
              <w:spacing w:after="20" w:before="20" w:line="254" w:lineRule="auto"/>
              <w:jc w:val="left"/>
            </w:pPr>
            <w:r>
              <w:rPr>
                <w:sz w:val="16"/>
              </w:rPr>
              <w:t>phase 2</w:t>
            </w:r>
          </w:p>
        </w:tc>
        <w:tc>
          <w:tcPr>
            <w:tcW w:type="dxa" w:w="3240"/>
          </w:tcPr>
          <w:p>
            <w:pPr>
              <w:spacing w:after="20" w:before="20" w:line="254" w:lineRule="auto"/>
              <w:jc w:val="center"/>
            </w:pPr>
            <w:r>
              <w:rPr>
                <w:rFonts w:ascii="Consolas" w:hAnsi="Consolas" w:eastAsia="Consolas"/>
                <w:color w:val="8A2C1F"/>
                <w:sz w:val="15"/>
              </w:rPr>
              <w:t>OUTPUT_FILE</w:t>
            </w:r>
          </w:p>
        </w:tc>
        <w:tc>
          <w:tcPr>
            <w:tcW w:type="dxa" w:w="4565"/>
          </w:tcPr>
          <w:p>
            <w:pPr>
              <w:spacing w:after="20" w:before="20" w:line="254" w:lineRule="auto"/>
              <w:jc w:val="left"/>
            </w:pPr>
            <w:r>
              <w:rPr>
                <w:rFonts w:ascii="Consolas" w:hAnsi="Consolas" w:eastAsia="Consolas"/>
                <w:color w:val="8A2C1F"/>
                <w:sz w:val="15"/>
              </w:rPr>
              <w:t>"data/Customer-Churn-Cleaned.csv"</w:t>
            </w:r>
          </w:p>
        </w:tc>
      </w:tr>
      <w:tr>
        <w:tc>
          <w:tcPr>
            <w:tcW w:type="dxa" w:w="1512"/>
            <w:shd w:val="clear" w:color="auto" w:fill="F2F5F9"/>
          </w:tcPr>
          <w:p>
            <w:pPr>
              <w:spacing w:after="20" w:before="20" w:line="254" w:lineRule="auto"/>
              <w:jc w:val="left"/>
            </w:pPr>
            <w:r>
              <w:rPr>
                <w:sz w:val="16"/>
              </w:rPr>
              <w:t>phase 3</w:t>
            </w:r>
          </w:p>
        </w:tc>
        <w:tc>
          <w:tcPr>
            <w:tcW w:type="dxa" w:w="3240"/>
            <w:shd w:val="clear" w:color="auto" w:fill="F2F5F9"/>
          </w:tcPr>
          <w:p>
            <w:pPr>
              <w:spacing w:after="20" w:before="20" w:line="254" w:lineRule="auto"/>
              <w:jc w:val="center"/>
            </w:pPr>
            <w:r>
              <w:rPr>
                <w:rFonts w:ascii="Consolas" w:hAnsi="Consolas" w:eastAsia="Consolas"/>
                <w:color w:val="8A2C1F"/>
                <w:sz w:val="15"/>
              </w:rPr>
              <w:t>INPUT_FILE</w:t>
            </w:r>
          </w:p>
        </w:tc>
        <w:tc>
          <w:tcPr>
            <w:tcW w:type="dxa" w:w="4565"/>
            <w:shd w:val="clear" w:color="auto" w:fill="F2F5F9"/>
          </w:tcPr>
          <w:p>
            <w:pPr>
              <w:spacing w:after="20" w:before="20" w:line="254" w:lineRule="auto"/>
              <w:jc w:val="left"/>
            </w:pPr>
            <w:r>
              <w:rPr>
                <w:rFonts w:ascii="Consolas" w:hAnsi="Consolas" w:eastAsia="Consolas"/>
                <w:color w:val="8A2C1F"/>
                <w:sz w:val="15"/>
              </w:rPr>
              <w:t>"data/Customer-Churn-Cleaned.csv"</w:t>
            </w:r>
          </w:p>
        </w:tc>
      </w:tr>
      <w:tr>
        <w:tc>
          <w:tcPr>
            <w:tcW w:type="dxa" w:w="1512"/>
          </w:tcPr>
          <w:p>
            <w:pPr>
              <w:spacing w:after="20" w:before="20" w:line="254" w:lineRule="auto"/>
              <w:jc w:val="left"/>
            </w:pPr>
            <w:r>
              <w:rPr>
                <w:sz w:val="16"/>
              </w:rPr>
              <w:t>phase 3</w:t>
            </w:r>
          </w:p>
        </w:tc>
        <w:tc>
          <w:tcPr>
            <w:tcW w:type="dxa" w:w="3240"/>
          </w:tcPr>
          <w:p>
            <w:pPr>
              <w:spacing w:after="20" w:before="20" w:line="254" w:lineRule="auto"/>
              <w:jc w:val="center"/>
            </w:pPr>
            <w:r>
              <w:rPr>
                <w:rFonts w:ascii="Consolas" w:hAnsi="Consolas" w:eastAsia="Consolas"/>
                <w:color w:val="8A2C1F"/>
                <w:sz w:val="15"/>
              </w:rPr>
              <w:t>OUTPUT_FOLDER</w:t>
            </w:r>
          </w:p>
        </w:tc>
        <w:tc>
          <w:tcPr>
            <w:tcW w:type="dxa" w:w="4565"/>
          </w:tcPr>
          <w:p>
            <w:pPr>
              <w:spacing w:after="20" w:before="20" w:line="254" w:lineRule="auto"/>
              <w:jc w:val="center"/>
            </w:pPr>
            <w:r>
              <w:rPr>
                <w:rFonts w:ascii="Consolas" w:hAnsi="Consolas" w:eastAsia="Consolas"/>
                <w:color w:val="8A2C1F"/>
                <w:sz w:val="15"/>
              </w:rPr>
              <w:t>"charts"</w:t>
            </w:r>
          </w:p>
        </w:tc>
      </w:tr>
      <w:tr>
        <w:tc>
          <w:tcPr>
            <w:tcW w:type="dxa" w:w="1512"/>
            <w:shd w:val="clear" w:color="auto" w:fill="F2F5F9"/>
          </w:tcPr>
          <w:p>
            <w:pPr>
              <w:spacing w:after="20" w:before="20" w:line="254" w:lineRule="auto"/>
              <w:jc w:val="left"/>
            </w:pPr>
            <w:r>
              <w:rPr>
                <w:sz w:val="16"/>
              </w:rPr>
              <w:t>phase 4</w:t>
            </w:r>
          </w:p>
        </w:tc>
        <w:tc>
          <w:tcPr>
            <w:tcW w:type="dxa" w:w="3240"/>
            <w:shd w:val="clear" w:color="auto" w:fill="F2F5F9"/>
          </w:tcPr>
          <w:p>
            <w:pPr>
              <w:spacing w:after="20" w:before="20" w:line="254" w:lineRule="auto"/>
              <w:jc w:val="center"/>
            </w:pPr>
            <w:r>
              <w:rPr>
                <w:rFonts w:ascii="Consolas" w:hAnsi="Consolas" w:eastAsia="Consolas"/>
                <w:color w:val="8A2C1F"/>
                <w:sz w:val="15"/>
              </w:rPr>
              <w:t>INPUT_FILE</w:t>
            </w:r>
          </w:p>
        </w:tc>
        <w:tc>
          <w:tcPr>
            <w:tcW w:type="dxa" w:w="4565"/>
            <w:shd w:val="clear" w:color="auto" w:fill="F2F5F9"/>
          </w:tcPr>
          <w:p>
            <w:pPr>
              <w:spacing w:after="20" w:before="20" w:line="254" w:lineRule="auto"/>
              <w:jc w:val="left"/>
            </w:pPr>
            <w:r>
              <w:rPr>
                <w:rFonts w:ascii="Consolas" w:hAnsi="Consolas" w:eastAsia="Consolas"/>
                <w:color w:val="8A2C1F"/>
                <w:sz w:val="15"/>
              </w:rPr>
              <w:t>"data/Customer-Churn-Cleaned.csv"</w:t>
            </w:r>
          </w:p>
        </w:tc>
      </w:tr>
      <w:tr>
        <w:tc>
          <w:tcPr>
            <w:tcW w:type="dxa" w:w="1512"/>
          </w:tcPr>
          <w:p>
            <w:pPr>
              <w:spacing w:after="20" w:before="20" w:line="254" w:lineRule="auto"/>
              <w:jc w:val="left"/>
            </w:pPr>
            <w:r>
              <w:rPr>
                <w:sz w:val="16"/>
              </w:rPr>
              <w:t>phase 4</w:t>
            </w:r>
          </w:p>
        </w:tc>
        <w:tc>
          <w:tcPr>
            <w:tcW w:type="dxa" w:w="3240"/>
          </w:tcPr>
          <w:p>
            <w:pPr>
              <w:spacing w:after="20" w:before="20" w:line="254" w:lineRule="auto"/>
              <w:jc w:val="center"/>
            </w:pPr>
            <w:r>
              <w:rPr>
                <w:rFonts w:ascii="Consolas" w:hAnsi="Consolas" w:eastAsia="Consolas"/>
                <w:color w:val="8A2C1F"/>
                <w:sz w:val="15"/>
              </w:rPr>
              <w:t>OUTPUT_FILE</w:t>
            </w:r>
          </w:p>
        </w:tc>
        <w:tc>
          <w:tcPr>
            <w:tcW w:type="dxa" w:w="4565"/>
          </w:tcPr>
          <w:p>
            <w:pPr>
              <w:spacing w:after="20" w:before="20" w:line="254" w:lineRule="auto"/>
              <w:jc w:val="left"/>
            </w:pPr>
            <w:r>
              <w:rPr>
                <w:rFonts w:ascii="Consolas" w:hAnsi="Consolas" w:eastAsia="Consolas"/>
                <w:color w:val="8A2C1F"/>
                <w:sz w:val="15"/>
              </w:rPr>
              <w:t>"data/Customer-Churn-Model-Ready.csv"</w:t>
            </w:r>
          </w:p>
        </w:tc>
      </w:tr>
      <w:tr>
        <w:tc>
          <w:tcPr>
            <w:tcW w:type="dxa" w:w="1512"/>
            <w:shd w:val="clear" w:color="auto" w:fill="F2F5F9"/>
          </w:tcPr>
          <w:p>
            <w:pPr>
              <w:spacing w:after="20" w:before="20" w:line="254" w:lineRule="auto"/>
              <w:jc w:val="left"/>
            </w:pPr>
            <w:r>
              <w:rPr>
                <w:sz w:val="16"/>
              </w:rPr>
              <w:t>phase 5</w:t>
            </w:r>
          </w:p>
        </w:tc>
        <w:tc>
          <w:tcPr>
            <w:tcW w:type="dxa" w:w="3240"/>
            <w:shd w:val="clear" w:color="auto" w:fill="F2F5F9"/>
          </w:tcPr>
          <w:p>
            <w:pPr>
              <w:spacing w:after="20" w:before="20" w:line="254" w:lineRule="auto"/>
              <w:jc w:val="center"/>
            </w:pPr>
            <w:r>
              <w:rPr>
                <w:rFonts w:ascii="Consolas" w:hAnsi="Consolas" w:eastAsia="Consolas"/>
                <w:color w:val="8A2C1F"/>
                <w:sz w:val="15"/>
              </w:rPr>
              <w:t>INPUT_FILE</w:t>
            </w:r>
          </w:p>
        </w:tc>
        <w:tc>
          <w:tcPr>
            <w:tcW w:type="dxa" w:w="4565"/>
            <w:shd w:val="clear" w:color="auto" w:fill="F2F5F9"/>
          </w:tcPr>
          <w:p>
            <w:pPr>
              <w:spacing w:after="20" w:before="20" w:line="254" w:lineRule="auto"/>
              <w:jc w:val="left"/>
            </w:pPr>
            <w:r>
              <w:rPr>
                <w:rFonts w:ascii="Consolas" w:hAnsi="Consolas" w:eastAsia="Consolas"/>
                <w:color w:val="8A2C1F"/>
                <w:sz w:val="15"/>
              </w:rPr>
              <w:t>"data/Customer-Churn-Cleaned.csv"</w:t>
            </w:r>
          </w:p>
        </w:tc>
      </w:tr>
      <w:tr>
        <w:tc>
          <w:tcPr>
            <w:tcW w:type="dxa" w:w="1512"/>
          </w:tcPr>
          <w:p>
            <w:pPr>
              <w:spacing w:after="20" w:before="20" w:line="254" w:lineRule="auto"/>
              <w:jc w:val="left"/>
            </w:pPr>
            <w:r>
              <w:rPr>
                <w:sz w:val="16"/>
              </w:rPr>
              <w:t>phase 5</w:t>
            </w:r>
          </w:p>
        </w:tc>
        <w:tc>
          <w:tcPr>
            <w:tcW w:type="dxa" w:w="3240"/>
          </w:tcPr>
          <w:p>
            <w:pPr>
              <w:spacing w:after="20" w:before="20" w:line="254" w:lineRule="auto"/>
              <w:jc w:val="center"/>
            </w:pPr>
            <w:r>
              <w:rPr>
                <w:rFonts w:ascii="Consolas" w:hAnsi="Consolas" w:eastAsia="Consolas"/>
                <w:color w:val="8A2C1F"/>
                <w:sz w:val="15"/>
              </w:rPr>
              <w:t>OUTPUT_FILE</w:t>
            </w:r>
          </w:p>
        </w:tc>
        <w:tc>
          <w:tcPr>
            <w:tcW w:type="dxa" w:w="4565"/>
          </w:tcPr>
          <w:p>
            <w:pPr>
              <w:spacing w:after="20" w:before="20" w:line="254" w:lineRule="auto"/>
              <w:jc w:val="left"/>
            </w:pPr>
            <w:r>
              <w:rPr>
                <w:rFonts w:ascii="Consolas" w:hAnsi="Consolas" w:eastAsia="Consolas"/>
                <w:color w:val="8A2C1F"/>
                <w:sz w:val="15"/>
              </w:rPr>
              <w:t>"data/Customer-Churn-Segmented.csv"</w:t>
            </w:r>
          </w:p>
        </w:tc>
      </w:tr>
      <w:tr>
        <w:tc>
          <w:tcPr>
            <w:tcW w:type="dxa" w:w="1512"/>
            <w:shd w:val="clear" w:color="auto" w:fill="F2F5F9"/>
          </w:tcPr>
          <w:p>
            <w:pPr>
              <w:spacing w:after="20" w:before="20" w:line="254" w:lineRule="auto"/>
              <w:jc w:val="left"/>
            </w:pPr>
            <w:r>
              <w:rPr>
                <w:sz w:val="16"/>
              </w:rPr>
              <w:t>phase 5</w:t>
            </w:r>
          </w:p>
        </w:tc>
        <w:tc>
          <w:tcPr>
            <w:tcW w:type="dxa" w:w="3240"/>
            <w:shd w:val="clear" w:color="auto" w:fill="F2F5F9"/>
          </w:tcPr>
          <w:p>
            <w:pPr>
              <w:spacing w:after="20" w:before="20" w:line="254" w:lineRule="auto"/>
              <w:jc w:val="center"/>
            </w:pPr>
            <w:r>
              <w:rPr>
                <w:rFonts w:ascii="Consolas" w:hAnsi="Consolas" w:eastAsia="Consolas"/>
                <w:color w:val="8A2C1F"/>
                <w:sz w:val="15"/>
              </w:rPr>
              <w:t>CHART_FOLDER</w:t>
            </w:r>
          </w:p>
        </w:tc>
        <w:tc>
          <w:tcPr>
            <w:tcW w:type="dxa" w:w="4565"/>
            <w:shd w:val="clear" w:color="auto" w:fill="F2F5F9"/>
          </w:tcPr>
          <w:p>
            <w:pPr>
              <w:spacing w:after="20" w:before="20" w:line="254" w:lineRule="auto"/>
              <w:jc w:val="center"/>
            </w:pPr>
            <w:r>
              <w:rPr>
                <w:rFonts w:ascii="Consolas" w:hAnsi="Consolas" w:eastAsia="Consolas"/>
                <w:color w:val="8A2C1F"/>
                <w:sz w:val="15"/>
              </w:rPr>
              <w:t>"charts"</w:t>
            </w:r>
          </w:p>
        </w:tc>
      </w:tr>
      <w:tr>
        <w:tc>
          <w:tcPr>
            <w:tcW w:type="dxa" w:w="1512"/>
          </w:tcPr>
          <w:p>
            <w:pPr>
              <w:spacing w:after="20" w:before="20" w:line="254" w:lineRule="auto"/>
              <w:jc w:val="left"/>
            </w:pPr>
            <w:r>
              <w:rPr>
                <w:sz w:val="16"/>
              </w:rPr>
              <w:t>phase 6</w:t>
            </w:r>
          </w:p>
        </w:tc>
        <w:tc>
          <w:tcPr>
            <w:tcW w:type="dxa" w:w="3240"/>
          </w:tcPr>
          <w:p>
            <w:pPr>
              <w:spacing w:after="20" w:before="20" w:line="254" w:lineRule="auto"/>
              <w:jc w:val="center"/>
            </w:pPr>
            <w:r>
              <w:rPr>
                <w:rFonts w:ascii="Consolas" w:hAnsi="Consolas" w:eastAsia="Consolas"/>
                <w:color w:val="8A2C1F"/>
                <w:sz w:val="15"/>
              </w:rPr>
              <w:t>INPUT_FILE</w:t>
            </w:r>
          </w:p>
        </w:tc>
        <w:tc>
          <w:tcPr>
            <w:tcW w:type="dxa" w:w="4565"/>
          </w:tcPr>
          <w:p>
            <w:pPr>
              <w:spacing w:after="20" w:before="20" w:line="254" w:lineRule="auto"/>
              <w:jc w:val="left"/>
            </w:pPr>
            <w:r>
              <w:rPr>
                <w:rFonts w:ascii="Consolas" w:hAnsi="Consolas" w:eastAsia="Consolas"/>
                <w:color w:val="8A2C1F"/>
                <w:sz w:val="15"/>
              </w:rPr>
              <w:t>"data/Customer-Churn-Segmented.csv"</w:t>
            </w:r>
          </w:p>
        </w:tc>
      </w:tr>
      <w:tr>
        <w:tc>
          <w:tcPr>
            <w:tcW w:type="dxa" w:w="1512"/>
            <w:shd w:val="clear" w:color="auto" w:fill="F2F5F9"/>
          </w:tcPr>
          <w:p>
            <w:pPr>
              <w:spacing w:after="20" w:before="20" w:line="254" w:lineRule="auto"/>
              <w:jc w:val="left"/>
            </w:pPr>
            <w:r>
              <w:rPr>
                <w:sz w:val="16"/>
              </w:rPr>
              <w:t>phase 6</w:t>
            </w:r>
          </w:p>
        </w:tc>
        <w:tc>
          <w:tcPr>
            <w:tcW w:type="dxa" w:w="3240"/>
            <w:shd w:val="clear" w:color="auto" w:fill="F2F5F9"/>
          </w:tcPr>
          <w:p>
            <w:pPr>
              <w:spacing w:after="20" w:before="20" w:line="254" w:lineRule="auto"/>
              <w:jc w:val="left"/>
            </w:pPr>
            <w:r>
              <w:rPr>
                <w:rFonts w:ascii="Consolas" w:hAnsi="Consolas" w:eastAsia="Consolas"/>
                <w:color w:val="8A2C1F"/>
                <w:sz w:val="15"/>
              </w:rPr>
              <w:t>CHART_FOLDER</w:t>
            </w:r>
            <w:r>
              <w:rPr>
                <w:sz w:val="16"/>
              </w:rPr>
              <w:t xml:space="preserve">, </w:t>
            </w:r>
            <w:r>
              <w:rPr>
                <w:rFonts w:ascii="Consolas" w:hAnsi="Consolas" w:eastAsia="Consolas"/>
                <w:color w:val="8A2C1F"/>
                <w:sz w:val="15"/>
              </w:rPr>
              <w:t>MODEL_FOLDER</w:t>
            </w:r>
          </w:p>
        </w:tc>
        <w:tc>
          <w:tcPr>
            <w:tcW w:type="dxa" w:w="4565"/>
            <w:shd w:val="clear" w:color="auto" w:fill="F2F5F9"/>
          </w:tcPr>
          <w:p>
            <w:pPr>
              <w:spacing w:after="20" w:before="20" w:line="254" w:lineRule="auto"/>
              <w:jc w:val="center"/>
            </w:pPr>
            <w:r>
              <w:rPr>
                <w:rFonts w:ascii="Consolas" w:hAnsi="Consolas" w:eastAsia="Consolas"/>
                <w:color w:val="8A2C1F"/>
                <w:sz w:val="15"/>
              </w:rPr>
              <w:t>"charts"</w:t>
            </w:r>
            <w:r>
              <w:rPr>
                <w:sz w:val="16"/>
              </w:rPr>
              <w:t xml:space="preserve">, </w:t>
            </w:r>
            <w:r>
              <w:rPr>
                <w:rFonts w:ascii="Consolas" w:hAnsi="Consolas" w:eastAsia="Consolas"/>
                <w:color w:val="8A2C1F"/>
                <w:sz w:val="15"/>
              </w:rPr>
              <w:t>"models"</w:t>
            </w:r>
          </w:p>
        </w:tc>
      </w:tr>
    </w:tbl>
    <w:p>
      <w:pPr>
        <w:spacing w:before="80" w:after="200"/>
        <w:jc w:val="center"/>
      </w:pPr>
      <w:r>
        <w:rPr>
          <w:i/>
          <w:color w:val="555F6B"/>
          <w:sz w:val="17"/>
        </w:rPr>
        <w:t>Table 39: Path constants declared across the six modules.</w:t>
      </w:r>
    </w:p>
    <w:p>
      <w:pPr>
        <w:keepNext/>
        <w:spacing w:before="240" w:after="80"/>
      </w:pPr>
      <w:r>
        <w:rPr>
          <w:rFonts w:ascii="Calibri" w:hAnsi="Calibri"/>
          <w:b/>
          <w:color w:val="1B355E"/>
          <w:sz w:val="25"/>
        </w:rPr>
        <w:t>A.2  Analytical constants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1123"/>
        <w:gridCol w:w="1944"/>
        <w:gridCol w:w="1224"/>
        <w:gridCol w:w="5025"/>
      </w:tblGrid>
      <w:tr>
        <w:tc>
          <w:tcPr>
            <w:tcW w:type="dxa" w:w="1123"/>
            <w:shd w:val="clear" w:color="auto" w:fill="1B355E"/>
          </w:tcPr>
          <w:p>
            <w:pPr>
              <w:spacing w:after="20" w:before="20"/>
              <w:jc w:val="center"/>
            </w:pPr>
            <w:r>
              <w:rPr>
                <w:b/>
                <w:color w:val="FFFFFF"/>
                <w:sz w:val="17"/>
              </w:rPr>
              <w:t>Module</w:t>
            </w:r>
          </w:p>
        </w:tc>
        <w:tc>
          <w:tcPr>
            <w:tcW w:type="dxa" w:w="1944"/>
            <w:shd w:val="clear" w:color="auto" w:fill="1B355E"/>
          </w:tcPr>
          <w:p>
            <w:pPr>
              <w:spacing w:after="20" w:before="20"/>
              <w:jc w:val="center"/>
            </w:pPr>
            <w:r>
              <w:rPr>
                <w:b/>
                <w:color w:val="FFFFFF"/>
                <w:sz w:val="17"/>
              </w:rPr>
              <w:t>Constant</w:t>
            </w:r>
          </w:p>
        </w:tc>
        <w:tc>
          <w:tcPr>
            <w:tcW w:type="dxa" w:w="1224"/>
            <w:shd w:val="clear" w:color="auto" w:fill="1B355E"/>
          </w:tcPr>
          <w:p>
            <w:pPr>
              <w:spacing w:after="20" w:before="20"/>
              <w:jc w:val="center"/>
            </w:pPr>
            <w:r>
              <w:rPr>
                <w:b/>
                <w:color w:val="FFFFFF"/>
                <w:sz w:val="17"/>
              </w:rPr>
              <w:t>Value</w:t>
            </w:r>
          </w:p>
        </w:tc>
        <w:tc>
          <w:tcPr>
            <w:tcW w:type="dxa" w:w="5026"/>
            <w:shd w:val="clear" w:color="auto" w:fill="1B355E"/>
          </w:tcPr>
          <w:p>
            <w:pPr>
              <w:spacing w:after="20" w:before="20"/>
              <w:jc w:val="center"/>
            </w:pPr>
            <w:r>
              <w:rPr>
                <w:b/>
                <w:color w:val="FFFFFF"/>
                <w:sz w:val="17"/>
              </w:rPr>
              <w:t>Effect if changed</w:t>
            </w:r>
          </w:p>
        </w:tc>
      </w:tr>
      <w:tr>
        <w:tc>
          <w:tcPr>
            <w:tcW w:type="dxa" w:w="1123"/>
          </w:tcPr>
          <w:p>
            <w:pPr>
              <w:spacing w:after="20" w:before="20" w:line="254" w:lineRule="auto"/>
              <w:jc w:val="left"/>
            </w:pPr>
            <w:r>
              <w:rPr>
                <w:sz w:val="16"/>
              </w:rPr>
              <w:t>1, 2, 4</w:t>
            </w:r>
          </w:p>
        </w:tc>
        <w:tc>
          <w:tcPr>
            <w:tcW w:type="dxa" w:w="1944"/>
          </w:tcPr>
          <w:p>
            <w:pPr>
              <w:spacing w:after="20" w:before="20" w:line="254" w:lineRule="auto"/>
              <w:jc w:val="center"/>
            </w:pPr>
            <w:r>
              <w:rPr>
                <w:rFonts w:ascii="Consolas" w:hAnsi="Consolas" w:eastAsia="Consolas"/>
                <w:color w:val="8A2C1F"/>
                <w:sz w:val="15"/>
              </w:rPr>
              <w:t>TARGET_COLUMN</w:t>
            </w:r>
          </w:p>
        </w:tc>
        <w:tc>
          <w:tcPr>
            <w:tcW w:type="dxa" w:w="1224"/>
          </w:tcPr>
          <w:p>
            <w:pPr>
              <w:spacing w:after="20" w:before="20" w:line="254" w:lineRule="auto"/>
              <w:jc w:val="center"/>
            </w:pPr>
            <w:r>
              <w:rPr>
                <w:rFonts w:ascii="Consolas" w:hAnsi="Consolas" w:eastAsia="Consolas"/>
                <w:color w:val="8A2C1F"/>
                <w:sz w:val="15"/>
              </w:rPr>
              <w:t>"Churn"</w:t>
            </w:r>
          </w:p>
        </w:tc>
        <w:tc>
          <w:tcPr>
            <w:tcW w:type="dxa" w:w="5026"/>
          </w:tcPr>
          <w:p>
            <w:pPr>
              <w:spacing w:after="20" w:before="20" w:line="254" w:lineRule="auto"/>
              <w:jc w:val="left"/>
            </w:pPr>
            <w:r>
              <w:rPr>
                <w:sz w:val="16"/>
              </w:rPr>
              <w:t>renames the label column the pipeline reads</w:t>
            </w:r>
          </w:p>
        </w:tc>
      </w:tr>
      <w:tr>
        <w:tc>
          <w:tcPr>
            <w:tcW w:type="dxa" w:w="1123"/>
            <w:shd w:val="clear" w:color="auto" w:fill="F2F5F9"/>
          </w:tcPr>
          <w:p>
            <w:pPr>
              <w:spacing w:after="20" w:before="20" w:line="254" w:lineRule="auto"/>
              <w:jc w:val="left"/>
            </w:pPr>
            <w:r>
              <w:rPr>
                <w:sz w:val="16"/>
              </w:rPr>
              <w:t>1, 2, 4</w:t>
            </w:r>
          </w:p>
        </w:tc>
        <w:tc>
          <w:tcPr>
            <w:tcW w:type="dxa" w:w="1944"/>
            <w:shd w:val="clear" w:color="auto" w:fill="F2F5F9"/>
          </w:tcPr>
          <w:p>
            <w:pPr>
              <w:spacing w:after="20" w:before="20" w:line="254" w:lineRule="auto"/>
              <w:jc w:val="center"/>
            </w:pPr>
            <w:r>
              <w:rPr>
                <w:rFonts w:ascii="Consolas" w:hAnsi="Consolas" w:eastAsia="Consolas"/>
                <w:color w:val="8A2C1F"/>
                <w:sz w:val="15"/>
              </w:rPr>
              <w:t>ID_COLUMN</w:t>
            </w:r>
          </w:p>
        </w:tc>
        <w:tc>
          <w:tcPr>
            <w:tcW w:type="dxa" w:w="1224"/>
            <w:shd w:val="clear" w:color="auto" w:fill="F2F5F9"/>
          </w:tcPr>
          <w:p>
            <w:pPr>
              <w:spacing w:after="20" w:before="20" w:line="254" w:lineRule="auto"/>
              <w:jc w:val="center"/>
            </w:pPr>
            <w:r>
              <w:rPr>
                <w:rFonts w:ascii="Consolas" w:hAnsi="Consolas" w:eastAsia="Consolas"/>
                <w:color w:val="8A2C1F"/>
                <w:sz w:val="15"/>
              </w:rPr>
              <w:t>"customerID"</w:t>
            </w:r>
          </w:p>
        </w:tc>
        <w:tc>
          <w:tcPr>
            <w:tcW w:type="dxa" w:w="5026"/>
            <w:shd w:val="clear" w:color="auto" w:fill="F2F5F9"/>
          </w:tcPr>
          <w:p>
            <w:pPr>
              <w:spacing w:after="20" w:before="20" w:line="254" w:lineRule="auto"/>
              <w:jc w:val="left"/>
            </w:pPr>
            <w:r>
              <w:rPr>
                <w:sz w:val="16"/>
              </w:rPr>
              <w:t>changes which column is excluded from the model matrix</w:t>
            </w:r>
          </w:p>
        </w:tc>
      </w:tr>
      <w:tr>
        <w:tc>
          <w:tcPr>
            <w:tcW w:type="dxa" w:w="1123"/>
          </w:tcPr>
          <w:p>
            <w:pPr>
              <w:spacing w:after="20" w:before="20" w:line="254" w:lineRule="auto"/>
              <w:jc w:val="left"/>
            </w:pPr>
            <w:r>
              <w:rPr>
                <w:sz w:val="16"/>
              </w:rPr>
              <w:t>5, 6</w:t>
            </w:r>
          </w:p>
        </w:tc>
        <w:tc>
          <w:tcPr>
            <w:tcW w:type="dxa" w:w="1944"/>
          </w:tcPr>
          <w:p>
            <w:pPr>
              <w:spacing w:after="20" w:before="20" w:line="254" w:lineRule="auto"/>
              <w:jc w:val="center"/>
            </w:pPr>
            <w:r>
              <w:rPr>
                <w:rFonts w:ascii="Consolas" w:hAnsi="Consolas" w:eastAsia="Consolas"/>
                <w:color w:val="8A2C1F"/>
                <w:sz w:val="15"/>
              </w:rPr>
              <w:t>RANDOM_STATE</w:t>
            </w:r>
          </w:p>
        </w:tc>
        <w:tc>
          <w:tcPr>
            <w:tcW w:type="dxa" w:w="1224"/>
          </w:tcPr>
          <w:p>
            <w:pPr>
              <w:spacing w:after="20" w:before="20" w:line="254" w:lineRule="auto"/>
              <w:jc w:val="center"/>
            </w:pPr>
            <w:r>
              <w:rPr>
                <w:rFonts w:ascii="Consolas" w:hAnsi="Consolas" w:eastAsia="Consolas"/>
                <w:color w:val="8A2C1F"/>
                <w:sz w:val="15"/>
              </w:rPr>
              <w:t>42</w:t>
            </w:r>
          </w:p>
        </w:tc>
        <w:tc>
          <w:tcPr>
            <w:tcW w:type="dxa" w:w="5026"/>
          </w:tcPr>
          <w:p>
            <w:pPr>
              <w:spacing w:after="20" w:before="20" w:line="254" w:lineRule="auto"/>
              <w:jc w:val="left"/>
            </w:pPr>
            <w:r>
              <w:rPr>
                <w:sz w:val="16"/>
              </w:rPr>
              <w:t>a different seed changes cluster assignment, the split and every model result</w:t>
            </w:r>
          </w:p>
        </w:tc>
      </w:tr>
      <w:tr>
        <w:tc>
          <w:tcPr>
            <w:tcW w:type="dxa" w:w="1123"/>
            <w:shd w:val="clear" w:color="auto" w:fill="F2F5F9"/>
          </w:tcPr>
          <w:p>
            <w:pPr>
              <w:spacing w:after="20" w:before="20" w:line="254" w:lineRule="auto"/>
              <w:jc w:val="left"/>
            </w:pPr>
            <w:r>
              <w:rPr>
                <w:sz w:val="16"/>
              </w:rPr>
              <w:t>5</w:t>
            </w:r>
          </w:p>
        </w:tc>
        <w:tc>
          <w:tcPr>
            <w:tcW w:type="dxa" w:w="1944"/>
            <w:shd w:val="clear" w:color="auto" w:fill="F2F5F9"/>
          </w:tcPr>
          <w:p>
            <w:pPr>
              <w:spacing w:after="20" w:before="20" w:line="254" w:lineRule="auto"/>
              <w:jc w:val="center"/>
            </w:pPr>
            <w:r>
              <w:rPr>
                <w:rFonts w:ascii="Consolas" w:hAnsi="Consolas" w:eastAsia="Consolas"/>
                <w:color w:val="8A2C1F"/>
                <w:sz w:val="15"/>
              </w:rPr>
              <w:t>OPTIMAL_K</w:t>
            </w:r>
          </w:p>
        </w:tc>
        <w:tc>
          <w:tcPr>
            <w:tcW w:type="dxa" w:w="1224"/>
            <w:shd w:val="clear" w:color="auto" w:fill="F2F5F9"/>
          </w:tcPr>
          <w:p>
            <w:pPr>
              <w:spacing w:after="20" w:before="20" w:line="254" w:lineRule="auto"/>
              <w:jc w:val="center"/>
            </w:pPr>
            <w:r>
              <w:rPr>
                <w:rFonts w:ascii="Consolas" w:hAnsi="Consolas" w:eastAsia="Consolas"/>
                <w:color w:val="8A2C1F"/>
                <w:sz w:val="15"/>
              </w:rPr>
              <w:t>4</w:t>
            </w:r>
          </w:p>
        </w:tc>
        <w:tc>
          <w:tcPr>
            <w:tcW w:type="dxa" w:w="5026"/>
            <w:shd w:val="clear" w:color="auto" w:fill="F2F5F9"/>
          </w:tcPr>
          <w:p>
            <w:pPr>
              <w:spacing w:after="20" w:before="20" w:line="254" w:lineRule="auto"/>
              <w:jc w:val="left"/>
            </w:pPr>
            <w:r>
              <w:rPr>
                <w:sz w:val="16"/>
              </w:rPr>
              <w:t>alters the number of segments produced</w:t>
            </w:r>
          </w:p>
        </w:tc>
      </w:tr>
      <w:tr>
        <w:tc>
          <w:tcPr>
            <w:tcW w:type="dxa" w:w="1123"/>
          </w:tcPr>
          <w:p>
            <w:pPr>
              <w:spacing w:after="20" w:before="20" w:line="254" w:lineRule="auto"/>
              <w:jc w:val="left"/>
            </w:pPr>
            <w:r>
              <w:rPr>
                <w:sz w:val="16"/>
              </w:rPr>
              <w:t>6</w:t>
            </w:r>
          </w:p>
        </w:tc>
        <w:tc>
          <w:tcPr>
            <w:tcW w:type="dxa" w:w="1944"/>
          </w:tcPr>
          <w:p>
            <w:pPr>
              <w:spacing w:after="20" w:before="20" w:line="254" w:lineRule="auto"/>
              <w:jc w:val="center"/>
            </w:pPr>
            <w:r>
              <w:rPr>
                <w:rFonts w:ascii="Consolas" w:hAnsi="Consolas" w:eastAsia="Consolas"/>
                <w:color w:val="8A2C1F"/>
                <w:sz w:val="15"/>
              </w:rPr>
              <w:t>TEST_SIZE</w:t>
            </w:r>
          </w:p>
        </w:tc>
        <w:tc>
          <w:tcPr>
            <w:tcW w:type="dxa" w:w="1224"/>
          </w:tcPr>
          <w:p>
            <w:pPr>
              <w:spacing w:after="20" w:before="20" w:line="254" w:lineRule="auto"/>
              <w:jc w:val="center"/>
            </w:pPr>
            <w:r>
              <w:rPr>
                <w:rFonts w:ascii="Consolas" w:hAnsi="Consolas" w:eastAsia="Consolas"/>
                <w:color w:val="8A2C1F"/>
                <w:sz w:val="15"/>
              </w:rPr>
              <w:t>0.05</w:t>
            </w:r>
          </w:p>
        </w:tc>
        <w:tc>
          <w:tcPr>
            <w:tcW w:type="dxa" w:w="5026"/>
          </w:tcPr>
          <w:p>
            <w:pPr>
              <w:spacing w:after="20" w:before="20" w:line="254" w:lineRule="auto"/>
              <w:jc w:val="left"/>
            </w:pPr>
            <w:r>
              <w:rPr>
                <w:b/>
                <w:sz w:val="16"/>
              </w:rPr>
              <w:t>increasing to 0.20 would stabilise every reported metric</w:t>
            </w:r>
          </w:p>
        </w:tc>
      </w:tr>
      <w:tr>
        <w:tc>
          <w:tcPr>
            <w:tcW w:type="dxa" w:w="1123"/>
            <w:shd w:val="clear" w:color="auto" w:fill="F2F5F9"/>
          </w:tcPr>
          <w:p>
            <w:pPr>
              <w:spacing w:after="20" w:before="20" w:line="254" w:lineRule="auto"/>
              <w:jc w:val="left"/>
            </w:pPr>
            <w:r>
              <w:rPr>
                <w:sz w:val="16"/>
              </w:rPr>
              <w:t>6</w:t>
            </w:r>
          </w:p>
        </w:tc>
        <w:tc>
          <w:tcPr>
            <w:tcW w:type="dxa" w:w="1944"/>
            <w:shd w:val="clear" w:color="auto" w:fill="F2F5F9"/>
          </w:tcPr>
          <w:p>
            <w:pPr>
              <w:spacing w:after="20" w:before="20" w:line="254" w:lineRule="auto"/>
              <w:jc w:val="center"/>
            </w:pPr>
            <w:r>
              <w:rPr>
                <w:rFonts w:ascii="Consolas" w:hAnsi="Consolas" w:eastAsia="Consolas"/>
                <w:color w:val="8A2C1F"/>
                <w:sz w:val="15"/>
              </w:rPr>
              <w:t>CV_FOLDS</w:t>
            </w:r>
          </w:p>
        </w:tc>
        <w:tc>
          <w:tcPr>
            <w:tcW w:type="dxa" w:w="1224"/>
            <w:shd w:val="clear" w:color="auto" w:fill="F2F5F9"/>
          </w:tcPr>
          <w:p>
            <w:pPr>
              <w:spacing w:after="20" w:before="20" w:line="254" w:lineRule="auto"/>
              <w:jc w:val="center"/>
            </w:pPr>
            <w:r>
              <w:rPr>
                <w:rFonts w:ascii="Consolas" w:hAnsi="Consolas" w:eastAsia="Consolas"/>
                <w:color w:val="8A2C1F"/>
                <w:sz w:val="15"/>
              </w:rPr>
              <w:t>5</w:t>
            </w:r>
          </w:p>
        </w:tc>
        <w:tc>
          <w:tcPr>
            <w:tcW w:type="dxa" w:w="5026"/>
            <w:shd w:val="clear" w:color="auto" w:fill="F2F5F9"/>
          </w:tcPr>
          <w:p>
            <w:pPr>
              <w:spacing w:after="20" w:before="20" w:line="254" w:lineRule="auto"/>
              <w:jc w:val="left"/>
            </w:pPr>
            <w:r>
              <w:rPr>
                <w:sz w:val="16"/>
              </w:rPr>
              <w:t>more folds gives a lower-variance estimate at higher runtime cost</w:t>
            </w:r>
          </w:p>
        </w:tc>
      </w:tr>
    </w:tbl>
    <w:p>
      <w:pPr>
        <w:spacing w:before="80" w:after="200"/>
        <w:jc w:val="center"/>
      </w:pPr>
      <w:r>
        <w:rPr>
          <w:i/>
          <w:color w:val="555F6B"/>
          <w:sz w:val="17"/>
        </w:rPr>
        <w:t>Table 40: Analytical constants and the effect of changing each.</w:t>
      </w:r>
    </w:p>
    <w:p>
      <w:pPr>
        <w:keepNext/>
        <w:spacing w:before="240" w:after="80"/>
      </w:pPr>
      <w:r>
        <w:rPr>
          <w:rFonts w:ascii="Calibri" w:hAnsi="Calibri"/>
          <w:b/>
          <w:color w:val="1B355E"/>
          <w:sz w:val="25"/>
        </w:rPr>
        <w:t>A.3  Model hyper-parameters as configured</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044"/>
        <w:gridCol w:w="7272"/>
      </w:tblGrid>
      <w:tr>
        <w:tc>
          <w:tcPr>
            <w:tcW w:type="dxa" w:w="2045"/>
            <w:shd w:val="clear" w:color="auto" w:fill="1B355E"/>
          </w:tcPr>
          <w:p>
            <w:pPr>
              <w:spacing w:after="20" w:before="20"/>
              <w:jc w:val="center"/>
            </w:pPr>
            <w:r>
              <w:rPr>
                <w:b/>
                <w:color w:val="FFFFFF"/>
                <w:sz w:val="17"/>
              </w:rPr>
              <w:t>Model</w:t>
            </w:r>
          </w:p>
        </w:tc>
        <w:tc>
          <w:tcPr>
            <w:tcW w:type="dxa" w:w="7272"/>
            <w:shd w:val="clear" w:color="auto" w:fill="1B355E"/>
          </w:tcPr>
          <w:p>
            <w:pPr>
              <w:spacing w:after="20" w:before="20"/>
              <w:jc w:val="center"/>
            </w:pPr>
            <w:r>
              <w:rPr>
                <w:b/>
                <w:color w:val="FFFFFF"/>
                <w:sz w:val="17"/>
              </w:rPr>
              <w:t>Configuration as delivered</w:t>
            </w:r>
          </w:p>
        </w:tc>
      </w:tr>
      <w:tr>
        <w:tc>
          <w:tcPr>
            <w:tcW w:type="dxa" w:w="2045"/>
          </w:tcPr>
          <w:p>
            <w:pPr>
              <w:spacing w:after="20" w:before="20" w:line="254" w:lineRule="auto"/>
              <w:jc w:val="left"/>
            </w:pPr>
            <w:r>
              <w:rPr>
                <w:sz w:val="16"/>
              </w:rPr>
              <w:t>Logistic Regression</w:t>
            </w:r>
          </w:p>
        </w:tc>
        <w:tc>
          <w:tcPr>
            <w:tcW w:type="dxa" w:w="7272"/>
          </w:tcPr>
          <w:p>
            <w:pPr>
              <w:spacing w:after="20" w:before="20" w:line="254" w:lineRule="auto"/>
              <w:jc w:val="left"/>
            </w:pPr>
            <w:r>
              <w:rPr>
                <w:rFonts w:ascii="Consolas" w:hAnsi="Consolas" w:eastAsia="Consolas"/>
                <w:color w:val="8A2C1F"/>
                <w:sz w:val="15"/>
              </w:rPr>
              <w:t>penalty="l2"</w:t>
            </w:r>
            <w:r>
              <w:rPr>
                <w:sz w:val="16"/>
              </w:rPr>
              <w:t xml:space="preserve">, </w:t>
            </w:r>
            <w:r>
              <w:rPr>
                <w:rFonts w:ascii="Consolas" w:hAnsi="Consolas" w:eastAsia="Consolas"/>
                <w:color w:val="8A2C1F"/>
                <w:sz w:val="15"/>
              </w:rPr>
              <w:t>solver="liblinear"</w:t>
            </w:r>
            <w:r>
              <w:rPr>
                <w:sz w:val="16"/>
              </w:rPr>
              <w:t xml:space="preserve">, </w:t>
            </w:r>
            <w:r>
              <w:rPr>
                <w:rFonts w:ascii="Consolas" w:hAnsi="Consolas" w:eastAsia="Consolas"/>
                <w:color w:val="8A2C1F"/>
                <w:sz w:val="15"/>
              </w:rPr>
              <w:t>class_weight="balanced"</w:t>
            </w:r>
            <w:r>
              <w:rPr>
                <w:sz w:val="16"/>
              </w:rPr>
              <w:t xml:space="preserve">, </w:t>
            </w:r>
            <w:r>
              <w:rPr>
                <w:rFonts w:ascii="Consolas" w:hAnsi="Consolas" w:eastAsia="Consolas"/>
                <w:color w:val="8A2C1F"/>
                <w:sz w:val="15"/>
              </w:rPr>
              <w:t>max_iter=2000</w:t>
            </w:r>
          </w:p>
        </w:tc>
      </w:tr>
      <w:tr>
        <w:tc>
          <w:tcPr>
            <w:tcW w:type="dxa" w:w="2045"/>
            <w:shd w:val="clear" w:color="auto" w:fill="F2F5F9"/>
          </w:tcPr>
          <w:p>
            <w:pPr>
              <w:spacing w:after="20" w:before="20" w:line="254" w:lineRule="auto"/>
              <w:jc w:val="left"/>
            </w:pPr>
            <w:r>
              <w:rPr>
                <w:sz w:val="16"/>
              </w:rPr>
              <w:t>Random Forest</w:t>
            </w:r>
          </w:p>
        </w:tc>
        <w:tc>
          <w:tcPr>
            <w:tcW w:type="dxa" w:w="7272"/>
            <w:shd w:val="clear" w:color="auto" w:fill="F2F5F9"/>
          </w:tcPr>
          <w:p>
            <w:pPr>
              <w:spacing w:after="20" w:before="20" w:line="254" w:lineRule="auto"/>
              <w:jc w:val="left"/>
            </w:pPr>
            <w:r>
              <w:rPr>
                <w:rFonts w:ascii="Consolas" w:hAnsi="Consolas" w:eastAsia="Consolas"/>
                <w:color w:val="8A2C1F"/>
                <w:sz w:val="15"/>
              </w:rPr>
              <w:t>n_estimators=2000</w:t>
            </w:r>
            <w:r>
              <w:rPr>
                <w:sz w:val="16"/>
              </w:rPr>
              <w:t xml:space="preserve">, </w:t>
            </w:r>
            <w:r>
              <w:rPr>
                <w:rFonts w:ascii="Consolas" w:hAnsi="Consolas" w:eastAsia="Consolas"/>
                <w:color w:val="8A2C1F"/>
                <w:sz w:val="15"/>
              </w:rPr>
              <w:t>max_depth=10</w:t>
            </w:r>
            <w:r>
              <w:rPr>
                <w:sz w:val="16"/>
              </w:rPr>
              <w:t xml:space="preserve">, </w:t>
            </w:r>
            <w:r>
              <w:rPr>
                <w:rFonts w:ascii="Consolas" w:hAnsi="Consolas" w:eastAsia="Consolas"/>
                <w:color w:val="8A2C1F"/>
                <w:sz w:val="15"/>
              </w:rPr>
              <w:t>min_samples_split=5</w:t>
            </w:r>
            <w:r>
              <w:rPr>
                <w:sz w:val="16"/>
              </w:rPr>
              <w:t xml:space="preserve">, </w:t>
            </w:r>
            <w:r>
              <w:rPr>
                <w:rFonts w:ascii="Consolas" w:hAnsi="Consolas" w:eastAsia="Consolas"/>
                <w:color w:val="8A2C1F"/>
                <w:sz w:val="15"/>
              </w:rPr>
              <w:t>min_samples_leaf=2</w:t>
            </w:r>
            <w:r>
              <w:rPr>
                <w:sz w:val="16"/>
              </w:rPr>
              <w:t xml:space="preserve">, </w:t>
            </w:r>
            <w:r>
              <w:rPr>
                <w:rFonts w:ascii="Consolas" w:hAnsi="Consolas" w:eastAsia="Consolas"/>
                <w:color w:val="8A2C1F"/>
                <w:sz w:val="15"/>
              </w:rPr>
              <w:t>class_weight="balanced"</w:t>
            </w:r>
            <w:r>
              <w:rPr>
                <w:sz w:val="16"/>
              </w:rPr>
              <w:t xml:space="preserve">, </w:t>
            </w:r>
            <w:r>
              <w:rPr>
                <w:rFonts w:ascii="Consolas" w:hAnsi="Consolas" w:eastAsia="Consolas"/>
                <w:color w:val="8A2C1F"/>
                <w:sz w:val="15"/>
              </w:rPr>
              <w:t>n_jobs=-1</w:t>
            </w:r>
          </w:p>
        </w:tc>
      </w:tr>
      <w:tr>
        <w:tc>
          <w:tcPr>
            <w:tcW w:type="dxa" w:w="2045"/>
          </w:tcPr>
          <w:p>
            <w:pPr>
              <w:spacing w:after="20" w:before="20" w:line="254" w:lineRule="auto"/>
              <w:jc w:val="left"/>
            </w:pPr>
            <w:r>
              <w:rPr>
                <w:sz w:val="16"/>
              </w:rPr>
              <w:t>Support Vector Machine</w:t>
            </w:r>
          </w:p>
        </w:tc>
        <w:tc>
          <w:tcPr>
            <w:tcW w:type="dxa" w:w="7272"/>
          </w:tcPr>
          <w:p>
            <w:pPr>
              <w:spacing w:after="20" w:before="20" w:line="254" w:lineRule="auto"/>
              <w:jc w:val="left"/>
            </w:pPr>
            <w:r>
              <w:rPr>
                <w:rFonts w:ascii="Consolas" w:hAnsi="Consolas" w:eastAsia="Consolas"/>
                <w:color w:val="8A2C1F"/>
                <w:sz w:val="15"/>
              </w:rPr>
              <w:t>kernel="rbf"</w:t>
            </w:r>
            <w:r>
              <w:rPr>
                <w:sz w:val="16"/>
              </w:rPr>
              <w:t xml:space="preserve">, </w:t>
            </w:r>
            <w:r>
              <w:rPr>
                <w:rFonts w:ascii="Consolas" w:hAnsi="Consolas" w:eastAsia="Consolas"/>
                <w:color w:val="8A2C1F"/>
                <w:sz w:val="15"/>
              </w:rPr>
              <w:t>C=1.0</w:t>
            </w:r>
            <w:r>
              <w:rPr>
                <w:sz w:val="16"/>
              </w:rPr>
              <w:t xml:space="preserve">, </w:t>
            </w:r>
            <w:r>
              <w:rPr>
                <w:rFonts w:ascii="Consolas" w:hAnsi="Consolas" w:eastAsia="Consolas"/>
                <w:color w:val="8A2C1F"/>
                <w:sz w:val="15"/>
              </w:rPr>
              <w:t>gamma="scale"</w:t>
            </w:r>
            <w:r>
              <w:rPr>
                <w:sz w:val="16"/>
              </w:rPr>
              <w:t xml:space="preserve">, </w:t>
            </w:r>
            <w:r>
              <w:rPr>
                <w:rFonts w:ascii="Consolas" w:hAnsi="Consolas" w:eastAsia="Consolas"/>
                <w:color w:val="8A2C1F"/>
                <w:sz w:val="15"/>
              </w:rPr>
              <w:t>probability=True</w:t>
            </w:r>
            <w:r>
              <w:rPr>
                <w:sz w:val="16"/>
              </w:rPr>
              <w:t xml:space="preserve">, </w:t>
            </w:r>
            <w:r>
              <w:rPr>
                <w:rFonts w:ascii="Consolas" w:hAnsi="Consolas" w:eastAsia="Consolas"/>
                <w:color w:val="8A2C1F"/>
                <w:sz w:val="15"/>
              </w:rPr>
              <w:t>class_weight="balanced"</w:t>
            </w:r>
          </w:p>
        </w:tc>
      </w:tr>
      <w:tr>
        <w:tc>
          <w:tcPr>
            <w:tcW w:type="dxa" w:w="2045"/>
            <w:shd w:val="clear" w:color="auto" w:fill="F2F5F9"/>
          </w:tcPr>
          <w:p>
            <w:pPr>
              <w:spacing w:after="20" w:before="20" w:line="254" w:lineRule="auto"/>
              <w:jc w:val="left"/>
            </w:pPr>
            <w:r>
              <w:rPr>
                <w:sz w:val="16"/>
              </w:rPr>
              <w:t>XGBoost baseline</w:t>
            </w:r>
          </w:p>
        </w:tc>
        <w:tc>
          <w:tcPr>
            <w:tcW w:type="dxa" w:w="7272"/>
            <w:shd w:val="clear" w:color="auto" w:fill="F2F5F9"/>
          </w:tcPr>
          <w:p>
            <w:pPr>
              <w:spacing w:after="20" w:before="20" w:line="254" w:lineRule="auto"/>
              <w:jc w:val="left"/>
            </w:pPr>
            <w:r>
              <w:rPr>
                <w:rFonts w:ascii="Consolas" w:hAnsi="Consolas" w:eastAsia="Consolas"/>
                <w:color w:val="8A2C1F"/>
                <w:sz w:val="15"/>
              </w:rPr>
              <w:t>n_estimators=2000</w:t>
            </w:r>
            <w:r>
              <w:rPr>
                <w:sz w:val="16"/>
              </w:rPr>
              <w:t xml:space="preserve">, </w:t>
            </w:r>
            <w:r>
              <w:rPr>
                <w:rFonts w:ascii="Consolas" w:hAnsi="Consolas" w:eastAsia="Consolas"/>
                <w:color w:val="8A2C1F"/>
                <w:sz w:val="15"/>
              </w:rPr>
              <w:t>learning_rate=0.10</w:t>
            </w:r>
            <w:r>
              <w:rPr>
                <w:sz w:val="16"/>
              </w:rPr>
              <w:t xml:space="preserve">, </w:t>
            </w:r>
            <w:r>
              <w:rPr>
                <w:rFonts w:ascii="Consolas" w:hAnsi="Consolas" w:eastAsia="Consolas"/>
                <w:color w:val="8A2C1F"/>
                <w:sz w:val="15"/>
              </w:rPr>
              <w:t>max_depth=6</w:t>
            </w:r>
            <w:r>
              <w:rPr>
                <w:sz w:val="16"/>
              </w:rPr>
              <w:t xml:space="preserve">, </w:t>
            </w:r>
            <w:r>
              <w:rPr>
                <w:rFonts w:ascii="Consolas" w:hAnsi="Consolas" w:eastAsia="Consolas"/>
                <w:color w:val="8A2C1F"/>
                <w:sz w:val="15"/>
              </w:rPr>
              <w:t>min_child_weight=1</w:t>
            </w:r>
            <w:r>
              <w:rPr>
                <w:sz w:val="16"/>
              </w:rPr>
              <w:t xml:space="preserve">, </w:t>
            </w:r>
            <w:r>
              <w:rPr>
                <w:rFonts w:ascii="Consolas" w:hAnsi="Consolas" w:eastAsia="Consolas"/>
                <w:color w:val="8A2C1F"/>
                <w:sz w:val="15"/>
              </w:rPr>
              <w:t>subsample=0.85</w:t>
            </w:r>
            <w:r>
              <w:rPr>
                <w:sz w:val="16"/>
              </w:rPr>
              <w:t xml:space="preserve">, </w:t>
            </w:r>
            <w:r>
              <w:rPr>
                <w:rFonts w:ascii="Consolas" w:hAnsi="Consolas" w:eastAsia="Consolas"/>
                <w:color w:val="8A2C1F"/>
                <w:sz w:val="15"/>
              </w:rPr>
              <w:t>colsample_bytree=0.85</w:t>
            </w:r>
            <w:r>
              <w:rPr>
                <w:sz w:val="16"/>
              </w:rPr>
              <w:t xml:space="preserve">, </w:t>
            </w:r>
            <w:r>
              <w:rPr>
                <w:rFonts w:ascii="Consolas" w:hAnsi="Consolas" w:eastAsia="Consolas"/>
                <w:color w:val="8A2C1F"/>
                <w:sz w:val="15"/>
              </w:rPr>
              <w:t>scale_pos_weight</w:t>
            </w:r>
            <w:r>
              <w:rPr>
                <w:sz w:val="16"/>
              </w:rPr>
              <w:t xml:space="preserve"> computed from the training split</w:t>
            </w:r>
          </w:p>
        </w:tc>
      </w:tr>
      <w:tr>
        <w:tc>
          <w:tcPr>
            <w:tcW w:type="dxa" w:w="2045"/>
          </w:tcPr>
          <w:p>
            <w:pPr>
              <w:spacing w:after="20" w:before="20" w:line="254" w:lineRule="auto"/>
              <w:jc w:val="left"/>
            </w:pPr>
            <w:r>
              <w:rPr>
                <w:sz w:val="16"/>
              </w:rPr>
              <w:t>XGBoost tuned</w:t>
            </w:r>
          </w:p>
        </w:tc>
        <w:tc>
          <w:tcPr>
            <w:tcW w:type="dxa" w:w="7272"/>
          </w:tcPr>
          <w:p>
            <w:pPr>
              <w:spacing w:after="20" w:before="20" w:line="254" w:lineRule="auto"/>
              <w:jc w:val="left"/>
            </w:pPr>
            <w:r>
              <w:rPr>
                <w:rFonts w:ascii="Consolas" w:hAnsi="Consolas" w:eastAsia="Consolas"/>
                <w:color w:val="8A2C1F"/>
                <w:sz w:val="15"/>
              </w:rPr>
              <w:t>RandomizedSearchCV</w:t>
            </w:r>
            <w:r>
              <w:rPr>
                <w:sz w:val="16"/>
              </w:rPr>
              <w:t xml:space="preserve"> over 10 parameters, </w:t>
            </w:r>
            <w:r>
              <w:rPr>
                <w:rFonts w:ascii="Consolas" w:hAnsi="Consolas" w:eastAsia="Consolas"/>
                <w:color w:val="8A2C1F"/>
                <w:sz w:val="15"/>
              </w:rPr>
              <w:t>n_iter=30</w:t>
            </w:r>
            <w:r>
              <w:rPr>
                <w:sz w:val="16"/>
              </w:rPr>
              <w:t xml:space="preserve">, </w:t>
            </w:r>
            <w:r>
              <w:rPr>
                <w:rFonts w:ascii="Consolas" w:hAnsi="Consolas" w:eastAsia="Consolas"/>
                <w:color w:val="8A2C1F"/>
                <w:sz w:val="15"/>
              </w:rPr>
              <w:t>cv=5</w:t>
            </w:r>
            <w:r>
              <w:rPr>
                <w:sz w:val="16"/>
              </w:rPr>
              <w:t xml:space="preserve">, </w:t>
            </w:r>
            <w:r>
              <w:rPr>
                <w:rFonts w:ascii="Consolas" w:hAnsi="Consolas" w:eastAsia="Consolas"/>
                <w:color w:val="8A2C1F"/>
                <w:sz w:val="15"/>
              </w:rPr>
              <w:t>scoring="roc_auc"</w:t>
            </w:r>
            <w:r>
              <w:rPr>
                <w:sz w:val="16"/>
              </w:rPr>
              <w:t xml:space="preserve">, </w:t>
            </w:r>
            <w:r>
              <w:rPr>
                <w:rFonts w:ascii="Consolas" w:hAnsi="Consolas" w:eastAsia="Consolas"/>
                <w:color w:val="8A2C1F"/>
                <w:sz w:val="15"/>
              </w:rPr>
              <w:t>refit=True</w:t>
            </w:r>
            <w:r>
              <w:rPr>
                <w:sz w:val="16"/>
              </w:rPr>
              <w:t xml:space="preserve"> — 150 fits in total</w:t>
            </w:r>
          </w:p>
        </w:tc>
      </w:tr>
      <w:tr>
        <w:tc>
          <w:tcPr>
            <w:tcW w:type="dxa" w:w="2045"/>
            <w:shd w:val="clear" w:color="auto" w:fill="F2F5F9"/>
          </w:tcPr>
          <w:p>
            <w:pPr>
              <w:spacing w:after="20" w:before="20" w:line="254" w:lineRule="auto"/>
              <w:jc w:val="left"/>
            </w:pPr>
            <w:r>
              <w:rPr>
                <w:sz w:val="16"/>
              </w:rPr>
              <w:t>K-Means</w:t>
            </w:r>
          </w:p>
        </w:tc>
        <w:tc>
          <w:tcPr>
            <w:tcW w:type="dxa" w:w="7272"/>
            <w:shd w:val="clear" w:color="auto" w:fill="F2F5F9"/>
          </w:tcPr>
          <w:p>
            <w:pPr>
              <w:spacing w:after="20" w:before="20" w:line="254" w:lineRule="auto"/>
              <w:jc w:val="left"/>
            </w:pPr>
            <w:r>
              <w:rPr>
                <w:rFonts w:ascii="Consolas" w:hAnsi="Consolas" w:eastAsia="Consolas"/>
                <w:color w:val="8A2C1F"/>
                <w:sz w:val="15"/>
              </w:rPr>
              <w:t>n_clusters=4</w:t>
            </w:r>
            <w:r>
              <w:rPr>
                <w:sz w:val="16"/>
              </w:rPr>
              <w:t xml:space="preserve">, </w:t>
            </w:r>
            <w:r>
              <w:rPr>
                <w:rFonts w:ascii="Consolas" w:hAnsi="Consolas" w:eastAsia="Consolas"/>
                <w:color w:val="8A2C1F"/>
                <w:sz w:val="15"/>
              </w:rPr>
              <w:t>n_init=10</w:t>
            </w:r>
            <w:r>
              <w:rPr>
                <w:sz w:val="16"/>
              </w:rPr>
              <w:t xml:space="preserve">, </w:t>
            </w:r>
            <w:r>
              <w:rPr>
                <w:rFonts w:ascii="Consolas" w:hAnsi="Consolas" w:eastAsia="Consolas"/>
                <w:color w:val="8A2C1F"/>
                <w:sz w:val="15"/>
              </w:rPr>
              <w:t>random_state=42</w:t>
            </w:r>
            <w:r>
              <w:rPr>
                <w:sz w:val="16"/>
              </w:rPr>
              <w:t>, fitted on three standardised dimensions</w:t>
            </w:r>
          </w:p>
        </w:tc>
      </w:tr>
    </w:tbl>
    <w:p>
      <w:pPr>
        <w:spacing w:before="80" w:after="200"/>
        <w:jc w:val="center"/>
      </w:pPr>
      <w:r>
        <w:rPr>
          <w:i/>
          <w:color w:val="555F6B"/>
          <w:sz w:val="17"/>
        </w:rPr>
        <w:t>Table 41: Hyper-parameter configuration of every model in the codebase.</w:t>
      </w:r>
    </w:p>
    <w:p>
      <w:r>
        <w:br w:type="page"/>
      </w:r>
    </w:p>
    <w:p>
      <w:pPr>
        <w:spacing w:after="0"/>
      </w:pPr>
    </w:p>
    <w:p>
      <w:pPr>
        <w:keepNext/>
        <w:spacing w:before="80" w:after="40"/>
        <w:pBdr>
          <w:bottom w:val="single" w:sz="10" w:space="3" w:color="1B355E"/>
        </w:pBdr>
      </w:pPr>
      <w:r>
        <w:rPr>
          <w:rFonts w:ascii="Calibri" w:hAnsi="Calibri"/>
          <w:b/>
          <w:color w:val="1B355E"/>
          <w:sz w:val="30"/>
        </w:rPr>
        <w:t>B.  Appendix B — Complete Artefact Inventory</w:t>
      </w:r>
    </w:p>
    <w:p>
      <w:pPr>
        <w:spacing w:after="40"/>
      </w:pPr>
    </w:p>
    <w:p>
      <w:pPr>
        <w:keepNext/>
        <w:spacing w:before="240" w:after="80"/>
      </w:pPr>
      <w:r>
        <w:rPr>
          <w:rFonts w:ascii="Calibri" w:hAnsi="Calibri"/>
          <w:b/>
          <w:color w:val="1B355E"/>
          <w:sz w:val="25"/>
        </w:rPr>
        <w:t>B.1  Datasets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951"/>
        <w:gridCol w:w="1512"/>
        <w:gridCol w:w="1512"/>
        <w:gridCol w:w="3340"/>
      </w:tblGrid>
      <w:tr>
        <w:tc>
          <w:tcPr>
            <w:tcW w:type="dxa" w:w="2952"/>
            <w:shd w:val="clear" w:color="auto" w:fill="1B355E"/>
          </w:tcPr>
          <w:p>
            <w:pPr>
              <w:spacing w:after="20" w:before="20"/>
              <w:jc w:val="center"/>
            </w:pPr>
            <w:r>
              <w:rPr>
                <w:b/>
                <w:color w:val="FFFFFF"/>
                <w:sz w:val="17"/>
              </w:rPr>
              <w:t>File</w:t>
            </w:r>
          </w:p>
        </w:tc>
        <w:tc>
          <w:tcPr>
            <w:tcW w:type="dxa" w:w="1512"/>
            <w:shd w:val="clear" w:color="auto" w:fill="1B355E"/>
          </w:tcPr>
          <w:p>
            <w:pPr>
              <w:spacing w:after="20" w:before="20"/>
              <w:jc w:val="center"/>
            </w:pPr>
            <w:r>
              <w:rPr>
                <w:b/>
                <w:color w:val="FFFFFF"/>
                <w:sz w:val="17"/>
              </w:rPr>
              <w:t>Shape</w:t>
            </w:r>
          </w:p>
        </w:tc>
        <w:tc>
          <w:tcPr>
            <w:tcW w:type="dxa" w:w="1512"/>
            <w:shd w:val="clear" w:color="auto" w:fill="1B355E"/>
          </w:tcPr>
          <w:p>
            <w:pPr>
              <w:spacing w:after="20" w:before="20"/>
              <w:jc w:val="center"/>
            </w:pPr>
            <w:r>
              <w:rPr>
                <w:b/>
                <w:color w:val="FFFFFF"/>
                <w:sz w:val="17"/>
              </w:rPr>
              <w:t>Produced by</w:t>
            </w:r>
          </w:p>
        </w:tc>
        <w:tc>
          <w:tcPr>
            <w:tcW w:type="dxa" w:w="3341"/>
            <w:shd w:val="clear" w:color="auto" w:fill="1B355E"/>
          </w:tcPr>
          <w:p>
            <w:pPr>
              <w:spacing w:after="20" w:before="20"/>
              <w:jc w:val="center"/>
            </w:pPr>
            <w:r>
              <w:rPr>
                <w:b/>
                <w:color w:val="FFFFFF"/>
                <w:sz w:val="17"/>
              </w:rPr>
              <w:t>Consumed by</w:t>
            </w:r>
          </w:p>
        </w:tc>
      </w:tr>
      <w:tr>
        <w:tc>
          <w:tcPr>
            <w:tcW w:type="dxa" w:w="2952"/>
          </w:tcPr>
          <w:p>
            <w:pPr>
              <w:spacing w:after="20" w:before="20" w:line="254" w:lineRule="auto"/>
              <w:jc w:val="left"/>
            </w:pPr>
            <w:r>
              <w:rPr>
                <w:rFonts w:ascii="Consolas" w:hAnsi="Consolas" w:eastAsia="Consolas"/>
                <w:color w:val="8A2C1F"/>
                <w:sz w:val="15"/>
              </w:rPr>
              <w:t>Customer-Churn.csv</w:t>
            </w:r>
          </w:p>
        </w:tc>
        <w:tc>
          <w:tcPr>
            <w:tcW w:type="dxa" w:w="1512"/>
          </w:tcPr>
          <w:p>
            <w:pPr>
              <w:spacing w:after="20" w:before="20" w:line="254" w:lineRule="auto"/>
              <w:jc w:val="center"/>
            </w:pPr>
            <w:r>
              <w:rPr>
                <w:sz w:val="16"/>
              </w:rPr>
              <w:t>7 043 × 21</w:t>
            </w:r>
          </w:p>
        </w:tc>
        <w:tc>
          <w:tcPr>
            <w:tcW w:type="dxa" w:w="1512"/>
          </w:tcPr>
          <w:p>
            <w:pPr>
              <w:spacing w:after="20" w:before="20" w:line="254" w:lineRule="auto"/>
              <w:jc w:val="center"/>
            </w:pPr>
            <w:r>
              <w:rPr>
                <w:sz w:val="16"/>
              </w:rPr>
              <w:t>supplied</w:t>
            </w:r>
          </w:p>
        </w:tc>
        <w:tc>
          <w:tcPr>
            <w:tcW w:type="dxa" w:w="3341"/>
          </w:tcPr>
          <w:p>
            <w:pPr>
              <w:spacing w:after="20" w:before="20" w:line="254" w:lineRule="auto"/>
              <w:jc w:val="center"/>
            </w:pPr>
            <w:r>
              <w:rPr>
                <w:sz w:val="16"/>
              </w:rPr>
              <w:t>phases 1, 2</w:t>
            </w:r>
          </w:p>
        </w:tc>
      </w:tr>
      <w:tr>
        <w:tc>
          <w:tcPr>
            <w:tcW w:type="dxa" w:w="2952"/>
            <w:shd w:val="clear" w:color="auto" w:fill="F2F5F9"/>
          </w:tcPr>
          <w:p>
            <w:pPr>
              <w:spacing w:after="20" w:before="20" w:line="254" w:lineRule="auto"/>
              <w:jc w:val="left"/>
            </w:pPr>
            <w:r>
              <w:rPr>
                <w:rFonts w:ascii="Consolas" w:hAnsi="Consolas" w:eastAsia="Consolas"/>
                <w:color w:val="8A2C1F"/>
                <w:sz w:val="15"/>
              </w:rPr>
              <w:t>Customer-Churn-Cleaned.csv</w:t>
            </w:r>
          </w:p>
        </w:tc>
        <w:tc>
          <w:tcPr>
            <w:tcW w:type="dxa" w:w="1512"/>
            <w:shd w:val="clear" w:color="auto" w:fill="F2F5F9"/>
          </w:tcPr>
          <w:p>
            <w:pPr>
              <w:spacing w:after="20" w:before="20" w:line="254" w:lineRule="auto"/>
              <w:jc w:val="center"/>
            </w:pPr>
            <w:r>
              <w:rPr>
                <w:sz w:val="16"/>
              </w:rPr>
              <w:t>7 043 × 21</w:t>
            </w:r>
          </w:p>
        </w:tc>
        <w:tc>
          <w:tcPr>
            <w:tcW w:type="dxa" w:w="1512"/>
            <w:shd w:val="clear" w:color="auto" w:fill="F2F5F9"/>
          </w:tcPr>
          <w:p>
            <w:pPr>
              <w:spacing w:after="20" w:before="20" w:line="254" w:lineRule="auto"/>
              <w:jc w:val="center"/>
            </w:pPr>
            <w:r>
              <w:rPr>
                <w:sz w:val="16"/>
              </w:rPr>
              <w:t>phase 2</w:t>
            </w:r>
          </w:p>
        </w:tc>
        <w:tc>
          <w:tcPr>
            <w:tcW w:type="dxa" w:w="3341"/>
            <w:shd w:val="clear" w:color="auto" w:fill="F2F5F9"/>
          </w:tcPr>
          <w:p>
            <w:pPr>
              <w:spacing w:after="20" w:before="20" w:line="254" w:lineRule="auto"/>
              <w:jc w:val="center"/>
            </w:pPr>
            <w:r>
              <w:rPr>
                <w:sz w:val="16"/>
              </w:rPr>
              <w:t>phases 3, 4, 5</w:t>
            </w:r>
          </w:p>
        </w:tc>
      </w:tr>
      <w:tr>
        <w:tc>
          <w:tcPr>
            <w:tcW w:type="dxa" w:w="2952"/>
          </w:tcPr>
          <w:p>
            <w:pPr>
              <w:spacing w:after="20" w:before="20" w:line="254" w:lineRule="auto"/>
              <w:jc w:val="left"/>
            </w:pPr>
            <w:r>
              <w:rPr>
                <w:rFonts w:ascii="Consolas" w:hAnsi="Consolas" w:eastAsia="Consolas"/>
                <w:color w:val="8A2C1F"/>
                <w:sz w:val="15"/>
              </w:rPr>
              <w:t>Customer-Churn-Model-Ready.csv</w:t>
            </w:r>
          </w:p>
        </w:tc>
        <w:tc>
          <w:tcPr>
            <w:tcW w:type="dxa" w:w="1512"/>
          </w:tcPr>
          <w:p>
            <w:pPr>
              <w:spacing w:after="20" w:before="20" w:line="254" w:lineRule="auto"/>
              <w:jc w:val="center"/>
            </w:pPr>
            <w:r>
              <w:rPr>
                <w:sz w:val="16"/>
              </w:rPr>
              <w:t>7 043 × 36</w:t>
            </w:r>
          </w:p>
        </w:tc>
        <w:tc>
          <w:tcPr>
            <w:tcW w:type="dxa" w:w="1512"/>
          </w:tcPr>
          <w:p>
            <w:pPr>
              <w:spacing w:after="20" w:before="20" w:line="254" w:lineRule="auto"/>
              <w:jc w:val="center"/>
            </w:pPr>
            <w:r>
              <w:rPr>
                <w:sz w:val="16"/>
              </w:rPr>
              <w:t>phase 4</w:t>
            </w:r>
          </w:p>
        </w:tc>
        <w:tc>
          <w:tcPr>
            <w:tcW w:type="dxa" w:w="3341"/>
          </w:tcPr>
          <w:p>
            <w:pPr>
              <w:spacing w:after="20" w:before="20" w:line="254" w:lineRule="auto"/>
              <w:jc w:val="left"/>
            </w:pPr>
            <w:r>
              <w:rPr>
                <w:b/>
                <w:sz w:val="16"/>
              </w:rPr>
              <w:t>nothing — see Section 15.2</w:t>
            </w:r>
          </w:p>
        </w:tc>
      </w:tr>
      <w:tr>
        <w:tc>
          <w:tcPr>
            <w:tcW w:type="dxa" w:w="2952"/>
            <w:shd w:val="clear" w:color="auto" w:fill="F2F5F9"/>
          </w:tcPr>
          <w:p>
            <w:pPr>
              <w:spacing w:after="20" w:before="20" w:line="254" w:lineRule="auto"/>
              <w:jc w:val="left"/>
            </w:pPr>
            <w:r>
              <w:rPr>
                <w:rFonts w:ascii="Consolas" w:hAnsi="Consolas" w:eastAsia="Consolas"/>
                <w:color w:val="8A2C1F"/>
                <w:sz w:val="15"/>
              </w:rPr>
              <w:t>Customer-Churn-Segmented.csv</w:t>
            </w:r>
          </w:p>
        </w:tc>
        <w:tc>
          <w:tcPr>
            <w:tcW w:type="dxa" w:w="1512"/>
            <w:shd w:val="clear" w:color="auto" w:fill="F2F5F9"/>
          </w:tcPr>
          <w:p>
            <w:pPr>
              <w:spacing w:after="20" w:before="20" w:line="254" w:lineRule="auto"/>
              <w:jc w:val="center"/>
            </w:pPr>
            <w:r>
              <w:rPr>
                <w:sz w:val="16"/>
              </w:rPr>
              <w:t>7 043 × 25</w:t>
            </w:r>
          </w:p>
        </w:tc>
        <w:tc>
          <w:tcPr>
            <w:tcW w:type="dxa" w:w="1512"/>
            <w:shd w:val="clear" w:color="auto" w:fill="F2F5F9"/>
          </w:tcPr>
          <w:p>
            <w:pPr>
              <w:spacing w:after="20" w:before="20" w:line="254" w:lineRule="auto"/>
              <w:jc w:val="center"/>
            </w:pPr>
            <w:r>
              <w:rPr>
                <w:sz w:val="16"/>
              </w:rPr>
              <w:t>phase 5</w:t>
            </w:r>
          </w:p>
        </w:tc>
        <w:tc>
          <w:tcPr>
            <w:tcW w:type="dxa" w:w="3341"/>
            <w:shd w:val="clear" w:color="auto" w:fill="F2F5F9"/>
          </w:tcPr>
          <w:p>
            <w:pPr>
              <w:spacing w:after="20" w:before="20" w:line="254" w:lineRule="auto"/>
              <w:jc w:val="center"/>
            </w:pPr>
            <w:r>
              <w:rPr>
                <w:sz w:val="16"/>
              </w:rPr>
              <w:t>phase 6</w:t>
            </w:r>
          </w:p>
        </w:tc>
      </w:tr>
      <w:tr>
        <w:tc>
          <w:tcPr>
            <w:tcW w:type="dxa" w:w="2952"/>
          </w:tcPr>
          <w:p>
            <w:pPr>
              <w:spacing w:after="20" w:before="20" w:line="254" w:lineRule="auto"/>
              <w:jc w:val="left"/>
            </w:pPr>
            <w:r>
              <w:rPr>
                <w:rFonts w:ascii="Consolas" w:hAnsi="Consolas" w:eastAsia="Consolas"/>
                <w:color w:val="8A2C1F"/>
                <w:sz w:val="15"/>
              </w:rPr>
              <w:t>phase6_model_performance.csv</w:t>
            </w:r>
          </w:p>
        </w:tc>
        <w:tc>
          <w:tcPr>
            <w:tcW w:type="dxa" w:w="1512"/>
          </w:tcPr>
          <w:p>
            <w:pPr>
              <w:spacing w:after="20" w:before="20" w:line="254" w:lineRule="auto"/>
              <w:jc w:val="center"/>
            </w:pPr>
            <w:r>
              <w:rPr>
                <w:sz w:val="16"/>
              </w:rPr>
              <w:t>5 × 6</w:t>
            </w:r>
          </w:p>
        </w:tc>
        <w:tc>
          <w:tcPr>
            <w:tcW w:type="dxa" w:w="1512"/>
          </w:tcPr>
          <w:p>
            <w:pPr>
              <w:spacing w:after="20" w:before="20" w:line="254" w:lineRule="auto"/>
              <w:jc w:val="center"/>
            </w:pPr>
            <w:r>
              <w:rPr>
                <w:sz w:val="16"/>
              </w:rPr>
              <w:t>phase 6</w:t>
            </w:r>
          </w:p>
        </w:tc>
        <w:tc>
          <w:tcPr>
            <w:tcW w:type="dxa" w:w="3341"/>
          </w:tcPr>
          <w:p>
            <w:pPr>
              <w:spacing w:after="20" w:before="20" w:line="254" w:lineRule="auto"/>
              <w:jc w:val="center"/>
            </w:pPr>
            <w:r>
              <w:rPr>
                <w:sz w:val="16"/>
              </w:rPr>
              <w:t>reporting (Table 28)</w:t>
            </w:r>
          </w:p>
        </w:tc>
      </w:tr>
    </w:tbl>
    <w:p>
      <w:pPr>
        <w:spacing w:before="80" w:after="200"/>
        <w:jc w:val="center"/>
      </w:pPr>
      <w:r>
        <w:rPr>
          <w:i/>
          <w:color w:val="555F6B"/>
          <w:sz w:val="17"/>
        </w:rPr>
        <w:t>Table 42: Datasets produced by the pipeline and their consumers.</w:t>
      </w:r>
    </w:p>
    <w:p>
      <w:pPr>
        <w:keepNext/>
        <w:spacing w:before="240" w:after="80"/>
      </w:pPr>
      <w:r>
        <w:rPr>
          <w:rFonts w:ascii="Calibri" w:hAnsi="Calibri"/>
          <w:b/>
          <w:color w:val="1B355E"/>
          <w:sz w:val="25"/>
        </w:rPr>
        <w:t>B.2  Generated charts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3744"/>
        <w:gridCol w:w="864"/>
        <w:gridCol w:w="4708"/>
      </w:tblGrid>
      <w:tr>
        <w:tc>
          <w:tcPr>
            <w:tcW w:type="dxa" w:w="3744"/>
            <w:shd w:val="clear" w:color="auto" w:fill="1B355E"/>
          </w:tcPr>
          <w:p>
            <w:pPr>
              <w:spacing w:after="20" w:before="20"/>
              <w:jc w:val="center"/>
            </w:pPr>
            <w:r>
              <w:rPr>
                <w:b/>
                <w:color w:val="FFFFFF"/>
                <w:sz w:val="17"/>
              </w:rPr>
              <w:t>File</w:t>
            </w:r>
          </w:p>
        </w:tc>
        <w:tc>
          <w:tcPr>
            <w:tcW w:type="dxa" w:w="864"/>
            <w:shd w:val="clear" w:color="auto" w:fill="1B355E"/>
          </w:tcPr>
          <w:p>
            <w:pPr>
              <w:spacing w:after="20" w:before="20"/>
              <w:jc w:val="center"/>
            </w:pPr>
            <w:r>
              <w:rPr>
                <w:b/>
                <w:color w:val="FFFFFF"/>
                <w:sz w:val="17"/>
              </w:rPr>
              <w:t>Phase</w:t>
            </w:r>
          </w:p>
        </w:tc>
        <w:tc>
          <w:tcPr>
            <w:tcW w:type="dxa" w:w="4709"/>
            <w:shd w:val="clear" w:color="auto" w:fill="1B355E"/>
          </w:tcPr>
          <w:p>
            <w:pPr>
              <w:spacing w:after="20" w:before="20"/>
              <w:jc w:val="center"/>
            </w:pPr>
            <w:r>
              <w:rPr>
                <w:b/>
                <w:color w:val="FFFFFF"/>
                <w:sz w:val="17"/>
              </w:rPr>
              <w:t>Content</w:t>
            </w:r>
          </w:p>
        </w:tc>
      </w:tr>
      <w:tr>
        <w:tc>
          <w:tcPr>
            <w:tcW w:type="dxa" w:w="3744"/>
          </w:tcPr>
          <w:p>
            <w:pPr>
              <w:spacing w:after="20" w:before="20" w:line="254" w:lineRule="auto"/>
              <w:jc w:val="left"/>
            </w:pPr>
            <w:r>
              <w:rPr>
                <w:rFonts w:ascii="Consolas" w:hAnsi="Consolas" w:eastAsia="Consolas"/>
                <w:color w:val="8A2C1F"/>
                <w:sz w:val="15"/>
              </w:rPr>
              <w:t>phase3_univariate_analysis.png</w:t>
            </w:r>
          </w:p>
        </w:tc>
        <w:tc>
          <w:tcPr>
            <w:tcW w:type="dxa" w:w="864"/>
          </w:tcPr>
          <w:p>
            <w:pPr>
              <w:spacing w:after="20" w:before="20" w:line="254" w:lineRule="auto"/>
              <w:jc w:val="center"/>
            </w:pPr>
            <w:r>
              <w:rPr>
                <w:sz w:val="16"/>
              </w:rPr>
              <w:t>3</w:t>
            </w:r>
          </w:p>
        </w:tc>
        <w:tc>
          <w:tcPr>
            <w:tcW w:type="dxa" w:w="4709"/>
          </w:tcPr>
          <w:p>
            <w:pPr>
              <w:spacing w:after="20" w:before="20" w:line="254" w:lineRule="auto"/>
              <w:jc w:val="left"/>
            </w:pPr>
            <w:r>
              <w:rPr>
                <w:sz w:val="16"/>
              </w:rPr>
              <w:t>four-panel distribution overview</w:t>
            </w:r>
          </w:p>
        </w:tc>
      </w:tr>
      <w:tr>
        <w:tc>
          <w:tcPr>
            <w:tcW w:type="dxa" w:w="3744"/>
            <w:shd w:val="clear" w:color="auto" w:fill="F2F5F9"/>
          </w:tcPr>
          <w:p>
            <w:pPr>
              <w:spacing w:after="20" w:before="20" w:line="254" w:lineRule="auto"/>
              <w:jc w:val="left"/>
            </w:pPr>
            <w:r>
              <w:rPr>
                <w:rFonts w:ascii="Consolas" w:hAnsi="Consolas" w:eastAsia="Consolas"/>
                <w:color w:val="8A2C1F"/>
                <w:sz w:val="15"/>
              </w:rPr>
              <w:t>phase3_churn_by_contract.png</w:t>
            </w:r>
          </w:p>
        </w:tc>
        <w:tc>
          <w:tcPr>
            <w:tcW w:type="dxa" w:w="864"/>
            <w:shd w:val="clear" w:color="auto" w:fill="F2F5F9"/>
          </w:tcPr>
          <w:p>
            <w:pPr>
              <w:spacing w:after="20" w:before="20" w:line="254" w:lineRule="auto"/>
              <w:jc w:val="center"/>
            </w:pPr>
            <w:r>
              <w:rPr>
                <w:sz w:val="16"/>
              </w:rPr>
              <w:t>3</w:t>
            </w:r>
          </w:p>
        </w:tc>
        <w:tc>
          <w:tcPr>
            <w:tcW w:type="dxa" w:w="4709"/>
            <w:shd w:val="clear" w:color="auto" w:fill="F2F5F9"/>
          </w:tcPr>
          <w:p>
            <w:pPr>
              <w:spacing w:after="20" w:before="20" w:line="254" w:lineRule="auto"/>
              <w:jc w:val="left"/>
            </w:pPr>
            <w:r>
              <w:rPr>
                <w:sz w:val="16"/>
              </w:rPr>
              <w:t>churn rate by contract type</w:t>
            </w:r>
          </w:p>
        </w:tc>
      </w:tr>
      <w:tr>
        <w:tc>
          <w:tcPr>
            <w:tcW w:type="dxa" w:w="3744"/>
          </w:tcPr>
          <w:p>
            <w:pPr>
              <w:spacing w:after="20" w:before="20" w:line="254" w:lineRule="auto"/>
              <w:jc w:val="left"/>
            </w:pPr>
            <w:r>
              <w:rPr>
                <w:rFonts w:ascii="Consolas" w:hAnsi="Consolas" w:eastAsia="Consolas"/>
                <w:color w:val="8A2C1F"/>
                <w:sz w:val="15"/>
              </w:rPr>
              <w:t>phase3_churn_by_payment_method.png</w:t>
            </w:r>
          </w:p>
        </w:tc>
        <w:tc>
          <w:tcPr>
            <w:tcW w:type="dxa" w:w="864"/>
          </w:tcPr>
          <w:p>
            <w:pPr>
              <w:spacing w:after="20" w:before="20" w:line="254" w:lineRule="auto"/>
              <w:jc w:val="center"/>
            </w:pPr>
            <w:r>
              <w:rPr>
                <w:sz w:val="16"/>
              </w:rPr>
              <w:t>3</w:t>
            </w:r>
          </w:p>
        </w:tc>
        <w:tc>
          <w:tcPr>
            <w:tcW w:type="dxa" w:w="4709"/>
          </w:tcPr>
          <w:p>
            <w:pPr>
              <w:spacing w:after="20" w:before="20" w:line="254" w:lineRule="auto"/>
              <w:jc w:val="left"/>
            </w:pPr>
            <w:r>
              <w:rPr>
                <w:sz w:val="16"/>
              </w:rPr>
              <w:t>churn rate by payment method</w:t>
            </w:r>
          </w:p>
        </w:tc>
      </w:tr>
      <w:tr>
        <w:tc>
          <w:tcPr>
            <w:tcW w:type="dxa" w:w="3744"/>
            <w:shd w:val="clear" w:color="auto" w:fill="F2F5F9"/>
          </w:tcPr>
          <w:p>
            <w:pPr>
              <w:spacing w:after="20" w:before="20" w:line="254" w:lineRule="auto"/>
              <w:jc w:val="left"/>
            </w:pPr>
            <w:r>
              <w:rPr>
                <w:rFonts w:ascii="Consolas" w:hAnsi="Consolas" w:eastAsia="Consolas"/>
                <w:color w:val="8A2C1F"/>
                <w:sz w:val="15"/>
              </w:rPr>
              <w:t>phase3_churn_by_internet_service.png</w:t>
            </w:r>
          </w:p>
        </w:tc>
        <w:tc>
          <w:tcPr>
            <w:tcW w:type="dxa" w:w="864"/>
            <w:shd w:val="clear" w:color="auto" w:fill="F2F5F9"/>
          </w:tcPr>
          <w:p>
            <w:pPr>
              <w:spacing w:after="20" w:before="20" w:line="254" w:lineRule="auto"/>
              <w:jc w:val="center"/>
            </w:pPr>
            <w:r>
              <w:rPr>
                <w:sz w:val="16"/>
              </w:rPr>
              <w:t>3</w:t>
            </w:r>
          </w:p>
        </w:tc>
        <w:tc>
          <w:tcPr>
            <w:tcW w:type="dxa" w:w="4709"/>
            <w:shd w:val="clear" w:color="auto" w:fill="F2F5F9"/>
          </w:tcPr>
          <w:p>
            <w:pPr>
              <w:spacing w:after="20" w:before="20" w:line="254" w:lineRule="auto"/>
              <w:jc w:val="left"/>
            </w:pPr>
            <w:r>
              <w:rPr>
                <w:sz w:val="16"/>
              </w:rPr>
              <w:t>churn rate by internet service</w:t>
            </w:r>
          </w:p>
        </w:tc>
      </w:tr>
      <w:tr>
        <w:tc>
          <w:tcPr>
            <w:tcW w:type="dxa" w:w="3744"/>
          </w:tcPr>
          <w:p>
            <w:pPr>
              <w:spacing w:after="20" w:before="20" w:line="254" w:lineRule="auto"/>
              <w:jc w:val="left"/>
            </w:pPr>
            <w:r>
              <w:rPr>
                <w:rFonts w:ascii="Consolas" w:hAnsi="Consolas" w:eastAsia="Consolas"/>
                <w:color w:val="8A2C1F"/>
                <w:sz w:val="15"/>
              </w:rPr>
              <w:t>phase3_churn_by_senior_citizen.png</w:t>
            </w:r>
          </w:p>
        </w:tc>
        <w:tc>
          <w:tcPr>
            <w:tcW w:type="dxa" w:w="864"/>
          </w:tcPr>
          <w:p>
            <w:pPr>
              <w:spacing w:after="20" w:before="20" w:line="254" w:lineRule="auto"/>
              <w:jc w:val="center"/>
            </w:pPr>
            <w:r>
              <w:rPr>
                <w:sz w:val="16"/>
              </w:rPr>
              <w:t>3</w:t>
            </w:r>
          </w:p>
        </w:tc>
        <w:tc>
          <w:tcPr>
            <w:tcW w:type="dxa" w:w="4709"/>
          </w:tcPr>
          <w:p>
            <w:pPr>
              <w:spacing w:after="20" w:before="20" w:line="254" w:lineRule="auto"/>
              <w:jc w:val="left"/>
            </w:pPr>
            <w:r>
              <w:rPr>
                <w:sz w:val="16"/>
              </w:rPr>
              <w:t>churn rate by senior status</w:t>
            </w:r>
          </w:p>
        </w:tc>
      </w:tr>
      <w:tr>
        <w:tc>
          <w:tcPr>
            <w:tcW w:type="dxa" w:w="3744"/>
            <w:shd w:val="clear" w:color="auto" w:fill="F2F5F9"/>
          </w:tcPr>
          <w:p>
            <w:pPr>
              <w:spacing w:after="20" w:before="20" w:line="254" w:lineRule="auto"/>
              <w:jc w:val="left"/>
            </w:pPr>
            <w:r>
              <w:rPr>
                <w:rFonts w:ascii="Consolas" w:hAnsi="Consolas" w:eastAsia="Consolas"/>
                <w:color w:val="8A2C1F"/>
                <w:sz w:val="15"/>
              </w:rPr>
              <w:t>phase3_churn_by_tech_support.png</w:t>
            </w:r>
          </w:p>
        </w:tc>
        <w:tc>
          <w:tcPr>
            <w:tcW w:type="dxa" w:w="864"/>
            <w:shd w:val="clear" w:color="auto" w:fill="F2F5F9"/>
          </w:tcPr>
          <w:p>
            <w:pPr>
              <w:spacing w:after="20" w:before="20" w:line="254" w:lineRule="auto"/>
              <w:jc w:val="center"/>
            </w:pPr>
            <w:r>
              <w:rPr>
                <w:sz w:val="16"/>
              </w:rPr>
              <w:t>3</w:t>
            </w:r>
          </w:p>
        </w:tc>
        <w:tc>
          <w:tcPr>
            <w:tcW w:type="dxa" w:w="4709"/>
            <w:shd w:val="clear" w:color="auto" w:fill="F2F5F9"/>
          </w:tcPr>
          <w:p>
            <w:pPr>
              <w:spacing w:after="20" w:before="20" w:line="254" w:lineRule="auto"/>
              <w:jc w:val="left"/>
            </w:pPr>
            <w:r>
              <w:rPr>
                <w:sz w:val="16"/>
              </w:rPr>
              <w:t>churn rate by tech-support uptake</w:t>
            </w:r>
          </w:p>
        </w:tc>
      </w:tr>
      <w:tr>
        <w:tc>
          <w:tcPr>
            <w:tcW w:type="dxa" w:w="3744"/>
          </w:tcPr>
          <w:p>
            <w:pPr>
              <w:spacing w:after="20" w:before="20" w:line="254" w:lineRule="auto"/>
              <w:jc w:val="left"/>
            </w:pPr>
            <w:r>
              <w:rPr>
                <w:rFonts w:ascii="Consolas" w:hAnsi="Consolas" w:eastAsia="Consolas"/>
                <w:color w:val="8A2C1F"/>
                <w:sz w:val="15"/>
              </w:rPr>
              <w:t>phase3_churn_by_tenure_band.png</w:t>
            </w:r>
          </w:p>
        </w:tc>
        <w:tc>
          <w:tcPr>
            <w:tcW w:type="dxa" w:w="864"/>
          </w:tcPr>
          <w:p>
            <w:pPr>
              <w:spacing w:after="20" w:before="20" w:line="254" w:lineRule="auto"/>
              <w:jc w:val="center"/>
            </w:pPr>
            <w:r>
              <w:rPr>
                <w:sz w:val="16"/>
              </w:rPr>
              <w:t>3</w:t>
            </w:r>
          </w:p>
        </w:tc>
        <w:tc>
          <w:tcPr>
            <w:tcW w:type="dxa" w:w="4709"/>
          </w:tcPr>
          <w:p>
            <w:pPr>
              <w:spacing w:after="20" w:before="20" w:line="254" w:lineRule="auto"/>
              <w:jc w:val="left"/>
            </w:pPr>
            <w:r>
              <w:rPr>
                <w:sz w:val="16"/>
              </w:rPr>
              <w:t>cohort churn by tenure band</w:t>
            </w:r>
          </w:p>
        </w:tc>
      </w:tr>
      <w:tr>
        <w:tc>
          <w:tcPr>
            <w:tcW w:type="dxa" w:w="3744"/>
            <w:shd w:val="clear" w:color="auto" w:fill="F2F5F9"/>
          </w:tcPr>
          <w:p>
            <w:pPr>
              <w:spacing w:after="20" w:before="20" w:line="254" w:lineRule="auto"/>
              <w:jc w:val="left"/>
            </w:pPr>
            <w:r>
              <w:rPr>
                <w:rFonts w:ascii="Consolas" w:hAnsi="Consolas" w:eastAsia="Consolas"/>
                <w:color w:val="8A2C1F"/>
                <w:sz w:val="15"/>
              </w:rPr>
              <w:t>phase3_correlation_heatmap.png</w:t>
            </w:r>
          </w:p>
        </w:tc>
        <w:tc>
          <w:tcPr>
            <w:tcW w:type="dxa" w:w="864"/>
            <w:shd w:val="clear" w:color="auto" w:fill="F2F5F9"/>
          </w:tcPr>
          <w:p>
            <w:pPr>
              <w:spacing w:after="20" w:before="20" w:line="254" w:lineRule="auto"/>
              <w:jc w:val="center"/>
            </w:pPr>
            <w:r>
              <w:rPr>
                <w:sz w:val="16"/>
              </w:rPr>
              <w:t>3</w:t>
            </w:r>
          </w:p>
        </w:tc>
        <w:tc>
          <w:tcPr>
            <w:tcW w:type="dxa" w:w="4709"/>
            <w:shd w:val="clear" w:color="auto" w:fill="F2F5F9"/>
          </w:tcPr>
          <w:p>
            <w:pPr>
              <w:spacing w:after="20" w:before="20" w:line="254" w:lineRule="auto"/>
              <w:jc w:val="left"/>
            </w:pPr>
            <w:r>
              <w:rPr>
                <w:sz w:val="16"/>
              </w:rPr>
              <w:t>numeric correlation matrix</w:t>
            </w:r>
          </w:p>
        </w:tc>
      </w:tr>
      <w:tr>
        <w:tc>
          <w:tcPr>
            <w:tcW w:type="dxa" w:w="3744"/>
          </w:tcPr>
          <w:p>
            <w:pPr>
              <w:spacing w:after="20" w:before="20" w:line="254" w:lineRule="auto"/>
              <w:jc w:val="left"/>
            </w:pPr>
            <w:r>
              <w:rPr>
                <w:rFonts w:ascii="Consolas" w:hAnsi="Consolas" w:eastAsia="Consolas"/>
                <w:color w:val="8A2C1F"/>
                <w:sz w:val="15"/>
              </w:rPr>
              <w:t>phase3_tenure_monthlycharges_churn.png</w:t>
            </w:r>
          </w:p>
        </w:tc>
        <w:tc>
          <w:tcPr>
            <w:tcW w:type="dxa" w:w="864"/>
          </w:tcPr>
          <w:p>
            <w:pPr>
              <w:spacing w:after="20" w:before="20" w:line="254" w:lineRule="auto"/>
              <w:jc w:val="center"/>
            </w:pPr>
            <w:r>
              <w:rPr>
                <w:sz w:val="16"/>
              </w:rPr>
              <w:t>3</w:t>
            </w:r>
          </w:p>
        </w:tc>
        <w:tc>
          <w:tcPr>
            <w:tcW w:type="dxa" w:w="4709"/>
          </w:tcPr>
          <w:p>
            <w:pPr>
              <w:spacing w:after="20" w:before="20" w:line="254" w:lineRule="auto"/>
              <w:jc w:val="left"/>
            </w:pPr>
            <w:r>
              <w:rPr>
                <w:sz w:val="16"/>
              </w:rPr>
              <w:t>behavioural scatter coloured by outcome</w:t>
            </w:r>
          </w:p>
        </w:tc>
      </w:tr>
      <w:tr>
        <w:tc>
          <w:tcPr>
            <w:tcW w:type="dxa" w:w="3744"/>
            <w:shd w:val="clear" w:color="auto" w:fill="F2F5F9"/>
          </w:tcPr>
          <w:p>
            <w:pPr>
              <w:spacing w:after="20" w:before="20" w:line="254" w:lineRule="auto"/>
              <w:jc w:val="left"/>
            </w:pPr>
            <w:r>
              <w:rPr>
                <w:rFonts w:ascii="Consolas" w:hAnsi="Consolas" w:eastAsia="Consolas"/>
                <w:color w:val="8A2C1F"/>
                <w:sz w:val="15"/>
              </w:rPr>
              <w:t>phase5_elbow_method.png</w:t>
            </w:r>
          </w:p>
        </w:tc>
        <w:tc>
          <w:tcPr>
            <w:tcW w:type="dxa" w:w="864"/>
            <w:shd w:val="clear" w:color="auto" w:fill="F2F5F9"/>
          </w:tcPr>
          <w:p>
            <w:pPr>
              <w:spacing w:after="20" w:before="20" w:line="254" w:lineRule="auto"/>
              <w:jc w:val="center"/>
            </w:pPr>
            <w:r>
              <w:rPr>
                <w:sz w:val="16"/>
              </w:rPr>
              <w:t>5</w:t>
            </w:r>
          </w:p>
        </w:tc>
        <w:tc>
          <w:tcPr>
            <w:tcW w:type="dxa" w:w="4709"/>
            <w:shd w:val="clear" w:color="auto" w:fill="F2F5F9"/>
          </w:tcPr>
          <w:p>
            <w:pPr>
              <w:spacing w:after="20" w:before="20" w:line="254" w:lineRule="auto"/>
              <w:jc w:val="center"/>
            </w:pPr>
            <w:r>
              <w:rPr>
                <w:sz w:val="16"/>
              </w:rPr>
              <w:t>inertia against K</w:t>
            </w:r>
          </w:p>
        </w:tc>
      </w:tr>
      <w:tr>
        <w:tc>
          <w:tcPr>
            <w:tcW w:type="dxa" w:w="3744"/>
          </w:tcPr>
          <w:p>
            <w:pPr>
              <w:spacing w:after="20" w:before="20" w:line="254" w:lineRule="auto"/>
              <w:jc w:val="left"/>
            </w:pPr>
            <w:r>
              <w:rPr>
                <w:rFonts w:ascii="Consolas" w:hAnsi="Consolas" w:eastAsia="Consolas"/>
                <w:color w:val="8A2C1F"/>
                <w:sz w:val="15"/>
              </w:rPr>
              <w:t>phase5_silhouette_scores.png</w:t>
            </w:r>
          </w:p>
        </w:tc>
        <w:tc>
          <w:tcPr>
            <w:tcW w:type="dxa" w:w="864"/>
          </w:tcPr>
          <w:p>
            <w:pPr>
              <w:spacing w:after="20" w:before="20" w:line="254" w:lineRule="auto"/>
              <w:jc w:val="center"/>
            </w:pPr>
            <w:r>
              <w:rPr>
                <w:sz w:val="16"/>
              </w:rPr>
              <w:t>5</w:t>
            </w:r>
          </w:p>
        </w:tc>
        <w:tc>
          <w:tcPr>
            <w:tcW w:type="dxa" w:w="4709"/>
          </w:tcPr>
          <w:p>
            <w:pPr>
              <w:spacing w:after="20" w:before="20" w:line="254" w:lineRule="auto"/>
              <w:jc w:val="center"/>
            </w:pPr>
            <w:r>
              <w:rPr>
                <w:sz w:val="16"/>
              </w:rPr>
              <w:t>silhouette against K</w:t>
            </w:r>
          </w:p>
        </w:tc>
      </w:tr>
      <w:tr>
        <w:tc>
          <w:tcPr>
            <w:tcW w:type="dxa" w:w="3744"/>
            <w:shd w:val="clear" w:color="auto" w:fill="F2F5F9"/>
          </w:tcPr>
          <w:p>
            <w:pPr>
              <w:spacing w:after="20" w:before="20" w:line="254" w:lineRule="auto"/>
              <w:jc w:val="left"/>
            </w:pPr>
            <w:r>
              <w:rPr>
                <w:rFonts w:ascii="Consolas" w:hAnsi="Consolas" w:eastAsia="Consolas"/>
                <w:color w:val="8A2C1F"/>
                <w:sz w:val="15"/>
              </w:rPr>
              <w:t>phase5_cluster_profiles.png</w:t>
            </w:r>
          </w:p>
        </w:tc>
        <w:tc>
          <w:tcPr>
            <w:tcW w:type="dxa" w:w="864"/>
            <w:shd w:val="clear" w:color="auto" w:fill="F2F5F9"/>
          </w:tcPr>
          <w:p>
            <w:pPr>
              <w:spacing w:after="20" w:before="20" w:line="254" w:lineRule="auto"/>
              <w:jc w:val="center"/>
            </w:pPr>
            <w:r>
              <w:rPr>
                <w:sz w:val="16"/>
              </w:rPr>
              <w:t>5</w:t>
            </w:r>
          </w:p>
        </w:tc>
        <w:tc>
          <w:tcPr>
            <w:tcW w:type="dxa" w:w="4709"/>
            <w:shd w:val="clear" w:color="auto" w:fill="F2F5F9"/>
          </w:tcPr>
          <w:p>
            <w:pPr>
              <w:spacing w:after="20" w:before="20" w:line="254" w:lineRule="auto"/>
              <w:jc w:val="left"/>
            </w:pPr>
            <w:r>
              <w:rPr>
                <w:sz w:val="16"/>
              </w:rPr>
              <w:t>segment metric comparison</w:t>
            </w:r>
          </w:p>
        </w:tc>
      </w:tr>
      <w:tr>
        <w:tc>
          <w:tcPr>
            <w:tcW w:type="dxa" w:w="3744"/>
          </w:tcPr>
          <w:p>
            <w:pPr>
              <w:spacing w:after="20" w:before="20" w:line="254" w:lineRule="auto"/>
              <w:jc w:val="left"/>
            </w:pPr>
            <w:r>
              <w:rPr>
                <w:rFonts w:ascii="Consolas" w:hAnsi="Consolas" w:eastAsia="Consolas"/>
                <w:color w:val="8A2C1F"/>
                <w:sz w:val="15"/>
              </w:rPr>
              <w:t>phase5_customer_segments.png</w:t>
            </w:r>
          </w:p>
        </w:tc>
        <w:tc>
          <w:tcPr>
            <w:tcW w:type="dxa" w:w="864"/>
          </w:tcPr>
          <w:p>
            <w:pPr>
              <w:spacing w:after="20" w:before="20" w:line="254" w:lineRule="auto"/>
              <w:jc w:val="center"/>
            </w:pPr>
            <w:r>
              <w:rPr>
                <w:sz w:val="16"/>
              </w:rPr>
              <w:t>5</w:t>
            </w:r>
          </w:p>
        </w:tc>
        <w:tc>
          <w:tcPr>
            <w:tcW w:type="dxa" w:w="4709"/>
          </w:tcPr>
          <w:p>
            <w:pPr>
              <w:spacing w:after="20" w:before="20" w:line="254" w:lineRule="auto"/>
              <w:jc w:val="left"/>
            </w:pPr>
            <w:r>
              <w:rPr>
                <w:sz w:val="16"/>
              </w:rPr>
              <w:t>segment scatter with service-count size</w:t>
            </w:r>
          </w:p>
        </w:tc>
      </w:tr>
      <w:tr>
        <w:tc>
          <w:tcPr>
            <w:tcW w:type="dxa" w:w="3744"/>
            <w:shd w:val="clear" w:color="auto" w:fill="F2F5F9"/>
          </w:tcPr>
          <w:p>
            <w:pPr>
              <w:spacing w:after="20" w:before="20" w:line="254" w:lineRule="auto"/>
              <w:jc w:val="left"/>
            </w:pPr>
            <w:r>
              <w:rPr>
                <w:rFonts w:ascii="Consolas" w:hAnsi="Consolas" w:eastAsia="Consolas"/>
                <w:color w:val="8A2C1F"/>
                <w:sz w:val="15"/>
              </w:rPr>
              <w:t>phase6_roc_curves.png</w:t>
            </w:r>
          </w:p>
        </w:tc>
        <w:tc>
          <w:tcPr>
            <w:tcW w:type="dxa" w:w="864"/>
            <w:shd w:val="clear" w:color="auto" w:fill="F2F5F9"/>
          </w:tcPr>
          <w:p>
            <w:pPr>
              <w:spacing w:after="20" w:before="20" w:line="254" w:lineRule="auto"/>
              <w:jc w:val="center"/>
            </w:pPr>
            <w:r>
              <w:rPr>
                <w:sz w:val="16"/>
              </w:rPr>
              <w:t>6</w:t>
            </w:r>
          </w:p>
        </w:tc>
        <w:tc>
          <w:tcPr>
            <w:tcW w:type="dxa" w:w="4709"/>
            <w:shd w:val="clear" w:color="auto" w:fill="F2F5F9"/>
          </w:tcPr>
          <w:p>
            <w:pPr>
              <w:spacing w:after="20" w:before="20" w:line="254" w:lineRule="auto"/>
              <w:jc w:val="left"/>
            </w:pPr>
            <w:r>
              <w:rPr>
                <w:sz w:val="16"/>
              </w:rPr>
              <w:t>ROC overlay for all five models</w:t>
            </w:r>
          </w:p>
        </w:tc>
      </w:tr>
      <w:tr>
        <w:tc>
          <w:tcPr>
            <w:tcW w:type="dxa" w:w="3744"/>
          </w:tcPr>
          <w:p>
            <w:pPr>
              <w:spacing w:after="20" w:before="20" w:line="254" w:lineRule="auto"/>
              <w:jc w:val="left"/>
            </w:pPr>
            <w:r>
              <w:rPr>
                <w:rFonts w:ascii="Consolas" w:hAnsi="Consolas" w:eastAsia="Consolas"/>
                <w:color w:val="8A2C1F"/>
                <w:sz w:val="15"/>
              </w:rPr>
              <w:t>phase6_confusion_matrix.png</w:t>
            </w:r>
          </w:p>
        </w:tc>
        <w:tc>
          <w:tcPr>
            <w:tcW w:type="dxa" w:w="864"/>
          </w:tcPr>
          <w:p>
            <w:pPr>
              <w:spacing w:after="20" w:before="20" w:line="254" w:lineRule="auto"/>
              <w:jc w:val="center"/>
            </w:pPr>
            <w:r>
              <w:rPr>
                <w:sz w:val="16"/>
              </w:rPr>
              <w:t>6</w:t>
            </w:r>
          </w:p>
        </w:tc>
        <w:tc>
          <w:tcPr>
            <w:tcW w:type="dxa" w:w="4709"/>
          </w:tcPr>
          <w:p>
            <w:pPr>
              <w:spacing w:after="20" w:before="20" w:line="254" w:lineRule="auto"/>
              <w:jc w:val="left"/>
            </w:pPr>
            <w:r>
              <w:rPr>
                <w:sz w:val="16"/>
              </w:rPr>
              <w:t>confusion matrix of the best model</w:t>
            </w:r>
          </w:p>
        </w:tc>
      </w:tr>
      <w:tr>
        <w:tc>
          <w:tcPr>
            <w:tcW w:type="dxa" w:w="3744"/>
            <w:shd w:val="clear" w:color="auto" w:fill="F2F5F9"/>
          </w:tcPr>
          <w:p>
            <w:pPr>
              <w:spacing w:after="20" w:before="20" w:line="254" w:lineRule="auto"/>
              <w:jc w:val="left"/>
            </w:pPr>
            <w:r>
              <w:rPr>
                <w:rFonts w:ascii="Consolas" w:hAnsi="Consolas" w:eastAsia="Consolas"/>
                <w:color w:val="8A2C1F"/>
                <w:sz w:val="15"/>
              </w:rPr>
              <w:t>phase6_feature_importance.png</w:t>
            </w:r>
          </w:p>
        </w:tc>
        <w:tc>
          <w:tcPr>
            <w:tcW w:type="dxa" w:w="864"/>
            <w:shd w:val="clear" w:color="auto" w:fill="F2F5F9"/>
          </w:tcPr>
          <w:p>
            <w:pPr>
              <w:spacing w:after="20" w:before="20" w:line="254" w:lineRule="auto"/>
              <w:jc w:val="center"/>
            </w:pPr>
            <w:r>
              <w:rPr>
                <w:sz w:val="16"/>
              </w:rPr>
              <w:t>6</w:t>
            </w:r>
          </w:p>
        </w:tc>
        <w:tc>
          <w:tcPr>
            <w:tcW w:type="dxa" w:w="4709"/>
            <w:shd w:val="clear" w:color="auto" w:fill="F2F5F9"/>
          </w:tcPr>
          <w:p>
            <w:pPr>
              <w:spacing w:after="20" w:before="20" w:line="254" w:lineRule="auto"/>
              <w:jc w:val="left"/>
            </w:pPr>
            <w:r>
              <w:rPr>
                <w:sz w:val="16"/>
              </w:rPr>
              <w:t>top twenty features by gain</w:t>
            </w:r>
          </w:p>
        </w:tc>
      </w:tr>
    </w:tbl>
    <w:p>
      <w:pPr>
        <w:spacing w:before="80" w:after="200"/>
        <w:jc w:val="center"/>
      </w:pPr>
      <w:r>
        <w:rPr>
          <w:i/>
          <w:color w:val="555F6B"/>
          <w:sz w:val="17"/>
        </w:rPr>
        <w:t>Table 43: All sixteen charts generated by the pipeline.</w:t>
      </w:r>
    </w:p>
    <w:p>
      <w:pPr>
        <w:keepNext/>
        <w:spacing w:before="240" w:after="80"/>
      </w:pPr>
      <w:r>
        <w:rPr>
          <w:rFonts w:ascii="Calibri" w:hAnsi="Calibri"/>
          <w:b/>
          <w:color w:val="1B355E"/>
          <w:sz w:val="25"/>
        </w:rPr>
        <w:t>B.3  Serialised models</w:t>
      </w:r>
    </w:p>
    <w:tbl>
      <w:tblPr>
        <w:tblStyle w:val="TableGrid"/>
        <w:tblW w:type="auto" w:w="0"/>
        <w:jc w:val="center"/>
        <w:tblLayout w:type="fixed"/>
        <w:tblLook w:firstColumn="1" w:firstRow="1" w:lastColumn="0" w:lastRow="0" w:noHBand="0" w:noVBand="1" w:val="04A0"/>
        <w:tblLayout w:type="fixed"/>
        <w:tblCellMar>
          <w:top w:w="34" w:type="dxa"/>
          <w:left w:w="66" w:type="dxa"/>
          <w:bottom w:w="34" w:type="dxa"/>
          <w:right w:w="66" w:type="dxa"/>
        </w:tblCellMar>
      </w:tblPr>
      <w:tblGrid>
        <w:gridCol w:w="2476"/>
        <w:gridCol w:w="1036"/>
        <w:gridCol w:w="3384"/>
        <w:gridCol w:w="2419"/>
      </w:tblGrid>
      <w:tr>
        <w:tc>
          <w:tcPr>
            <w:tcW w:type="dxa" w:w="2477"/>
            <w:shd w:val="clear" w:color="auto" w:fill="1B355E"/>
          </w:tcPr>
          <w:p>
            <w:pPr>
              <w:spacing w:after="20" w:before="20"/>
              <w:jc w:val="center"/>
            </w:pPr>
            <w:r>
              <w:rPr>
                <w:b/>
                <w:color w:val="FFFFFF"/>
                <w:sz w:val="17"/>
              </w:rPr>
              <w:t>File</w:t>
            </w:r>
          </w:p>
        </w:tc>
        <w:tc>
          <w:tcPr>
            <w:tcW w:type="dxa" w:w="1037"/>
            <w:shd w:val="clear" w:color="auto" w:fill="1B355E"/>
          </w:tcPr>
          <w:p>
            <w:pPr>
              <w:spacing w:after="20" w:before="20"/>
              <w:jc w:val="center"/>
            </w:pPr>
            <w:r>
              <w:rPr>
                <w:b/>
                <w:color w:val="FFFFFF"/>
                <w:sz w:val="17"/>
              </w:rPr>
              <w:t>Size</w:t>
            </w:r>
          </w:p>
        </w:tc>
        <w:tc>
          <w:tcPr>
            <w:tcW w:type="dxa" w:w="3384"/>
            <w:shd w:val="clear" w:color="auto" w:fill="1B355E"/>
          </w:tcPr>
          <w:p>
            <w:pPr>
              <w:spacing w:after="20" w:before="20"/>
              <w:jc w:val="center"/>
            </w:pPr>
            <w:r>
              <w:rPr>
                <w:b/>
                <w:color w:val="FFFFFF"/>
                <w:sz w:val="17"/>
              </w:rPr>
              <w:t>Contents</w:t>
            </w:r>
          </w:p>
        </w:tc>
        <w:tc>
          <w:tcPr>
            <w:tcW w:type="dxa" w:w="2419"/>
            <w:shd w:val="clear" w:color="auto" w:fill="1B355E"/>
          </w:tcPr>
          <w:p>
            <w:pPr>
              <w:spacing w:after="20" w:before="20"/>
              <w:jc w:val="center"/>
            </w:pPr>
            <w:r>
              <w:rPr>
                <w:b/>
                <w:color w:val="FFFFFF"/>
                <w:sz w:val="17"/>
              </w:rPr>
              <w:t>Provenance</w:t>
            </w:r>
          </w:p>
        </w:tc>
      </w:tr>
      <w:tr>
        <w:tc>
          <w:tcPr>
            <w:tcW w:type="dxa" w:w="2477"/>
          </w:tcPr>
          <w:p>
            <w:pPr>
              <w:spacing w:after="20" w:before="20" w:line="254" w:lineRule="auto"/>
              <w:jc w:val="left"/>
            </w:pPr>
            <w:r>
              <w:rPr>
                <w:rFonts w:ascii="Consolas" w:hAnsi="Consolas" w:eastAsia="Consolas"/>
                <w:color w:val="8A2C1F"/>
                <w:sz w:val="15"/>
              </w:rPr>
              <w:t>best_churn_model.joblib</w:t>
            </w:r>
          </w:p>
        </w:tc>
        <w:tc>
          <w:tcPr>
            <w:tcW w:type="dxa" w:w="1037"/>
          </w:tcPr>
          <w:p>
            <w:pPr>
              <w:spacing w:after="20" w:before="20" w:line="254" w:lineRule="auto"/>
              <w:jc w:val="center"/>
            </w:pPr>
            <w:r>
              <w:rPr>
                <w:sz w:val="16"/>
              </w:rPr>
              <w:t>238 KB</w:t>
            </w:r>
          </w:p>
        </w:tc>
        <w:tc>
          <w:tcPr>
            <w:tcW w:type="dxa" w:w="3384"/>
          </w:tcPr>
          <w:p>
            <w:pPr>
              <w:spacing w:after="20" w:before="20" w:line="254" w:lineRule="auto"/>
              <w:jc w:val="left"/>
            </w:pPr>
            <w:r>
              <w:rPr>
                <w:sz w:val="16"/>
              </w:rPr>
              <w:t xml:space="preserve">fitted </w:t>
            </w:r>
            <w:r>
              <w:rPr>
                <w:rFonts w:ascii="Consolas" w:hAnsi="Consolas" w:eastAsia="Consolas"/>
                <w:color w:val="8A2C1F"/>
                <w:sz w:val="15"/>
              </w:rPr>
              <w:t>Pipeline</w:t>
            </w:r>
            <w:r>
              <w:rPr>
                <w:sz w:val="16"/>
              </w:rPr>
              <w:t xml:space="preserve">: </w:t>
            </w:r>
            <w:r>
              <w:rPr>
                <w:rFonts w:ascii="Consolas" w:hAnsi="Consolas" w:eastAsia="Consolas"/>
                <w:color w:val="8A2C1F"/>
                <w:sz w:val="15"/>
              </w:rPr>
              <w:t>ColumnTransformer</w:t>
            </w:r>
            <w:r>
              <w:rPr>
                <w:sz w:val="16"/>
              </w:rPr>
              <w:t xml:space="preserve"> plus tuned </w:t>
            </w:r>
            <w:r>
              <w:rPr>
                <w:rFonts w:ascii="Consolas" w:hAnsi="Consolas" w:eastAsia="Consolas"/>
                <w:color w:val="8A2C1F"/>
                <w:sz w:val="15"/>
              </w:rPr>
              <w:t>XGBClassifier</w:t>
            </w:r>
          </w:p>
        </w:tc>
        <w:tc>
          <w:tcPr>
            <w:tcW w:type="dxa" w:w="2419"/>
          </w:tcPr>
          <w:p>
            <w:pPr>
              <w:spacing w:after="20" w:before="20" w:line="254" w:lineRule="auto"/>
              <w:jc w:val="center"/>
            </w:pPr>
            <w:r>
              <w:rPr>
                <w:sz w:val="16"/>
              </w:rPr>
              <w:t>written by phase 6</w:t>
            </w:r>
          </w:p>
        </w:tc>
      </w:tr>
      <w:tr>
        <w:tc>
          <w:tcPr>
            <w:tcW w:type="dxa" w:w="2477"/>
            <w:shd w:val="clear" w:color="auto" w:fill="F2F5F9"/>
          </w:tcPr>
          <w:p>
            <w:pPr>
              <w:spacing w:after="20" w:before="20" w:line="254" w:lineRule="auto"/>
              <w:jc w:val="left"/>
            </w:pPr>
            <w:r>
              <w:rPr>
                <w:rFonts w:ascii="Consolas" w:hAnsi="Consolas" w:eastAsia="Consolas"/>
                <w:color w:val="8A2C1F"/>
                <w:sz w:val="15"/>
              </w:rPr>
              <w:t>enhanced_churn_model.joblib</w:t>
            </w:r>
          </w:p>
        </w:tc>
        <w:tc>
          <w:tcPr>
            <w:tcW w:type="dxa" w:w="1037"/>
            <w:shd w:val="clear" w:color="auto" w:fill="F2F5F9"/>
          </w:tcPr>
          <w:p>
            <w:pPr>
              <w:spacing w:after="20" w:before="20" w:line="254" w:lineRule="auto"/>
              <w:jc w:val="center"/>
            </w:pPr>
            <w:r>
              <w:rPr>
                <w:sz w:val="16"/>
              </w:rPr>
              <w:t>625 KB</w:t>
            </w:r>
          </w:p>
        </w:tc>
        <w:tc>
          <w:tcPr>
            <w:tcW w:type="dxa" w:w="3384"/>
            <w:shd w:val="clear" w:color="auto" w:fill="F2F5F9"/>
          </w:tcPr>
          <w:p>
            <w:pPr>
              <w:spacing w:after="20" w:before="20" w:line="254" w:lineRule="auto"/>
              <w:jc w:val="center"/>
            </w:pPr>
            <w:r>
              <w:rPr>
                <w:sz w:val="16"/>
              </w:rPr>
              <w:t>unknown</w:t>
            </w:r>
          </w:p>
        </w:tc>
        <w:tc>
          <w:tcPr>
            <w:tcW w:type="dxa" w:w="2419"/>
            <w:shd w:val="clear" w:color="auto" w:fill="F2F5F9"/>
          </w:tcPr>
          <w:p>
            <w:pPr>
              <w:spacing w:after="20" w:before="20" w:line="254" w:lineRule="auto"/>
              <w:jc w:val="left"/>
            </w:pPr>
            <w:r>
              <w:rPr>
                <w:b/>
                <w:sz w:val="16"/>
              </w:rPr>
              <w:t>no script in the folder produces this file — see Section 15.6</w:t>
            </w:r>
          </w:p>
        </w:tc>
      </w:tr>
    </w:tbl>
    <w:p>
      <w:pPr>
        <w:spacing w:before="80" w:after="200"/>
        <w:jc w:val="center"/>
      </w:pPr>
      <w:r>
        <w:rPr>
          <w:i/>
          <w:color w:val="555F6B"/>
          <w:sz w:val="17"/>
        </w:rPr>
        <w:t>Table 44: Serialised model artefacts found in the models folder.</w:t>
      </w:r>
    </w:p>
    <w:p>
      <w:pPr>
        <w:spacing w:after="200"/>
      </w:pPr>
    </w:p>
    <w:p>
      <w:pPr>
        <w:spacing w:after="120" w:before="0"/>
        <w:jc w:val="center"/>
      </w:pPr>
      <w:r>
        <w:rPr>
          <w:b w:val="0"/>
          <w:i/>
          <w:color w:val="555F6B"/>
          <w:sz w:val="19"/>
        </w:rPr>
        <w:t>End of report.</w:t>
      </w:r>
    </w:p>
    <w:sectPr w:rsidR="00FC693F" w:rsidRPr="0006063C" w:rsidSect="00034616">
      <w:footerReference w:type="default" r:id="rId28"/>
      <w:pgSz w:w="11909" w:h="16834"/>
      <w:pgMar w:top="1224" w:right="1224"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B"/>
        <w:sz w:val="16"/>
      </w:rPr>
      <w:t xml:space="preserve">Customer Churn Prediction and Retention Analytics  —  Implementation Report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