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606060"/>
          <w:sz w:val="26"/>
        </w:rPr>
        <w:t>PROJECT REPORT — UPDATE 1</w:t>
      </w:r>
    </w:p>
    <w:p>
      <w:pPr>
        <w:spacing w:before="480"/>
        <w:jc w:val="center"/>
      </w:pPr>
      <w:r>
        <w:rPr>
          <w:rFonts w:ascii="Calibri" w:hAnsi="Calibri"/>
          <w:b/>
          <w:color w:val="1F3864"/>
          <w:sz w:val="48"/>
        </w:rPr>
        <w:t>Customer Churn Prediction &amp; Retention Analytics</w:t>
        <w:br/>
        <w:t>for Service-Oriented Businesses</w:t>
      </w:r>
    </w:p>
    <w:p>
      <w:pPr>
        <w:jc w:val="center"/>
      </w:pPr>
      <w:r>
        <w:rPr>
          <w:rFonts w:ascii="Calibri" w:hAnsi="Calibri"/>
          <w:i/>
          <w:sz w:val="27"/>
        </w:rPr>
        <w:t>A Business-Oriented AI &amp; Analytics System using Machine Learning,</w:t>
        <w:br/>
        <w:t>Customer Segmentation and Explainable AI</w:t>
      </w:r>
    </w:p>
    <w:p/>
    <w:tbl>
      <w:tblPr>
        <w:tblStyle w:val="TableGrid"/>
        <w:tblW w:type="auto" w:w="0"/>
        <w:jc w:val="center"/>
        <w:tblLayout w:type="fixed"/>
        <w:tblLook w:firstColumn="1" w:firstRow="1" w:lastColumn="0" w:lastRow="0" w:noHBand="0" w:noVBand="1" w:val="04A0"/>
        <w:tblLayout w:type="fixed"/>
      </w:tblPr>
      <w:tblGrid>
        <w:gridCol w:w="2664"/>
        <w:gridCol w:w="6408"/>
      </w:tblGrid>
      <w:tr>
        <w:tc>
          <w:tcPr>
            <w:tcW w:type="dxa" w:w="2664"/>
            <w:shd w:val="clear" w:color="auto" w:fill="EDF1F8"/>
          </w:tcPr>
          <w:p>
            <w:r>
              <w:rPr>
                <w:rFonts w:ascii="Calibri" w:hAnsi="Calibri"/>
                <w:b/>
                <w:sz w:val="21"/>
              </w:rPr>
              <w:t>Project Domain</w:t>
            </w:r>
          </w:p>
        </w:tc>
        <w:tc>
          <w:tcPr>
            <w:tcW w:type="dxa" w:w="6408"/>
          </w:tcPr>
          <w:p>
            <w:r>
              <w:rPr>
                <w:sz w:val="21"/>
              </w:rPr>
              <w:t>Business Analytics, Artificial Intelligence &amp; Machine Learning</w:t>
            </w:r>
          </w:p>
        </w:tc>
      </w:tr>
      <w:tr>
        <w:tc>
          <w:tcPr>
            <w:tcW w:type="dxa" w:w="2664"/>
            <w:shd w:val="clear" w:color="auto" w:fill="EDF1F8"/>
          </w:tcPr>
          <w:p>
            <w:r>
              <w:rPr>
                <w:rFonts w:ascii="Calibri" w:hAnsi="Calibri"/>
                <w:b/>
                <w:sz w:val="21"/>
              </w:rPr>
              <w:t>Project Type</w:t>
            </w:r>
          </w:p>
        </w:tc>
        <w:tc>
          <w:tcPr>
            <w:tcW w:type="dxa" w:w="6408"/>
          </w:tcPr>
          <w:p>
            <w:r>
              <w:rPr>
                <w:sz w:val="21"/>
              </w:rPr>
              <w:t>Applied AI / Business Analytics (Data Product)</w:t>
            </w:r>
          </w:p>
        </w:tc>
      </w:tr>
      <w:tr>
        <w:tc>
          <w:tcPr>
            <w:tcW w:type="dxa" w:w="2664"/>
            <w:shd w:val="clear" w:color="auto" w:fill="EDF1F8"/>
          </w:tcPr>
          <w:p>
            <w:r>
              <w:rPr>
                <w:rFonts w:ascii="Calibri" w:hAnsi="Calibri"/>
                <w:b/>
                <w:sz w:val="21"/>
              </w:rPr>
              <w:t>Techniques Used</w:t>
            </w:r>
          </w:p>
        </w:tc>
        <w:tc>
          <w:tcPr>
            <w:tcW w:type="dxa" w:w="6408"/>
          </w:tcPr>
          <w:p>
            <w:r>
              <w:rPr>
                <w:sz w:val="21"/>
              </w:rPr>
              <w:t>Logistic Regression, Random Forest, XGBoost, SVM, K-Means Segmentation, SHAP-based Explainable AI</w:t>
            </w:r>
          </w:p>
        </w:tc>
      </w:tr>
      <w:tr>
        <w:tc>
          <w:tcPr>
            <w:tcW w:type="dxa" w:w="2664"/>
            <w:shd w:val="clear" w:color="auto" w:fill="EDF1F8"/>
          </w:tcPr>
          <w:p>
            <w:r>
              <w:rPr>
                <w:rFonts w:ascii="Calibri" w:hAnsi="Calibri"/>
                <w:b/>
                <w:sz w:val="21"/>
              </w:rPr>
              <w:t>Deployment</w:t>
            </w:r>
          </w:p>
        </w:tc>
        <w:tc>
          <w:tcPr>
            <w:tcW w:type="dxa" w:w="6408"/>
          </w:tcPr>
          <w:p>
            <w:r>
              <w:rPr>
                <w:sz w:val="21"/>
              </w:rPr>
              <w:t>Streamlit interactive analytics dashboard</w:t>
            </w:r>
          </w:p>
        </w:tc>
      </w:tr>
      <w:tr>
        <w:tc>
          <w:tcPr>
            <w:tcW w:type="dxa" w:w="2664"/>
            <w:shd w:val="clear" w:color="auto" w:fill="EDF1F8"/>
          </w:tcPr>
          <w:p>
            <w:r>
              <w:rPr>
                <w:rFonts w:ascii="Calibri" w:hAnsi="Calibri"/>
                <w:b/>
                <w:sz w:val="21"/>
              </w:rPr>
              <w:t>Dataset</w:t>
            </w:r>
          </w:p>
        </w:tc>
        <w:tc>
          <w:tcPr>
            <w:tcW w:type="dxa" w:w="6408"/>
          </w:tcPr>
          <w:p>
            <w:r>
              <w:rPr>
                <w:sz w:val="21"/>
              </w:rPr>
              <w:t>Customer Churn Prediction dataset (Kaggle, public)</w:t>
            </w:r>
          </w:p>
        </w:tc>
      </w:tr>
      <w:tr>
        <w:tc>
          <w:tcPr>
            <w:tcW w:type="dxa" w:w="2664"/>
            <w:shd w:val="clear" w:color="auto" w:fill="EDF1F8"/>
          </w:tcPr>
          <w:p>
            <w:r>
              <w:rPr>
                <w:rFonts w:ascii="Calibri" w:hAnsi="Calibri"/>
                <w:b/>
                <w:sz w:val="21"/>
              </w:rPr>
              <w:t>Primary Deliverable</w:t>
            </w:r>
          </w:p>
        </w:tc>
        <w:tc>
          <w:tcPr>
            <w:tcW w:type="dxa" w:w="6408"/>
          </w:tcPr>
          <w:p>
            <w:r>
              <w:rPr>
                <w:sz w:val="21"/>
              </w:rPr>
              <w:t>Churn risk scoring engine + retention decision-support dashboard</w:t>
            </w:r>
          </w:p>
        </w:tc>
      </w:tr>
      <w:tr>
        <w:tc>
          <w:tcPr>
            <w:tcW w:type="dxa" w:w="2664"/>
            <w:shd w:val="clear" w:color="auto" w:fill="EDF1F8"/>
          </w:tcPr>
          <w:p>
            <w:r>
              <w:rPr>
                <w:rFonts w:ascii="Calibri" w:hAnsi="Calibri"/>
                <w:b/>
                <w:sz w:val="21"/>
              </w:rPr>
              <w:t>Report Version</w:t>
            </w:r>
          </w:p>
        </w:tc>
        <w:tc>
          <w:tcPr>
            <w:tcW w:type="dxa" w:w="6408"/>
          </w:tcPr>
          <w:p>
            <w:r>
              <w:rPr>
                <w:sz w:val="21"/>
              </w:rPr>
              <w:t>Update 1 (revised scope — business-oriented AI/analytics project)</w:t>
            </w:r>
          </w:p>
        </w:tc>
      </w:tr>
      <w:tr>
        <w:tc>
          <w:tcPr>
            <w:tcW w:type="dxa" w:w="2664"/>
            <w:shd w:val="clear" w:color="auto" w:fill="EDF1F8"/>
          </w:tcPr>
          <w:p>
            <w:r>
              <w:rPr>
                <w:rFonts w:ascii="Calibri" w:hAnsi="Calibri"/>
                <w:b/>
                <w:sz w:val="21"/>
              </w:rPr>
              <w:t>Date</w:t>
            </w:r>
          </w:p>
        </w:tc>
        <w:tc>
          <w:tcPr>
            <w:tcW w:type="dxa" w:w="6408"/>
          </w:tcPr>
          <w:p>
            <w:r>
              <w:rPr>
                <w:sz w:val="21"/>
              </w:rPr>
              <w:t>10 August 2026</w:t>
            </w:r>
          </w:p>
        </w:tc>
      </w:tr>
    </w:tbl>
    <w:p>
      <w:r>
        <w:br w:type="page"/>
      </w:r>
    </w:p>
    <w:p>
      <w:pPr>
        <w:pStyle w:val="Heading1"/>
      </w:pPr>
      <w:r>
        <w:t>Table of Contents</w:t>
      </w:r>
    </w:p>
    <w:p>
      <w:pPr>
        <w:spacing w:after="40"/>
        <w:ind w:left="360"/>
      </w:pPr>
      <w:r>
        <w:rPr>
          <w:sz w:val="23"/>
        </w:rPr>
        <w:t>1. Abstract</w:t>
      </w:r>
    </w:p>
    <w:p>
      <w:pPr>
        <w:spacing w:after="40"/>
        <w:ind w:left="360"/>
      </w:pPr>
      <w:r>
        <w:rPr>
          <w:sz w:val="23"/>
        </w:rPr>
        <w:t>2. Introduction</w:t>
      </w:r>
    </w:p>
    <w:p>
      <w:pPr>
        <w:spacing w:after="40"/>
        <w:ind w:left="360"/>
      </w:pPr>
      <w:r>
        <w:rPr>
          <w:sz w:val="23"/>
        </w:rPr>
        <w:t>3. Problem Statement</w:t>
      </w:r>
    </w:p>
    <w:p>
      <w:pPr>
        <w:spacing w:after="40"/>
        <w:ind w:left="360"/>
      </w:pPr>
      <w:r>
        <w:rPr>
          <w:sz w:val="23"/>
        </w:rPr>
        <w:t>4. Aim</w:t>
      </w:r>
    </w:p>
    <w:p>
      <w:pPr>
        <w:spacing w:after="40"/>
        <w:ind w:left="360"/>
      </w:pPr>
      <w:r>
        <w:rPr>
          <w:sz w:val="23"/>
        </w:rPr>
        <w:t>5. Objectives</w:t>
      </w:r>
    </w:p>
    <w:p>
      <w:pPr>
        <w:spacing w:after="40"/>
        <w:ind w:left="360"/>
      </w:pPr>
      <w:r>
        <w:rPr>
          <w:sz w:val="23"/>
        </w:rPr>
        <w:t>6. Motivation</w:t>
      </w:r>
    </w:p>
    <w:p>
      <w:pPr>
        <w:spacing w:after="40"/>
        <w:ind w:left="360"/>
      </w:pPr>
      <w:r>
        <w:rPr>
          <w:sz w:val="23"/>
        </w:rPr>
        <w:t>7. Scope of the Project</w:t>
      </w:r>
    </w:p>
    <w:p>
      <w:pPr>
        <w:spacing w:after="40"/>
        <w:ind w:left="360"/>
      </w:pPr>
      <w:r>
        <w:rPr>
          <w:sz w:val="23"/>
        </w:rPr>
        <w:t>8. Literature Survey</w:t>
      </w:r>
    </w:p>
    <w:p>
      <w:pPr>
        <w:spacing w:after="40"/>
        <w:ind w:left="360"/>
      </w:pPr>
      <w:r>
        <w:rPr>
          <w:sz w:val="23"/>
        </w:rPr>
        <w:t>9. Existing Methods and Their Drawbacks</w:t>
      </w:r>
    </w:p>
    <w:p>
      <w:pPr>
        <w:spacing w:after="40"/>
        <w:ind w:left="360"/>
      </w:pPr>
      <w:r>
        <w:rPr>
          <w:sz w:val="23"/>
        </w:rPr>
        <w:t>10. Research Gaps Identified</w:t>
      </w:r>
    </w:p>
    <w:p>
      <w:pPr>
        <w:spacing w:after="40"/>
        <w:ind w:left="360"/>
      </w:pPr>
      <w:r>
        <w:rPr>
          <w:sz w:val="23"/>
        </w:rPr>
        <w:t>11. Proposed System</w:t>
      </w:r>
    </w:p>
    <w:p>
      <w:pPr>
        <w:spacing w:after="40"/>
        <w:ind w:left="360"/>
      </w:pPr>
      <w:r>
        <w:rPr>
          <w:sz w:val="23"/>
        </w:rPr>
        <w:t>12. System Architecture</w:t>
      </w:r>
    </w:p>
    <w:p>
      <w:pPr>
        <w:spacing w:after="40"/>
        <w:ind w:left="360"/>
      </w:pPr>
      <w:r>
        <w:rPr>
          <w:sz w:val="23"/>
        </w:rPr>
        <w:t>13. Detailed Methodology</w:t>
      </w:r>
    </w:p>
    <w:p>
      <w:pPr>
        <w:spacing w:after="40"/>
        <w:ind w:left="360"/>
      </w:pPr>
      <w:r>
        <w:rPr>
          <w:sz w:val="23"/>
        </w:rPr>
        <w:t>14. Dataset Description</w:t>
      </w:r>
    </w:p>
    <w:p>
      <w:pPr>
        <w:spacing w:after="40"/>
        <w:ind w:left="360"/>
      </w:pPr>
      <w:r>
        <w:rPr>
          <w:sz w:val="23"/>
        </w:rPr>
        <w:t>15. Hardware and Software Requirements</w:t>
      </w:r>
    </w:p>
    <w:p>
      <w:pPr>
        <w:spacing w:after="40"/>
        <w:ind w:left="360"/>
      </w:pPr>
      <w:r>
        <w:rPr>
          <w:sz w:val="23"/>
        </w:rPr>
        <w:t>16. Applications</w:t>
      </w:r>
    </w:p>
    <w:p>
      <w:pPr>
        <w:spacing w:after="40"/>
        <w:ind w:left="360"/>
      </w:pPr>
      <w:r>
        <w:rPr>
          <w:sz w:val="23"/>
        </w:rPr>
        <w:t>17. Expected Output</w:t>
      </w:r>
    </w:p>
    <w:p>
      <w:pPr>
        <w:spacing w:after="40"/>
        <w:ind w:left="360"/>
      </w:pPr>
      <w:r>
        <w:rPr>
          <w:sz w:val="23"/>
        </w:rPr>
        <w:t>18. Advantages</w:t>
      </w:r>
    </w:p>
    <w:p>
      <w:pPr>
        <w:spacing w:after="40"/>
        <w:ind w:left="360"/>
      </w:pPr>
      <w:r>
        <w:rPr>
          <w:sz w:val="23"/>
        </w:rPr>
        <w:t>19. Work Breakdown Structure and Timeline</w:t>
      </w:r>
    </w:p>
    <w:p>
      <w:pPr>
        <w:spacing w:after="40"/>
        <w:ind w:left="360"/>
      </w:pPr>
      <w:r>
        <w:rPr>
          <w:sz w:val="23"/>
        </w:rPr>
        <w:t>20. Conclusion</w:t>
      </w:r>
    </w:p>
    <w:p>
      <w:pPr>
        <w:spacing w:after="40"/>
        <w:ind w:left="360"/>
      </w:pPr>
      <w:r>
        <w:rPr>
          <w:sz w:val="23"/>
        </w:rPr>
        <w:t>References</w:t>
      </w:r>
    </w:p>
    <w:p>
      <w:pPr>
        <w:spacing w:after="120"/>
        <w:jc w:val="both"/>
      </w:pPr>
      <w:r>
        <w:rPr>
          <w:b w:val="0"/>
          <w:i w:val="0"/>
        </w:rPr>
      </w:r>
    </w:p>
    <w:p>
      <w:pPr>
        <w:spacing w:after="120"/>
        <w:jc w:val="both"/>
      </w:pPr>
      <w:r>
        <w:rPr>
          <w:b w:val="0"/>
          <w:i/>
          <w:sz w:val="22"/>
        </w:rPr>
        <w:t>Revision note (Update 1): This version upgrades the project from a purely predictive machine-learning exercise into an end-to-end, business-oriented AI and analytics solution. Newly added components are customer segmentation, engineered behavioural features, Logistic Regression as an interpretable benchmark, per-customer churn probability scoring, Explainable AI with feature importance and SHAP reason codes, a high-risk customer dashboard, prescriptive business recommendations, and a quantified revenue / retention impact model.</w:t>
      </w:r>
    </w:p>
    <w:p>
      <w:r>
        <w:br w:type="page"/>
      </w:r>
    </w:p>
    <w:p>
      <w:pPr>
        <w:pStyle w:val="Heading1"/>
      </w:pPr>
      <w:r>
        <w:t>1. Abstract</w:t>
      </w:r>
    </w:p>
    <w:p>
      <w:pPr>
        <w:spacing w:after="120"/>
        <w:jc w:val="both"/>
      </w:pPr>
      <w:r>
        <w:rPr>
          <w:b w:val="0"/>
          <w:i w:val="0"/>
        </w:rPr>
        <w:t>Customer churn — the loss of existing customers to competitors or to service discontinuation — is one of the most financially damaging problems faced by service-oriented businesses such as telecommunications operators, banks, insurers, subscription platforms and SaaS providers. Because acquiring a new customer typically costs several times more than retaining an existing one, even a marginal reduction in the churn rate translates directly into measurable profit. Most academic churn projects, however, stop at reporting a classification accuracy figure and never answer the question a business actually asks: which specific customers are about to leave, why are they leaving, what should we do about it, and how much money will that save?</w:t>
      </w:r>
    </w:p>
    <w:p>
      <w:pPr>
        <w:spacing w:after="120"/>
        <w:jc w:val="both"/>
      </w:pPr>
      <w:r>
        <w:rPr>
          <w:b w:val="0"/>
          <w:i w:val="0"/>
        </w:rPr>
        <w:t>This project proposes a complete, business-oriented AI and analytics system for customer churn prediction and retention management. The system begins with rigorous data cleaning and exploratory data analysis of a public customer churn dataset, followed by domain-driven feature engineering (tenure bands, average revenue per user, charge ratios, service-adoption counts) and unsupervised customer segmentation using K-Means clustering over RFM-style value indicators. Four supervised classifiers — Logistic Regression, Random Forest, XGBoost and a Support Vector Machine baseline — are trained and benchmarked using accuracy, precision, recall, F1-score, ROC-AUC and PR-AUC, with class imbalance addressed through stratified sampling and class weighting. The best model is used to produce a calibrated churn probability for every customer rather than a simple yes/no label, allowing customers to be ranked and banded into low, medium and high risk tiers.</w:t>
      </w:r>
    </w:p>
    <w:p>
      <w:pPr>
        <w:spacing w:after="120"/>
        <w:jc w:val="both"/>
      </w:pPr>
      <w:r>
        <w:rPr>
          <w:b w:val="0"/>
          <w:i w:val="0"/>
        </w:rPr>
        <w:t>Model transparency is provided through an Explainable AI layer that combines global feature-importance analysis with SHAP (SHapley Additive exPlanations) values, generating human-readable reason codes for each individual prediction — for example, "month-to-month contract", "short tenure" or "high monthly charges relative to segment". These explanations drive a prescriptive recommendation engine that maps each risk driver to a concrete retention action. Finally, a business impact module combines churn probability with customer value to compute revenue at risk, expected saved revenue and retention-campaign ROI. The entire pipeline is deployed as an interactive Streamlit dashboard that lists high-risk customers, visualises segment-level churn behaviour and exports prioritised target lists for the retention team. The system targets a classification accuracy above 85% and a ROC-AUC above 0.85, while delivering decision-ready, financially quantified output.</w:t>
      </w:r>
    </w:p>
    <w:p>
      <w:pPr>
        <w:pStyle w:val="Heading2"/>
      </w:pPr>
      <w:r>
        <w:t>Keywords</w:t>
      </w:r>
    </w:p>
    <w:p>
      <w:pPr>
        <w:spacing w:after="120"/>
        <w:jc w:val="both"/>
      </w:pPr>
      <w:r>
        <w:rPr>
          <w:b w:val="0"/>
          <w:i/>
        </w:rPr>
        <w:t>Customer churn prediction; retention analytics; business intelligence; machine learning; Logistic Regression; Random Forest; XGBoost; customer segmentation; K-Means clustering; Explainable AI; SHAP; churn probability; revenue at risk; customer lifetime value; Streamlit dashboard.</w:t>
      </w:r>
    </w:p>
    <w:p>
      <w:r>
        <w:br w:type="page"/>
      </w:r>
    </w:p>
    <w:p>
      <w:pPr>
        <w:pStyle w:val="Heading1"/>
      </w:pPr>
      <w:r>
        <w:t>2. Introduction</w:t>
      </w:r>
    </w:p>
    <w:p>
      <w:pPr>
        <w:spacing w:after="120"/>
        <w:jc w:val="both"/>
      </w:pPr>
      <w:r>
        <w:rPr>
          <w:b w:val="0"/>
          <w:i w:val="0"/>
        </w:rPr>
        <w:t>In a service-driven economy, revenue is recurring rather than transactional. A telecom subscriber, a bank account holder or a SaaS subscriber generates income month after month, so the value of that relationship is realised over its lifetime rather than at the point of sale. Consequently, the single most important determinant of long-term profitability for such organisations is not how many customers they acquire but how many they keep. Customer churn — also called customer attrition — refers to the event in which a customer terminates their relationship with a service provider, either by cancelling a subscription, switching to a competitor, or simply becoming inactive.</w:t>
      </w:r>
    </w:p>
    <w:p>
      <w:pPr>
        <w:spacing w:after="120"/>
        <w:jc w:val="both"/>
      </w:pPr>
      <w:r>
        <w:rPr>
          <w:b w:val="0"/>
          <w:i w:val="0"/>
        </w:rPr>
        <w:t>The financial asymmetry between acquisition and retention is well established in marketing literature: attracting a new customer generally costs between five and twenty-five times more than retaining an existing one, and existing customers spend more, adopt more services and refer more prospects. In mature, saturated markets such as Indian telecom or retail banking, where the pool of new customers is limited, retention is effectively the only sustainable growth lever. A churn rate reduction of even two or three percentage points across a large subscriber base can represent crores of rupees in preserved annual revenue.</w:t>
      </w:r>
    </w:p>
    <w:p>
      <w:pPr>
        <w:spacing w:after="120"/>
        <w:jc w:val="both"/>
      </w:pPr>
      <w:r>
        <w:rPr>
          <w:b w:val="0"/>
          <w:i w:val="0"/>
        </w:rPr>
        <w:t>Historically, churn management has been reactive. Businesses discovered churn only after it happened, through monthly attrition reports, and responded with broad, untargeted win-back campaigns or blanket discounts. Where analytics was used at all, it took the form of descriptive statistics, static rule-based flags (for example, "flag any customer who called support more than three times") or simple regression on a handful of variables. Such approaches struggle with the reality of modern customer data: hundreds of correlated attributes, strongly non-linear interactions between them, and heavily imbalanced outcome classes in which churners form a minority of the population.</w:t>
      </w:r>
    </w:p>
    <w:p>
      <w:pPr>
        <w:spacing w:after="120"/>
        <w:jc w:val="both"/>
      </w:pPr>
      <w:r>
        <w:rPr>
          <w:b w:val="0"/>
          <w:i w:val="0"/>
        </w:rPr>
        <w:t>Machine learning changes this picture fundamentally. Supervised classification algorithms can learn complex, non-linear behavioural signatures from historical customer records and estimate, for each individual customer, the probability that they will churn in the next billing cycle. This converts churn management from a reactive, post-mortem activity into a proactive, predictive one. Ensemble methods such as Random Forest and gradient-boosted trees such as XGBoost have repeatedly been shown in recent literature to deliver state-of-the-art performance on tabular customer data, while interpretable models such as Logistic Regression remain valuable as transparent, well-calibrated baselines.</w:t>
      </w:r>
    </w:p>
    <w:p>
      <w:pPr>
        <w:spacing w:after="120"/>
        <w:jc w:val="both"/>
      </w:pPr>
      <w:r>
        <w:rPr>
          <w:b w:val="0"/>
          <w:i w:val="0"/>
        </w:rPr>
        <w:t>However, predictive accuracy alone does not create business value. A model that reports 87% accuracy but cannot explain its reasoning, cannot be inspected by a retention manager, and cannot be tied to a rupee figure will not be adopted operationally. Recent research therefore emphasises Explainable AI — particularly SHAP-based attribution — to expose the drivers behind each individual prediction, and profit-driven evaluation that scores models on the money they save rather than on abstract metrics.</w:t>
      </w:r>
    </w:p>
    <w:p>
      <w:pPr>
        <w:spacing w:after="120"/>
        <w:jc w:val="both"/>
      </w:pPr>
      <w:r>
        <w:rPr>
          <w:b w:val="0"/>
          <w:i w:val="0"/>
        </w:rPr>
        <w:t>This project responds directly to that shift. It is designed not as a basic machine-learning exercise but as a business-oriented AI and analytics product. It integrates data cleaning and exploratory analysis, customer segmentation, feature engineering, multi-model benchmarking, per-customer churn probability prediction, explainable feature attribution, a high-risk customer dashboard, prescriptive retention recommendations and an estimated revenue and retention impact model into a single, deployable decision support system.</w:t>
      </w:r>
    </w:p>
    <w:p>
      <w:r>
        <w:br w:type="page"/>
      </w:r>
    </w:p>
    <w:p>
      <w:pPr>
        <w:pStyle w:val="Heading1"/>
      </w:pPr>
      <w:r>
        <w:t>3. Problem Statement</w:t>
      </w:r>
    </w:p>
    <w:p>
      <w:pPr>
        <w:spacing w:after="120"/>
        <w:jc w:val="both"/>
      </w:pPr>
      <w:r>
        <w:rPr>
          <w:b w:val="0"/>
          <w:i w:val="0"/>
        </w:rPr>
        <w:t>Service-oriented organisations hold vast quantities of customer data — demographics, contract terms, service subscriptions, billing history and support interactions — yet remain largely unable to convert that data into timely, targeted retention action. The core problem this project addresses can be stated as follows:</w:t>
      </w:r>
    </w:p>
    <w:p>
      <w:pPr>
        <w:spacing w:after="120"/>
        <w:jc w:val="both"/>
      </w:pPr>
      <w:r>
        <w:rPr>
          <w:b w:val="0"/>
          <w:i/>
        </w:rPr>
        <w:t>“Given historical customer records containing demographic, contractual, service-usage and billing attributes, how can an organisation accurately identify, in advance, which individual customers are at high risk of churning; understand the specific reasons driving each customer's risk; prioritise them by their financial value to the business; and quantify the revenue that a targeted retention intervention would preserve?”</w:t>
      </w:r>
    </w:p>
    <w:p>
      <w:pPr>
        <w:pStyle w:val="Heading2"/>
      </w:pPr>
      <w:r>
        <w:t>3.1 Specific Challenges</w:t>
      </w:r>
    </w:p>
    <w:p>
      <w:pPr>
        <w:pStyle w:val="ListBullet"/>
        <w:spacing w:after="60"/>
        <w:jc w:val="both"/>
      </w:pPr>
      <w:r>
        <w:rPr>
          <w:b/>
        </w:rPr>
        <w:t xml:space="preserve">Scale and complexity of data — </w:t>
      </w:r>
      <w:r>
        <w:t>Customer datasets contain a large number of mixed categorical and numerical attributes whose interactions are non-linear and not discoverable by manual inspection.</w:t>
      </w:r>
    </w:p>
    <w:p>
      <w:pPr>
        <w:pStyle w:val="ListBullet"/>
        <w:spacing w:after="60"/>
        <w:jc w:val="both"/>
      </w:pPr>
      <w:r>
        <w:rPr>
          <w:b/>
        </w:rPr>
        <w:t xml:space="preserve">Class imbalance — </w:t>
      </w:r>
      <w:r>
        <w:t>Churners typically constitute only 20–30% of the customer base, causing naive models to achieve deceptively high accuracy while failing to detect the minority class that actually matters.</w:t>
      </w:r>
    </w:p>
    <w:p>
      <w:pPr>
        <w:pStyle w:val="ListBullet"/>
        <w:spacing w:after="60"/>
        <w:jc w:val="both"/>
      </w:pPr>
      <w:r>
        <w:rPr>
          <w:b/>
        </w:rPr>
        <w:t xml:space="preserve">Binary output is not actionable — </w:t>
      </w:r>
      <w:r>
        <w:t>A yes/no churn label gives the retention team no way to prioritise. Two customers labelled 'will churn' may have a 51% and a 96% probability and vastly different values.</w:t>
      </w:r>
    </w:p>
    <w:p>
      <w:pPr>
        <w:pStyle w:val="ListBullet"/>
        <w:spacing w:after="60"/>
        <w:jc w:val="both"/>
      </w:pPr>
      <w:r>
        <w:rPr>
          <w:b/>
        </w:rPr>
        <w:t xml:space="preserve">Opacity of high-accuracy models — </w:t>
      </w:r>
      <w:r>
        <w:t>Ensemble and boosting models behave as black boxes. Without explanation, business users cannot trust the output or design a targeted response.</w:t>
      </w:r>
    </w:p>
    <w:p>
      <w:pPr>
        <w:pStyle w:val="ListBullet"/>
        <w:spacing w:after="60"/>
        <w:jc w:val="both"/>
      </w:pPr>
      <w:r>
        <w:rPr>
          <w:b/>
        </w:rPr>
        <w:t xml:space="preserve">No link to money — </w:t>
      </w:r>
      <w:r>
        <w:t>Conventional projects report accuracy and ROC-AUC but never translate predictions into revenue at risk, saved revenue or campaign ROI, which is the language management actually uses.</w:t>
      </w:r>
    </w:p>
    <w:p>
      <w:pPr>
        <w:pStyle w:val="ListBullet"/>
        <w:spacing w:after="60"/>
        <w:jc w:val="both"/>
      </w:pPr>
      <w:r>
        <w:rPr>
          <w:b/>
        </w:rPr>
        <w:t xml:space="preserve">Absence of a usable interface — </w:t>
      </w:r>
      <w:r>
        <w:t>Models that live inside notebooks are never adopted. Retention teams need a dashboard listing at-risk customers with the reasons and the recommended action.</w:t>
      </w:r>
    </w:p>
    <w:p>
      <w:pPr>
        <w:pStyle w:val="ListBullet"/>
        <w:spacing w:after="60"/>
        <w:jc w:val="both"/>
      </w:pPr>
      <w:r>
        <w:rPr>
          <w:b/>
        </w:rPr>
        <w:t xml:space="preserve">One-size-fits-all retention — </w:t>
      </w:r>
      <w:r>
        <w:t>Without customer segmentation, the same offer is pushed to all at-risk customers, wasting budget on low-value customers and under-serving high-value ones.</w:t>
      </w:r>
    </w:p>
    <w:p>
      <w:pPr>
        <w:spacing w:after="120"/>
        <w:jc w:val="both"/>
      </w:pPr>
      <w:r>
        <w:rPr>
          <w:b w:val="0"/>
          <w:i w:val="0"/>
        </w:rPr>
        <w:t>Therefore, there exists a clear need for an intelligent, explainable and financially grounded churn prediction and retention analytics system that closes the gap between statistical prediction and business decision-making.</w:t>
      </w:r>
    </w:p>
    <w:p>
      <w:pPr>
        <w:pStyle w:val="Heading1"/>
      </w:pPr>
      <w:r>
        <w:t>4. Aim</w:t>
      </w:r>
    </w:p>
    <w:p>
      <w:pPr>
        <w:spacing w:after="120"/>
        <w:jc w:val="both"/>
      </w:pPr>
      <w:r>
        <w:rPr>
          <w:b w:val="0"/>
          <w:i w:val="0"/>
        </w:rPr>
        <w:t>The aim of this project is to design, develop and deploy an end-to-end, business-oriented AI and analytics system that predicts the probability of customer churn in service-oriented businesses, explains the drivers behind every prediction, segments and prioritises at-risk customers by their financial value, recommends targeted retention actions, and quantifies the expected revenue and retention impact of those actions through an interactive web-based decision-support dashboard.</w:t>
      </w:r>
    </w:p>
    <w:p>
      <w:pPr>
        <w:pStyle w:val="Heading1"/>
      </w:pPr>
      <w:r>
        <w:t>5. Objectives</w:t>
      </w:r>
    </w:p>
    <w:p>
      <w:pPr>
        <w:pStyle w:val="Heading2"/>
      </w:pPr>
      <w:r>
        <w:t>5.1 Primary Objectives</w:t>
      </w:r>
    </w:p>
    <w:p>
      <w:pPr>
        <w:pStyle w:val="ListNumber"/>
        <w:spacing w:after="60"/>
        <w:jc w:val="both"/>
      </w:pPr>
      <w:r>
        <w:t>To acquire, clean and profile a real-world customer churn dataset, handling missing values, inconsistent data types, duplicates and outliers, and to perform structured exploratory data analysis (EDA) that establishes the baseline churn rate and the key behavioural patterns associated with churn.</w:t>
      </w:r>
    </w:p>
    <w:p>
      <w:pPr>
        <w:pStyle w:val="ListNumber"/>
        <w:spacing w:after="60"/>
        <w:jc w:val="both"/>
      </w:pPr>
      <w:r>
        <w:rPr>
          <w:b/>
        </w:rPr>
        <w:t xml:space="preserve">To engineer meaningful business-oriented features — </w:t>
      </w:r>
      <w:r>
        <w:t>including tenure bands, average revenue per user (ARPU), total-to-monthly charge ratio, number of subscribed services and contract-risk indicators — that improve model performance and interpretability beyond the raw dataset columns.</w:t>
      </w:r>
    </w:p>
    <w:p>
      <w:pPr>
        <w:pStyle w:val="ListNumber"/>
        <w:spacing w:after="60"/>
        <w:jc w:val="both"/>
      </w:pPr>
      <w:r>
        <w:t>To perform unsupervised customer segmentation using K-Means clustering over RFM-style value indicators, and to profile the churn behaviour, revenue contribution and risk exposure of each resulting segment.</w:t>
      </w:r>
    </w:p>
    <w:p>
      <w:pPr>
        <w:pStyle w:val="ListNumber"/>
        <w:spacing w:after="60"/>
        <w:jc w:val="both"/>
      </w:pPr>
      <w:r>
        <w:rPr>
          <w:b/>
        </w:rPr>
        <w:t xml:space="preserve">To implement, train and tune four supervised classification models — </w:t>
      </w:r>
      <w:r>
        <w:t>Logistic Regression, Random Forest, XGBoost and a Support Vector Machine baseline — for churn classification.</w:t>
      </w:r>
    </w:p>
    <w:p>
      <w:pPr>
        <w:pStyle w:val="ListNumber"/>
        <w:spacing w:after="60"/>
        <w:jc w:val="both"/>
      </w:pPr>
      <w:r>
        <w:t>To benchmark and compare these models on accuracy, precision, recall, F1-score, ROC-AUC and PR-AUC, and to select the best-performing model, targeting accuracy above 85%.</w:t>
      </w:r>
    </w:p>
    <w:p>
      <w:pPr>
        <w:pStyle w:val="ListNumber"/>
        <w:spacing w:after="60"/>
        <w:jc w:val="both"/>
      </w:pPr>
      <w:r>
        <w:t>To generate a calibrated churn probability for every individual customer and to band customers into low, medium and high risk tiers rather than producing a simple binary label.</w:t>
      </w:r>
    </w:p>
    <w:p>
      <w:pPr>
        <w:pStyle w:val="ListNumber"/>
        <w:spacing w:after="60"/>
        <w:jc w:val="both"/>
      </w:pPr>
      <w:r>
        <w:t>To build an Explainable AI layer using global feature importance and SHAP values that produces human-readable reason codes explaining why each individual customer is flagged as at-risk.</w:t>
      </w:r>
    </w:p>
    <w:p>
      <w:pPr>
        <w:pStyle w:val="ListNumber"/>
        <w:spacing w:after="60"/>
        <w:jc w:val="both"/>
      </w:pPr>
      <w:r>
        <w:t>To develop an interactive Streamlit dashboard that displays the ranked list of high-risk customers, segment-level KPIs, model comparison charts and drill-down explanations, with CSV export.</w:t>
      </w:r>
    </w:p>
    <w:p>
      <w:pPr>
        <w:pStyle w:val="ListNumber"/>
        <w:spacing w:after="60"/>
        <w:jc w:val="both"/>
      </w:pPr>
      <w:r>
        <w:t>To generate prescriptive business recommendations that map each identified churn driver to a concrete, cost-aware retention action.</w:t>
      </w:r>
    </w:p>
    <w:p>
      <w:pPr>
        <w:pStyle w:val="ListNumber"/>
        <w:spacing w:after="60"/>
        <w:jc w:val="both"/>
      </w:pPr>
      <w:r>
        <w:t>To build a business impact model that estimates revenue at risk, expected saved revenue, retention-campaign ROI and the projected reduction in the overall churn rate.</w:t>
      </w:r>
    </w:p>
    <w:p>
      <w:pPr>
        <w:pStyle w:val="Heading2"/>
      </w:pPr>
      <w:r>
        <w:t>5.2 Analytical Variables</w:t>
      </w:r>
    </w:p>
    <w:tbl>
      <w:tblPr>
        <w:tblStyle w:val="TableGrid"/>
        <w:tblW w:type="auto" w:w="0"/>
        <w:jc w:val="center"/>
        <w:tblLayout w:type="fixed"/>
        <w:tblLook w:firstColumn="1" w:firstRow="1" w:lastColumn="0" w:lastRow="0" w:noHBand="0" w:noVBand="1" w:val="04A0"/>
        <w:tblLayout w:type="fixed"/>
      </w:tblPr>
      <w:tblGrid>
        <w:gridCol w:w="2160"/>
        <w:gridCol w:w="4176"/>
        <w:gridCol w:w="2880"/>
      </w:tblGrid>
      <w:tr>
        <w:tc>
          <w:tcPr>
            <w:tcW w:type="dxa" w:w="2160"/>
            <w:shd w:val="clear" w:color="auto" w:fill="1F3864"/>
          </w:tcPr>
          <w:p>
            <w:pPr>
              <w:spacing w:after="40"/>
            </w:pPr>
            <w:r/>
            <w:r>
              <w:rPr>
                <w:rFonts w:ascii="Calibri" w:hAnsi="Calibri"/>
                <w:b/>
                <w:color w:val="FFFFFF"/>
                <w:sz w:val="19"/>
              </w:rPr>
              <w:t>Variable Type</w:t>
            </w:r>
          </w:p>
        </w:tc>
        <w:tc>
          <w:tcPr>
            <w:tcW w:type="dxa" w:w="4176"/>
            <w:shd w:val="clear" w:color="auto" w:fill="1F3864"/>
          </w:tcPr>
          <w:p>
            <w:pPr>
              <w:spacing w:after="40"/>
            </w:pPr>
            <w:r/>
            <w:r>
              <w:rPr>
                <w:rFonts w:ascii="Calibri" w:hAnsi="Calibri"/>
                <w:b/>
                <w:color w:val="FFFFFF"/>
                <w:sz w:val="19"/>
              </w:rPr>
              <w:t>Variables</w:t>
            </w:r>
          </w:p>
        </w:tc>
        <w:tc>
          <w:tcPr>
            <w:tcW w:type="dxa" w:w="2880"/>
            <w:shd w:val="clear" w:color="auto" w:fill="1F3864"/>
          </w:tcPr>
          <w:p>
            <w:pPr>
              <w:spacing w:after="40"/>
            </w:pPr>
            <w:r/>
            <w:r>
              <w:rPr>
                <w:rFonts w:ascii="Calibri" w:hAnsi="Calibri"/>
                <w:b/>
                <w:color w:val="FFFFFF"/>
                <w:sz w:val="19"/>
              </w:rPr>
              <w:t>Role in the Study</w:t>
            </w:r>
          </w:p>
        </w:tc>
      </w:tr>
      <w:tr>
        <w:tc>
          <w:tcPr>
            <w:tcW w:type="dxa" w:w="2160"/>
          </w:tcPr>
          <w:p>
            <w:pPr>
              <w:spacing w:after="40"/>
            </w:pPr>
            <w:r/>
            <w:r>
              <w:rPr>
                <w:rFonts w:ascii="Times New Roman" w:hAnsi="Times New Roman"/>
                <w:sz w:val="19"/>
              </w:rPr>
              <w:t>Independent Variables (IV)</w:t>
            </w:r>
          </w:p>
        </w:tc>
        <w:tc>
          <w:tcPr>
            <w:tcW w:type="dxa" w:w="4176"/>
          </w:tcPr>
          <w:p>
            <w:pPr>
              <w:spacing w:after="40"/>
            </w:pPr>
            <w:r/>
            <w:r>
              <w:rPr>
                <w:rFonts w:ascii="Times New Roman" w:hAnsi="Times New Roman"/>
                <w:sz w:val="19"/>
              </w:rPr>
              <w:t>Tenure, Monthly Charges, Total Charges, Contract Type, Payment Method, Internet Service Type, Tech Support, Online Security, Paperless Billing, Senior Citizen, Partner/Dependents</w:t>
            </w:r>
          </w:p>
        </w:tc>
        <w:tc>
          <w:tcPr>
            <w:tcW w:type="dxa" w:w="2880"/>
          </w:tcPr>
          <w:p>
            <w:pPr>
              <w:spacing w:after="40"/>
            </w:pPr>
            <w:r/>
            <w:r>
              <w:rPr>
                <w:rFonts w:ascii="Times New Roman" w:hAnsi="Times New Roman"/>
                <w:sz w:val="19"/>
              </w:rPr>
              <w:t>Predictors used to model churn behaviour</w:t>
            </w:r>
          </w:p>
        </w:tc>
      </w:tr>
      <w:tr>
        <w:tc>
          <w:tcPr>
            <w:tcW w:type="dxa" w:w="2160"/>
            <w:shd w:val="clear" w:color="auto" w:fill="F2F5FA"/>
          </w:tcPr>
          <w:p>
            <w:pPr>
              <w:spacing w:after="40"/>
            </w:pPr>
            <w:r/>
            <w:r>
              <w:rPr>
                <w:rFonts w:ascii="Times New Roman" w:hAnsi="Times New Roman"/>
                <w:sz w:val="19"/>
              </w:rPr>
              <w:t>Engineered Variables</w:t>
            </w:r>
          </w:p>
        </w:tc>
        <w:tc>
          <w:tcPr>
            <w:tcW w:type="dxa" w:w="4176"/>
            <w:shd w:val="clear" w:color="auto" w:fill="F2F5FA"/>
          </w:tcPr>
          <w:p>
            <w:pPr>
              <w:spacing w:after="40"/>
            </w:pPr>
            <w:r/>
            <w:r>
              <w:rPr>
                <w:rFonts w:ascii="Times New Roman" w:hAnsi="Times New Roman"/>
                <w:sz w:val="19"/>
              </w:rPr>
              <w:t>Tenure band, ARPU, Total/Monthly charge ratio, Number of subscribed services, Contract risk flag, Customer value tier</w:t>
            </w:r>
          </w:p>
        </w:tc>
        <w:tc>
          <w:tcPr>
            <w:tcW w:type="dxa" w:w="2880"/>
            <w:shd w:val="clear" w:color="auto" w:fill="F2F5FA"/>
          </w:tcPr>
          <w:p>
            <w:pPr>
              <w:spacing w:after="40"/>
            </w:pPr>
            <w:r/>
            <w:r>
              <w:rPr>
                <w:rFonts w:ascii="Times New Roman" w:hAnsi="Times New Roman"/>
                <w:sz w:val="19"/>
              </w:rPr>
              <w:t>Derived features that add business meaning and lift model performance</w:t>
            </w:r>
          </w:p>
        </w:tc>
      </w:tr>
      <w:tr>
        <w:tc>
          <w:tcPr>
            <w:tcW w:type="dxa" w:w="2160"/>
          </w:tcPr>
          <w:p>
            <w:pPr>
              <w:spacing w:after="40"/>
            </w:pPr>
            <w:r/>
            <w:r>
              <w:rPr>
                <w:rFonts w:ascii="Times New Roman" w:hAnsi="Times New Roman"/>
                <w:sz w:val="19"/>
              </w:rPr>
              <w:t>Segmentation Variables</w:t>
            </w:r>
          </w:p>
        </w:tc>
        <w:tc>
          <w:tcPr>
            <w:tcW w:type="dxa" w:w="4176"/>
          </w:tcPr>
          <w:p>
            <w:pPr>
              <w:spacing w:after="40"/>
            </w:pPr>
            <w:r/>
            <w:r>
              <w:rPr>
                <w:rFonts w:ascii="Times New Roman" w:hAnsi="Times New Roman"/>
                <w:sz w:val="19"/>
              </w:rPr>
              <w:t>Tenure (recency proxy), Number of services (frequency proxy), Monthly Charges (monetary proxy)</w:t>
            </w:r>
          </w:p>
        </w:tc>
        <w:tc>
          <w:tcPr>
            <w:tcW w:type="dxa" w:w="2880"/>
          </w:tcPr>
          <w:p>
            <w:pPr>
              <w:spacing w:after="40"/>
            </w:pPr>
            <w:r/>
            <w:r>
              <w:rPr>
                <w:rFonts w:ascii="Times New Roman" w:hAnsi="Times New Roman"/>
                <w:sz w:val="19"/>
              </w:rPr>
              <w:t>Inputs to K-Means clustering for customer segmentation</w:t>
            </w:r>
          </w:p>
        </w:tc>
      </w:tr>
      <w:tr>
        <w:tc>
          <w:tcPr>
            <w:tcW w:type="dxa" w:w="2160"/>
            <w:shd w:val="clear" w:color="auto" w:fill="F2F5FA"/>
          </w:tcPr>
          <w:p>
            <w:pPr>
              <w:spacing w:after="40"/>
            </w:pPr>
            <w:r/>
            <w:r>
              <w:rPr>
                <w:rFonts w:ascii="Times New Roman" w:hAnsi="Times New Roman"/>
                <w:sz w:val="19"/>
              </w:rPr>
              <w:t>Dependent Variable (DV)</w:t>
            </w:r>
          </w:p>
        </w:tc>
        <w:tc>
          <w:tcPr>
            <w:tcW w:type="dxa" w:w="4176"/>
            <w:shd w:val="clear" w:color="auto" w:fill="F2F5FA"/>
          </w:tcPr>
          <w:p>
            <w:pPr>
              <w:spacing w:after="40"/>
            </w:pPr>
            <w:r/>
            <w:r>
              <w:rPr>
                <w:rFonts w:ascii="Times New Roman" w:hAnsi="Times New Roman"/>
                <w:sz w:val="19"/>
              </w:rPr>
              <w:t>Churn status (Yes = 1 / No = 0) and the associated churn probability p(churn) ∈ [0, 1]</w:t>
            </w:r>
          </w:p>
        </w:tc>
        <w:tc>
          <w:tcPr>
            <w:tcW w:type="dxa" w:w="2880"/>
            <w:shd w:val="clear" w:color="auto" w:fill="F2F5FA"/>
          </w:tcPr>
          <w:p>
            <w:pPr>
              <w:spacing w:after="40"/>
            </w:pPr>
            <w:r/>
            <w:r>
              <w:rPr>
                <w:rFonts w:ascii="Times New Roman" w:hAnsi="Times New Roman"/>
                <w:sz w:val="19"/>
              </w:rPr>
              <w:t>Target variable predicted by the models</w:t>
            </w:r>
          </w:p>
        </w:tc>
      </w:tr>
      <w:tr>
        <w:tc>
          <w:tcPr>
            <w:tcW w:type="dxa" w:w="2160"/>
          </w:tcPr>
          <w:p>
            <w:pPr>
              <w:spacing w:after="40"/>
            </w:pPr>
            <w:r/>
            <w:r>
              <w:rPr>
                <w:rFonts w:ascii="Times New Roman" w:hAnsi="Times New Roman"/>
                <w:sz w:val="19"/>
              </w:rPr>
              <w:t>Business Output Variables</w:t>
            </w:r>
          </w:p>
        </w:tc>
        <w:tc>
          <w:tcPr>
            <w:tcW w:type="dxa" w:w="4176"/>
          </w:tcPr>
          <w:p>
            <w:pPr>
              <w:spacing w:after="40"/>
            </w:pPr>
            <w:r/>
            <w:r>
              <w:rPr>
                <w:rFonts w:ascii="Times New Roman" w:hAnsi="Times New Roman"/>
                <w:sz w:val="19"/>
              </w:rPr>
              <w:t>Risk band, Revenue at Risk (RaR), Expected saved revenue, Retention ROI</w:t>
            </w:r>
          </w:p>
        </w:tc>
        <w:tc>
          <w:tcPr>
            <w:tcW w:type="dxa" w:w="2880"/>
          </w:tcPr>
          <w:p>
            <w:pPr>
              <w:spacing w:after="40"/>
            </w:pPr>
            <w:r/>
            <w:r>
              <w:rPr>
                <w:rFonts w:ascii="Times New Roman" w:hAnsi="Times New Roman"/>
                <w:sz w:val="19"/>
              </w:rPr>
              <w:t>Derived business metrics used for decision-making</w:t>
            </w:r>
          </w:p>
        </w:tc>
      </w:tr>
    </w:tbl>
    <w:p>
      <w:pPr>
        <w:spacing w:after="80"/>
      </w:pPr>
    </w:p>
    <w:p>
      <w:r>
        <w:br w:type="page"/>
      </w:r>
    </w:p>
    <w:p>
      <w:pPr>
        <w:pStyle w:val="Heading1"/>
      </w:pPr>
      <w:r>
        <w:t>6. Motivation</w:t>
      </w:r>
    </w:p>
    <w:p>
      <w:pPr>
        <w:spacing w:after="120"/>
        <w:jc w:val="both"/>
      </w:pPr>
      <w:r>
        <w:rPr>
          <w:b w:val="0"/>
          <w:i w:val="0"/>
        </w:rPr>
        <w:t>The motivation for this project is both economic and technical.</w:t>
      </w:r>
    </w:p>
    <w:p>
      <w:pPr>
        <w:pStyle w:val="Heading2"/>
      </w:pPr>
      <w:r>
        <w:t>6.1 Economic Motivation</w:t>
      </w:r>
    </w:p>
    <w:p>
      <w:pPr>
        <w:pStyle w:val="ListBullet"/>
        <w:spacing w:after="60"/>
        <w:jc w:val="both"/>
      </w:pPr>
      <w:r>
        <w:rPr>
          <w:b/>
        </w:rPr>
        <w:t xml:space="preserve">Retention is cheaper than acquisition — </w:t>
      </w:r>
      <w:r>
        <w:t>Industry studies consistently place the cost of acquiring a new customer at five to twenty-five times the cost of retaining an existing one; retained revenue therefore carries a far higher margin.</w:t>
      </w:r>
    </w:p>
    <w:p>
      <w:pPr>
        <w:pStyle w:val="ListBullet"/>
        <w:spacing w:after="60"/>
        <w:jc w:val="both"/>
      </w:pPr>
      <w:r>
        <w:rPr>
          <w:b/>
        </w:rPr>
        <w:t xml:space="preserve">Small churn reductions compound — </w:t>
      </w:r>
      <w:r>
        <w:t>On a base of 7,000 customers with an average monthly charge of approximately ₹5,400 (US$64.76 equivalent), reducing churn from 26.5% to 22% preserves roughly 315 customers per cycle, worth over ₹2 crore in annualised recurring revenue.</w:t>
      </w:r>
    </w:p>
    <w:p>
      <w:pPr>
        <w:pStyle w:val="ListBullet"/>
        <w:spacing w:after="60"/>
        <w:jc w:val="both"/>
      </w:pPr>
      <w:r>
        <w:rPr>
          <w:b/>
        </w:rPr>
        <w:t xml:space="preserve">Revenue is concentrated — </w:t>
      </w:r>
      <w:r>
        <w:t>A minority of high-value customers generates a disproportionate share of revenue, so churn among that minority is far more damaging than churn among low-value customers. Value-weighted prioritisation is therefore essential.</w:t>
      </w:r>
    </w:p>
    <w:p>
      <w:pPr>
        <w:pStyle w:val="ListBullet"/>
        <w:spacing w:after="60"/>
        <w:jc w:val="both"/>
      </w:pPr>
      <w:r>
        <w:rPr>
          <w:b/>
        </w:rPr>
        <w:t xml:space="preserve">Retention budgets are finite — </w:t>
      </w:r>
      <w:r>
        <w:t>Retention offers cost money. Targeting the wrong customers (those who would have stayed anyway, or those not worth saving) destroys campaign ROI.</w:t>
      </w:r>
    </w:p>
    <w:p>
      <w:pPr>
        <w:pStyle w:val="Heading2"/>
      </w:pPr>
      <w:r>
        <w:t>6.2 Technical and Academic Motivation</w:t>
      </w:r>
    </w:p>
    <w:p>
      <w:pPr>
        <w:pStyle w:val="ListBullet"/>
        <w:spacing w:after="60"/>
        <w:jc w:val="both"/>
      </w:pPr>
      <w:r>
        <w:rPr>
          <w:b/>
        </w:rPr>
        <w:t xml:space="preserve">Machine learning captures non-linear behaviour — </w:t>
      </w:r>
      <w:r>
        <w:t>Ensemble and boosting methods discover interaction effects (for example, short tenure combined with month-to-month contract and electronic-cheque payment) that no manual rule set would encode.</w:t>
      </w:r>
    </w:p>
    <w:p>
      <w:pPr>
        <w:pStyle w:val="ListBullet"/>
        <w:spacing w:after="60"/>
        <w:jc w:val="both"/>
      </w:pPr>
      <w:r>
        <w:rPr>
          <w:b/>
        </w:rPr>
        <w:t xml:space="preserve">Explainable AI has matured — </w:t>
      </w:r>
      <w:r>
        <w:t>SHAP and related attribution methods now make it practical to open the black box and give each prediction a defensible, per-customer explanation, which is a precondition for operational and regulatory acceptance.</w:t>
      </w:r>
    </w:p>
    <w:p>
      <w:pPr>
        <w:pStyle w:val="ListBullet"/>
        <w:spacing w:after="60"/>
        <w:jc w:val="both"/>
      </w:pPr>
      <w:r>
        <w:rPr>
          <w:b/>
        </w:rPr>
        <w:t xml:space="preserve">Analytics must become prescriptive — </w:t>
      </w:r>
      <w:r>
        <w:t>The field is moving from descriptive (what happened) through predictive (what will happen) to prescriptive analytics (what should we do about it). This project is deliberately positioned at the prescriptive end.</w:t>
      </w:r>
    </w:p>
    <w:p>
      <w:pPr>
        <w:pStyle w:val="ListBullet"/>
        <w:spacing w:after="60"/>
        <w:jc w:val="both"/>
      </w:pPr>
      <w:r>
        <w:rPr>
          <w:b/>
        </w:rPr>
        <w:t xml:space="preserve">Deployment is the differentiator — </w:t>
      </w:r>
      <w:r>
        <w:t>A model in a notebook has no business value. Packaging the pipeline as a live dashboard converts an experiment into a usable data product.</w:t>
      </w:r>
    </w:p>
    <w:p>
      <w:pPr>
        <w:pStyle w:val="Heading2"/>
      </w:pPr>
      <w:r>
        <w:t>6.3 Personal / Project Motivation</w:t>
      </w:r>
    </w:p>
    <w:p>
      <w:pPr>
        <w:spacing w:after="120"/>
        <w:jc w:val="both"/>
      </w:pPr>
      <w:r>
        <w:rPr>
          <w:b w:val="0"/>
          <w:i w:val="0"/>
        </w:rPr>
        <w:t>A conventional churn project trains a classifier and reports an accuracy figure. This project is deliberately built as a business analytics and AI product: it answers who will churn, why they will churn, which of them are worth saving, what should be offered to each of them, and how much money the intervention is expected to preserve. That end-to-end orientation is what makes the work valuable to a recruiter, to an evaluator and, most importantly, to a real business.</w:t>
      </w:r>
    </w:p>
    <w:p>
      <w:pPr>
        <w:pStyle w:val="Heading1"/>
      </w:pPr>
      <w:r>
        <w:t>7. Scope of the Project</w:t>
      </w:r>
    </w:p>
    <w:p>
      <w:pPr>
        <w:pStyle w:val="Heading2"/>
      </w:pPr>
      <w:r>
        <w:t>7.1 In Scope</w:t>
      </w:r>
    </w:p>
    <w:p>
      <w:pPr>
        <w:pStyle w:val="ListBullet"/>
        <w:spacing w:after="60"/>
        <w:jc w:val="both"/>
      </w:pPr>
      <w:r>
        <w:rPr>
          <w:b/>
        </w:rPr>
        <w:t xml:space="preserve">Domain coverage — </w:t>
      </w:r>
      <w:r>
        <w:t>Telecommunications, banking and financial services, insurance, SaaS and subscription platforms, OTT/streaming media, e-commerce loyalty programmes, and gym/utility subscription businesses.</w:t>
      </w:r>
    </w:p>
    <w:p>
      <w:pPr>
        <w:pStyle w:val="ListBullet"/>
        <w:spacing w:after="60"/>
        <w:jc w:val="both"/>
      </w:pPr>
      <w:r>
        <w:rPr>
          <w:b/>
        </w:rPr>
        <w:t xml:space="preserve">Data type — </w:t>
      </w:r>
      <w:r>
        <w:t>Structured, tabular customer data containing demographic, contractual, service-usage and billing attributes, supplied as CSV or exported from a CRM/billing system.</w:t>
      </w:r>
    </w:p>
    <w:p>
      <w:pPr>
        <w:pStyle w:val="ListBullet"/>
        <w:spacing w:after="60"/>
        <w:jc w:val="both"/>
      </w:pPr>
      <w:r>
        <w:rPr>
          <w:b/>
        </w:rPr>
        <w:t xml:space="preserve">Analytical scope — </w:t>
      </w:r>
      <w:r>
        <w:t>Data cleaning, exploratory data analysis, feature engineering, K-Means customer segmentation, supervised churn classification, model benchmarking, probability calibration, SHAP-based explainability, and business-impact quantification.</w:t>
      </w:r>
    </w:p>
    <w:p>
      <w:pPr>
        <w:pStyle w:val="ListBullet"/>
        <w:spacing w:after="60"/>
        <w:jc w:val="both"/>
      </w:pPr>
      <w:r>
        <w:rPr>
          <w:b/>
        </w:rPr>
        <w:t xml:space="preserve">Modelling scope — </w:t>
      </w:r>
      <w:r>
        <w:t>Logistic Regression, Random Forest, XGBoost and SVM, with stratified train/test splitting, cross-validation and class-imbalance handling.</w:t>
      </w:r>
    </w:p>
    <w:p>
      <w:pPr>
        <w:pStyle w:val="ListBullet"/>
        <w:spacing w:after="60"/>
        <w:jc w:val="both"/>
      </w:pPr>
      <w:r>
        <w:rPr>
          <w:b/>
        </w:rPr>
        <w:t xml:space="preserve">Deployment scope — </w:t>
      </w:r>
      <w:r>
        <w:t>A single-user/small-team Streamlit web application supporting dataset upload, batch scoring of an entire customer file, single-customer what-if prediction, dashboard visualisation and CSV export of the prioritised target list.</w:t>
      </w:r>
    </w:p>
    <w:p>
      <w:pPr>
        <w:pStyle w:val="ListBullet"/>
        <w:spacing w:after="60"/>
        <w:jc w:val="both"/>
      </w:pPr>
      <w:r>
        <w:rPr>
          <w:b/>
        </w:rPr>
        <w:t xml:space="preserve">Business scope — </w:t>
      </w:r>
      <w:r>
        <w:t>Risk banding, retention recommendation generation, revenue-at-risk calculation and retention-campaign ROI estimation.</w:t>
      </w:r>
    </w:p>
    <w:p>
      <w:pPr>
        <w:pStyle w:val="Heading2"/>
      </w:pPr>
      <w:r>
        <w:t>7.2 Out of Scope (Current Phase)</w:t>
      </w:r>
    </w:p>
    <w:p>
      <w:pPr>
        <w:pStyle w:val="ListBullet"/>
        <w:spacing w:after="60"/>
        <w:jc w:val="both"/>
      </w:pPr>
      <w:r>
        <w:t>Real-time streaming ingestion from live production databases (the system operates on batch CSV data).</w:t>
      </w:r>
    </w:p>
    <w:p>
      <w:pPr>
        <w:pStyle w:val="ListBullet"/>
        <w:spacing w:after="60"/>
        <w:jc w:val="both"/>
      </w:pPr>
      <w:r>
        <w:t>Causal uplift modelling requiring randomised control-group experimental data.</w:t>
      </w:r>
    </w:p>
    <w:p>
      <w:pPr>
        <w:pStyle w:val="ListBullet"/>
        <w:spacing w:after="60"/>
        <w:jc w:val="both"/>
      </w:pPr>
      <w:r>
        <w:t>Automatic execution of retention campaigns (the system recommends; the business acts).</w:t>
      </w:r>
    </w:p>
    <w:p>
      <w:pPr>
        <w:pStyle w:val="ListBullet"/>
        <w:spacing w:after="60"/>
        <w:jc w:val="both"/>
      </w:pPr>
      <w:r>
        <w:t>Deep-learning sequence models (LSTM/GRU) over longitudinal transaction histories.</w:t>
      </w:r>
    </w:p>
    <w:p>
      <w:pPr>
        <w:pStyle w:val="ListBullet"/>
        <w:spacing w:after="60"/>
        <w:jc w:val="both"/>
      </w:pPr>
      <w:r>
        <w:t>Multi-tenant, enterprise-grade authentication, role-based access control and audit logging.</w:t>
      </w:r>
    </w:p>
    <w:p>
      <w:pPr>
        <w:pStyle w:val="Heading2"/>
      </w:pPr>
      <w:r>
        <w:t>7.3 Future Extensibility</w:t>
      </w:r>
    </w:p>
    <w:p>
      <w:pPr>
        <w:pStyle w:val="ListBullet"/>
        <w:spacing w:after="60"/>
        <w:jc w:val="both"/>
      </w:pPr>
      <w:r>
        <w:t>Integration with live CRM and billing systems through scheduled or API-based data pulls.</w:t>
      </w:r>
    </w:p>
    <w:p>
      <w:pPr>
        <w:pStyle w:val="ListBullet"/>
        <w:spacing w:after="60"/>
        <w:jc w:val="both"/>
      </w:pPr>
      <w:r>
        <w:t>Automated model retraining and drift monitoring as customer behaviour changes over time.</w:t>
      </w:r>
    </w:p>
    <w:p>
      <w:pPr>
        <w:pStyle w:val="ListBullet"/>
        <w:spacing w:after="60"/>
        <w:jc w:val="both"/>
      </w:pPr>
      <w:r>
        <w:t>Uplift / incremental-response modelling to isolate genuinely persuadable customers.</w:t>
      </w:r>
    </w:p>
    <w:p>
      <w:pPr>
        <w:pStyle w:val="ListBullet"/>
        <w:spacing w:after="60"/>
        <w:jc w:val="both"/>
      </w:pPr>
      <w:r>
        <w:t>Full customer lifetime value (CLV) modelling in place of the current ARPU-based value proxy.</w:t>
      </w:r>
    </w:p>
    <w:p>
      <w:pPr>
        <w:pStyle w:val="ListBullet"/>
        <w:spacing w:after="60"/>
        <w:jc w:val="both"/>
      </w:pPr>
      <w:r>
        <w:t>Extension to next-best-offer recommendation and cross-sell / up-sell analytics.</w:t>
      </w:r>
    </w:p>
    <w:p>
      <w:r>
        <w:br w:type="page"/>
      </w:r>
    </w:p>
    <w:p>
      <w:pPr>
        <w:pStyle w:val="Heading1"/>
      </w:pPr>
      <w:r>
        <w:t>8. Literature Survey</w:t>
      </w:r>
    </w:p>
    <w:p>
      <w:pPr>
        <w:spacing w:after="120"/>
        <w:jc w:val="both"/>
      </w:pPr>
      <w:r>
        <w:rPr>
          <w:b w:val="0"/>
          <w:i w:val="0"/>
        </w:rPr>
        <w:t>A survey of recent peer-reviewed literature (2022–2026) was conducted across four themes directly relevant to this project: (i) supervised and ensemble machine learning for churn classification, (ii) class-imbalance handling, (iii) Explainable AI applied to churn, and (iv) customer segmentation and value-based retention analytics. The survey confirms three clear trends: gradient-boosted tree ensembles dominate tabular churn prediction; SHAP-based explainability has become standard rather than optional; and the research frontier has moved from raw predictive accuracy towards profit-aware, segment-aware and action-oriented churn management.</w:t>
      </w:r>
    </w:p>
    <w:p>
      <w:pPr>
        <w:pStyle w:val="Heading2"/>
      </w:pPr>
      <w:r>
        <w:t>8.1 Summary of Reviewed Literature</w:t>
      </w:r>
    </w:p>
    <w:tbl>
      <w:tblPr>
        <w:tblStyle w:val="TableGrid"/>
        <w:tblW w:type="auto" w:w="0"/>
        <w:jc w:val="center"/>
        <w:tblLayout w:type="fixed"/>
        <w:tblLook w:firstColumn="1" w:firstRow="1" w:lastColumn="0" w:lastRow="0" w:noHBand="0" w:noVBand="1" w:val="04A0"/>
        <w:tblLayout w:type="fixed"/>
      </w:tblPr>
      <w:tblGrid>
        <w:gridCol w:w="432"/>
        <w:gridCol w:w="1655"/>
        <w:gridCol w:w="1944"/>
        <w:gridCol w:w="1655"/>
        <w:gridCol w:w="1944"/>
        <w:gridCol w:w="1584"/>
      </w:tblGrid>
      <w:tr>
        <w:tc>
          <w:tcPr>
            <w:tcW w:type="dxa" w:w="432"/>
            <w:shd w:val="clear" w:color="auto" w:fill="1F3864"/>
          </w:tcPr>
          <w:p>
            <w:pPr>
              <w:spacing w:after="40"/>
            </w:pPr>
            <w:r/>
            <w:r>
              <w:rPr>
                <w:rFonts w:ascii="Calibri" w:hAnsi="Calibri"/>
                <w:b/>
                <w:color w:val="FFFFFF"/>
                <w:sz w:val="16"/>
              </w:rPr>
              <w:t>#</w:t>
            </w:r>
          </w:p>
        </w:tc>
        <w:tc>
          <w:tcPr>
            <w:tcW w:type="dxa" w:w="1656"/>
            <w:shd w:val="clear" w:color="auto" w:fill="1F3864"/>
          </w:tcPr>
          <w:p>
            <w:pPr>
              <w:spacing w:after="40"/>
            </w:pPr>
            <w:r/>
            <w:r>
              <w:rPr>
                <w:rFonts w:ascii="Calibri" w:hAnsi="Calibri"/>
                <w:b/>
                <w:color w:val="FFFFFF"/>
                <w:sz w:val="16"/>
              </w:rPr>
              <w:t>Author(s) / Source &amp; Year</w:t>
            </w:r>
          </w:p>
        </w:tc>
        <w:tc>
          <w:tcPr>
            <w:tcW w:type="dxa" w:w="1944"/>
            <w:shd w:val="clear" w:color="auto" w:fill="1F3864"/>
          </w:tcPr>
          <w:p>
            <w:pPr>
              <w:spacing w:after="40"/>
            </w:pPr>
            <w:r/>
            <w:r>
              <w:rPr>
                <w:rFonts w:ascii="Calibri" w:hAnsi="Calibri"/>
                <w:b/>
                <w:color w:val="FFFFFF"/>
                <w:sz w:val="16"/>
              </w:rPr>
              <w:t>Title / Focus</w:t>
            </w:r>
          </w:p>
        </w:tc>
        <w:tc>
          <w:tcPr>
            <w:tcW w:type="dxa" w:w="1656"/>
            <w:shd w:val="clear" w:color="auto" w:fill="1F3864"/>
          </w:tcPr>
          <w:p>
            <w:pPr>
              <w:spacing w:after="40"/>
            </w:pPr>
            <w:r/>
            <w:r>
              <w:rPr>
                <w:rFonts w:ascii="Calibri" w:hAnsi="Calibri"/>
                <w:b/>
                <w:color w:val="FFFFFF"/>
                <w:sz w:val="16"/>
              </w:rPr>
              <w:t>Method Used</w:t>
            </w:r>
          </w:p>
        </w:tc>
        <w:tc>
          <w:tcPr>
            <w:tcW w:type="dxa" w:w="1944"/>
            <w:shd w:val="clear" w:color="auto" w:fill="1F3864"/>
          </w:tcPr>
          <w:p>
            <w:pPr>
              <w:spacing w:after="40"/>
            </w:pPr>
            <w:r/>
            <w:r>
              <w:rPr>
                <w:rFonts w:ascii="Calibri" w:hAnsi="Calibri"/>
                <w:b/>
                <w:color w:val="FFFFFF"/>
                <w:sz w:val="16"/>
              </w:rPr>
              <w:t>Key Findings</w:t>
            </w:r>
          </w:p>
        </w:tc>
        <w:tc>
          <w:tcPr>
            <w:tcW w:type="dxa" w:w="1584"/>
            <w:shd w:val="clear" w:color="auto" w:fill="1F3864"/>
          </w:tcPr>
          <w:p>
            <w:pPr>
              <w:spacing w:after="40"/>
            </w:pPr>
            <w:r/>
            <w:r>
              <w:rPr>
                <w:rFonts w:ascii="Calibri" w:hAnsi="Calibri"/>
                <w:b/>
                <w:color w:val="FFFFFF"/>
                <w:sz w:val="16"/>
              </w:rPr>
              <w:t>Limitations</w:t>
            </w:r>
          </w:p>
        </w:tc>
      </w:tr>
      <w:tr>
        <w:tc>
          <w:tcPr>
            <w:tcW w:type="dxa" w:w="432"/>
          </w:tcPr>
          <w:p>
            <w:pPr>
              <w:spacing w:after="40"/>
            </w:pPr>
            <w:r/>
            <w:r>
              <w:rPr>
                <w:rFonts w:ascii="Times New Roman" w:hAnsi="Times New Roman"/>
                <w:sz w:val="16"/>
              </w:rPr>
              <w:t>1</w:t>
            </w:r>
          </w:p>
        </w:tc>
        <w:tc>
          <w:tcPr>
            <w:tcW w:type="dxa" w:w="1656"/>
          </w:tcPr>
          <w:p>
            <w:pPr>
              <w:spacing w:after="40"/>
            </w:pPr>
            <w:r/>
            <w:r>
              <w:rPr>
                <w:rFonts w:ascii="Times New Roman" w:hAnsi="Times New Roman"/>
                <w:sz w:val="16"/>
              </w:rPr>
              <w:t>Habib, Aslam, Ghafoor &amp; Shahzad, SSRN (2025)</w:t>
            </w:r>
          </w:p>
        </w:tc>
        <w:tc>
          <w:tcPr>
            <w:tcW w:type="dxa" w:w="1944"/>
          </w:tcPr>
          <w:p>
            <w:pPr>
              <w:spacing w:after="40"/>
            </w:pPr>
            <w:r/>
            <w:r>
              <w:rPr>
                <w:rFonts w:ascii="Times New Roman" w:hAnsi="Times New Roman"/>
                <w:sz w:val="16"/>
              </w:rPr>
              <w:t>Enhancing telecom churn prediction using hybrid ensemble learning and class-imbalance handling</w:t>
            </w:r>
          </w:p>
        </w:tc>
        <w:tc>
          <w:tcPr>
            <w:tcW w:type="dxa" w:w="1656"/>
          </w:tcPr>
          <w:p>
            <w:pPr>
              <w:spacing w:after="40"/>
            </w:pPr>
            <w:r/>
            <w:r>
              <w:rPr>
                <w:rFonts w:ascii="Times New Roman" w:hAnsi="Times New Roman"/>
                <w:sz w:val="16"/>
              </w:rPr>
              <w:t>Hybrid ensemble of multiple classifiers with SMOTE-ENN resampling and novel feature engineering</w:t>
            </w:r>
          </w:p>
        </w:tc>
        <w:tc>
          <w:tcPr>
            <w:tcW w:type="dxa" w:w="1944"/>
          </w:tcPr>
          <w:p>
            <w:pPr>
              <w:spacing w:after="40"/>
            </w:pPr>
            <w:r/>
            <w:r>
              <w:rPr>
                <w:rFonts w:ascii="Times New Roman" w:hAnsi="Times New Roman"/>
                <w:sz w:val="16"/>
              </w:rPr>
              <w:t>Hybrid ensembles with imbalance correction outperform single classifiers; engineered features add significant lift</w:t>
            </w:r>
          </w:p>
        </w:tc>
        <w:tc>
          <w:tcPr>
            <w:tcW w:type="dxa" w:w="1584"/>
          </w:tcPr>
          <w:p>
            <w:pPr>
              <w:spacing w:after="40"/>
            </w:pPr>
            <w:r/>
            <w:r>
              <w:rPr>
                <w:rFonts w:ascii="Times New Roman" w:hAnsi="Times New Roman"/>
                <w:sz w:val="16"/>
              </w:rPr>
              <w:t>Computationally heavy; no explainability layer or business-impact quantification</w:t>
            </w:r>
          </w:p>
        </w:tc>
      </w:tr>
      <w:tr>
        <w:tc>
          <w:tcPr>
            <w:tcW w:type="dxa" w:w="432"/>
            <w:shd w:val="clear" w:color="auto" w:fill="F2F5FA"/>
          </w:tcPr>
          <w:p>
            <w:pPr>
              <w:spacing w:after="40"/>
            </w:pPr>
            <w:r/>
            <w:r>
              <w:rPr>
                <w:rFonts w:ascii="Times New Roman" w:hAnsi="Times New Roman"/>
                <w:sz w:val="16"/>
              </w:rPr>
              <w:t>2</w:t>
            </w:r>
          </w:p>
        </w:tc>
        <w:tc>
          <w:tcPr>
            <w:tcW w:type="dxa" w:w="1656"/>
            <w:shd w:val="clear" w:color="auto" w:fill="F2F5FA"/>
          </w:tcPr>
          <w:p>
            <w:pPr>
              <w:spacing w:after="40"/>
            </w:pPr>
            <w:r/>
            <w:r>
              <w:rPr>
                <w:rFonts w:ascii="Times New Roman" w:hAnsi="Times New Roman"/>
                <w:sz w:val="16"/>
              </w:rPr>
              <w:t>arXiv:2408.16284 (2024)</w:t>
            </w:r>
          </w:p>
        </w:tc>
        <w:tc>
          <w:tcPr>
            <w:tcW w:type="dxa" w:w="1944"/>
            <w:shd w:val="clear" w:color="auto" w:fill="F2F5FA"/>
          </w:tcPr>
          <w:p>
            <w:pPr>
              <w:spacing w:after="40"/>
            </w:pPr>
            <w:r/>
            <w:r>
              <w:rPr>
                <w:rFonts w:ascii="Times New Roman" w:hAnsi="Times New Roman"/>
                <w:sz w:val="16"/>
              </w:rPr>
              <w:t>Adaptive ensemble learning approach for churn prediction in telecommunications</w:t>
            </w:r>
          </w:p>
        </w:tc>
        <w:tc>
          <w:tcPr>
            <w:tcW w:type="dxa" w:w="1656"/>
            <w:shd w:val="clear" w:color="auto" w:fill="F2F5FA"/>
          </w:tcPr>
          <w:p>
            <w:pPr>
              <w:spacing w:after="40"/>
            </w:pPr>
            <w:r/>
            <w:r>
              <w:rPr>
                <w:rFonts w:ascii="Times New Roman" w:hAnsi="Times New Roman"/>
                <w:sz w:val="16"/>
              </w:rPr>
              <w:t>Stacking ensemble of XGBoost, LightGBM, LSTM, MLP and SVM with meta-feature generation</w:t>
            </w:r>
          </w:p>
        </w:tc>
        <w:tc>
          <w:tcPr>
            <w:tcW w:type="dxa" w:w="1944"/>
            <w:shd w:val="clear" w:color="auto" w:fill="F2F5FA"/>
          </w:tcPr>
          <w:p>
            <w:pPr>
              <w:spacing w:after="40"/>
            </w:pPr>
            <w:r/>
            <w:r>
              <w:rPr>
                <w:rFonts w:ascii="Times New Roman" w:hAnsi="Times New Roman"/>
                <w:sz w:val="16"/>
              </w:rPr>
              <w:t>Adaptive stacking yields substantial accuracy gains over individual state-of-the-art models</w:t>
            </w:r>
          </w:p>
        </w:tc>
        <w:tc>
          <w:tcPr>
            <w:tcW w:type="dxa" w:w="1584"/>
            <w:shd w:val="clear" w:color="auto" w:fill="F2F5FA"/>
          </w:tcPr>
          <w:p>
            <w:pPr>
              <w:spacing w:after="40"/>
            </w:pPr>
            <w:r/>
            <w:r>
              <w:rPr>
                <w:rFonts w:ascii="Times New Roman" w:hAnsi="Times New Roman"/>
                <w:sz w:val="16"/>
              </w:rPr>
              <w:t>Very high model complexity; results risk over-optimism; not deployable as a business tool</w:t>
            </w:r>
          </w:p>
        </w:tc>
      </w:tr>
      <w:tr>
        <w:tc>
          <w:tcPr>
            <w:tcW w:type="dxa" w:w="432"/>
          </w:tcPr>
          <w:p>
            <w:pPr>
              <w:spacing w:after="40"/>
            </w:pPr>
            <w:r/>
            <w:r>
              <w:rPr>
                <w:rFonts w:ascii="Times New Roman" w:hAnsi="Times New Roman"/>
                <w:sz w:val="16"/>
              </w:rPr>
              <w:t>3</w:t>
            </w:r>
          </w:p>
        </w:tc>
        <w:tc>
          <w:tcPr>
            <w:tcW w:type="dxa" w:w="1656"/>
          </w:tcPr>
          <w:p>
            <w:pPr>
              <w:spacing w:after="40"/>
            </w:pPr>
            <w:r/>
            <w:r>
              <w:rPr>
                <w:rFonts w:ascii="Times New Roman" w:hAnsi="Times New Roman"/>
                <w:sz w:val="16"/>
              </w:rPr>
              <w:t>Machine Learning with Applications, Elsevier (2024)</w:t>
            </w:r>
          </w:p>
        </w:tc>
        <w:tc>
          <w:tcPr>
            <w:tcW w:type="dxa" w:w="1944"/>
          </w:tcPr>
          <w:p>
            <w:pPr>
              <w:spacing w:after="40"/>
            </w:pPr>
            <w:r/>
            <w:r>
              <w:rPr>
                <w:rFonts w:ascii="Times New Roman" w:hAnsi="Times New Roman"/>
                <w:sz w:val="16"/>
              </w:rPr>
              <w:t>Explaining churn prediction in the telecom industry using tabular ML models</w:t>
            </w:r>
          </w:p>
        </w:tc>
        <w:tc>
          <w:tcPr>
            <w:tcW w:type="dxa" w:w="1656"/>
          </w:tcPr>
          <w:p>
            <w:pPr>
              <w:spacing w:after="40"/>
            </w:pPr>
            <w:r/>
            <w:r>
              <w:rPr>
                <w:rFonts w:ascii="Times New Roman" w:hAnsi="Times New Roman"/>
                <w:sz w:val="16"/>
              </w:rPr>
              <w:t>Tabular ML models combined with post-hoc interpretability analysis</w:t>
            </w:r>
          </w:p>
        </w:tc>
        <w:tc>
          <w:tcPr>
            <w:tcW w:type="dxa" w:w="1944"/>
          </w:tcPr>
          <w:p>
            <w:pPr>
              <w:spacing w:after="40"/>
            </w:pPr>
            <w:r/>
            <w:r>
              <w:rPr>
                <w:rFonts w:ascii="Times New Roman" w:hAnsi="Times New Roman"/>
                <w:sz w:val="16"/>
              </w:rPr>
              <w:t>Interpretability techniques successfully expose the dominant churn drivers in tabular telecom data</w:t>
            </w:r>
          </w:p>
        </w:tc>
        <w:tc>
          <w:tcPr>
            <w:tcW w:type="dxa" w:w="1584"/>
          </w:tcPr>
          <w:p>
            <w:pPr>
              <w:spacing w:after="40"/>
            </w:pPr>
            <w:r/>
            <w:r>
              <w:rPr>
                <w:rFonts w:ascii="Times New Roman" w:hAnsi="Times New Roman"/>
                <w:sz w:val="16"/>
              </w:rPr>
              <w:t>Explanation stops at model level; no prescriptive retention action derived</w:t>
            </w:r>
          </w:p>
        </w:tc>
      </w:tr>
      <w:tr>
        <w:tc>
          <w:tcPr>
            <w:tcW w:type="dxa" w:w="432"/>
            <w:shd w:val="clear" w:color="auto" w:fill="F2F5FA"/>
          </w:tcPr>
          <w:p>
            <w:pPr>
              <w:spacing w:after="40"/>
            </w:pPr>
            <w:r/>
            <w:r>
              <w:rPr>
                <w:rFonts w:ascii="Times New Roman" w:hAnsi="Times New Roman"/>
                <w:sz w:val="16"/>
              </w:rPr>
              <w:t>4</w:t>
            </w:r>
          </w:p>
        </w:tc>
        <w:tc>
          <w:tcPr>
            <w:tcW w:type="dxa" w:w="1656"/>
            <w:shd w:val="clear" w:color="auto" w:fill="F2F5FA"/>
          </w:tcPr>
          <w:p>
            <w:pPr>
              <w:spacing w:after="40"/>
            </w:pPr>
            <w:r/>
            <w:r>
              <w:rPr>
                <w:rFonts w:ascii="Times New Roman" w:hAnsi="Times New Roman"/>
                <w:sz w:val="16"/>
              </w:rPr>
              <w:t>Information (MDPI), 16(7):537 (2025)</w:t>
            </w:r>
          </w:p>
        </w:tc>
        <w:tc>
          <w:tcPr>
            <w:tcW w:type="dxa" w:w="1944"/>
            <w:shd w:val="clear" w:color="auto" w:fill="F2F5FA"/>
          </w:tcPr>
          <w:p>
            <w:pPr>
              <w:spacing w:after="40"/>
            </w:pPr>
            <w:r/>
            <w:r>
              <w:rPr>
                <w:rFonts w:ascii="Times New Roman" w:hAnsi="Times New Roman"/>
                <w:sz w:val="16"/>
              </w:rPr>
              <w:t>Comprehensive evaluation of machine learning and deep learning models for churn prediction</w:t>
            </w:r>
          </w:p>
        </w:tc>
        <w:tc>
          <w:tcPr>
            <w:tcW w:type="dxa" w:w="1656"/>
            <w:shd w:val="clear" w:color="auto" w:fill="F2F5FA"/>
          </w:tcPr>
          <w:p>
            <w:pPr>
              <w:spacing w:after="40"/>
            </w:pPr>
            <w:r/>
            <w:r>
              <w:rPr>
                <w:rFonts w:ascii="Times New Roman" w:hAnsi="Times New Roman"/>
                <w:sz w:val="16"/>
              </w:rPr>
              <w:t>Systematic benchmark of classical ML against deep learning architectures</w:t>
            </w:r>
          </w:p>
        </w:tc>
        <w:tc>
          <w:tcPr>
            <w:tcW w:type="dxa" w:w="1944"/>
            <w:shd w:val="clear" w:color="auto" w:fill="F2F5FA"/>
          </w:tcPr>
          <w:p>
            <w:pPr>
              <w:spacing w:after="40"/>
            </w:pPr>
            <w:r/>
            <w:r>
              <w:rPr>
                <w:rFonts w:ascii="Times New Roman" w:hAnsi="Times New Roman"/>
                <w:sz w:val="16"/>
              </w:rPr>
              <w:t>Well-tuned gradient boosting matches or beats deep learning on tabular churn data at far lower cost</w:t>
            </w:r>
          </w:p>
        </w:tc>
        <w:tc>
          <w:tcPr>
            <w:tcW w:type="dxa" w:w="1584"/>
            <w:shd w:val="clear" w:color="auto" w:fill="F2F5FA"/>
          </w:tcPr>
          <w:p>
            <w:pPr>
              <w:spacing w:after="40"/>
            </w:pPr>
            <w:r/>
            <w:r>
              <w:rPr>
                <w:rFonts w:ascii="Times New Roman" w:hAnsi="Times New Roman"/>
                <w:sz w:val="16"/>
              </w:rPr>
              <w:t>Benchmark-only study; no deployment, segmentation or financial evaluation</w:t>
            </w:r>
          </w:p>
        </w:tc>
      </w:tr>
      <w:tr>
        <w:tc>
          <w:tcPr>
            <w:tcW w:type="dxa" w:w="432"/>
          </w:tcPr>
          <w:p>
            <w:pPr>
              <w:spacing w:after="40"/>
            </w:pPr>
            <w:r/>
            <w:r>
              <w:rPr>
                <w:rFonts w:ascii="Times New Roman" w:hAnsi="Times New Roman"/>
                <w:sz w:val="16"/>
              </w:rPr>
              <w:t>5</w:t>
            </w:r>
          </w:p>
        </w:tc>
        <w:tc>
          <w:tcPr>
            <w:tcW w:type="dxa" w:w="1656"/>
          </w:tcPr>
          <w:p>
            <w:pPr>
              <w:spacing w:after="40"/>
            </w:pPr>
            <w:r/>
            <w:r>
              <w:rPr>
                <w:rFonts w:ascii="Times New Roman" w:hAnsi="Times New Roman"/>
                <w:sz w:val="16"/>
              </w:rPr>
              <w:t>Data Science in Finance &amp; Economics, AIMS Press, 5(1) (2025)</w:t>
            </w:r>
          </w:p>
        </w:tc>
        <w:tc>
          <w:tcPr>
            <w:tcW w:type="dxa" w:w="1944"/>
          </w:tcPr>
          <w:p>
            <w:pPr>
              <w:spacing w:after="40"/>
            </w:pPr>
            <w:r/>
            <w:r>
              <w:rPr>
                <w:rFonts w:ascii="Times New Roman" w:hAnsi="Times New Roman"/>
                <w:sz w:val="16"/>
              </w:rPr>
              <w:t>Prediction of bank credit customer churn with interpretability analysis</w:t>
            </w:r>
          </w:p>
        </w:tc>
        <w:tc>
          <w:tcPr>
            <w:tcW w:type="dxa" w:w="1656"/>
          </w:tcPr>
          <w:p>
            <w:pPr>
              <w:spacing w:after="40"/>
            </w:pPr>
            <w:r/>
            <w:r>
              <w:rPr>
                <w:rFonts w:ascii="Times New Roman" w:hAnsi="Times New Roman"/>
                <w:sz w:val="16"/>
              </w:rPr>
              <w:t>XGBoost classifier interpreted using SHAP values</w:t>
            </w:r>
          </w:p>
        </w:tc>
        <w:tc>
          <w:tcPr>
            <w:tcW w:type="dxa" w:w="1944"/>
          </w:tcPr>
          <w:p>
            <w:pPr>
              <w:spacing w:after="40"/>
            </w:pPr>
            <w:r/>
            <w:r>
              <w:rPr>
                <w:rFonts w:ascii="Times New Roman" w:hAnsi="Times New Roman"/>
                <w:sz w:val="16"/>
              </w:rPr>
              <w:t>XGBoost reached ~97% across accuracy, precision, recall, F1 and AUC; SHAP identified transaction count, transaction amount and product holdings as dominant drivers</w:t>
            </w:r>
          </w:p>
        </w:tc>
        <w:tc>
          <w:tcPr>
            <w:tcW w:type="dxa" w:w="1584"/>
          </w:tcPr>
          <w:p>
            <w:pPr>
              <w:spacing w:after="40"/>
            </w:pPr>
            <w:r/>
            <w:r>
              <w:rPr>
                <w:rFonts w:ascii="Times New Roman" w:hAnsi="Times New Roman"/>
                <w:sz w:val="16"/>
              </w:rPr>
              <w:t>Banking-specific; no customer segmentation or ROI model</w:t>
            </w:r>
          </w:p>
        </w:tc>
      </w:tr>
      <w:tr>
        <w:tc>
          <w:tcPr>
            <w:tcW w:type="dxa" w:w="432"/>
            <w:shd w:val="clear" w:color="auto" w:fill="F2F5FA"/>
          </w:tcPr>
          <w:p>
            <w:pPr>
              <w:spacing w:after="40"/>
            </w:pPr>
            <w:r/>
            <w:r>
              <w:rPr>
                <w:rFonts w:ascii="Times New Roman" w:hAnsi="Times New Roman"/>
                <w:sz w:val="16"/>
              </w:rPr>
              <w:t>6</w:t>
            </w:r>
          </w:p>
        </w:tc>
        <w:tc>
          <w:tcPr>
            <w:tcW w:type="dxa" w:w="1656"/>
            <w:shd w:val="clear" w:color="auto" w:fill="F2F5FA"/>
          </w:tcPr>
          <w:p>
            <w:pPr>
              <w:spacing w:after="40"/>
            </w:pPr>
            <w:r/>
            <w:r>
              <w:rPr>
                <w:rFonts w:ascii="Times New Roman" w:hAnsi="Times New Roman"/>
                <w:sz w:val="16"/>
              </w:rPr>
              <w:t>Scientific Reports / PMC (2026)</w:t>
            </w:r>
          </w:p>
        </w:tc>
        <w:tc>
          <w:tcPr>
            <w:tcW w:type="dxa" w:w="1944"/>
            <w:shd w:val="clear" w:color="auto" w:fill="F2F5FA"/>
          </w:tcPr>
          <w:p>
            <w:pPr>
              <w:spacing w:after="40"/>
            </w:pPr>
            <w:r/>
            <w:r>
              <w:rPr>
                <w:rFonts w:ascii="Times New Roman" w:hAnsi="Times New Roman"/>
                <w:sz w:val="16"/>
              </w:rPr>
              <w:t>Explainable AI-driven churn prediction: multi-model ensemble with SHAP-based feature analysis</w:t>
            </w:r>
          </w:p>
        </w:tc>
        <w:tc>
          <w:tcPr>
            <w:tcW w:type="dxa" w:w="1656"/>
            <w:shd w:val="clear" w:color="auto" w:fill="F2F5FA"/>
          </w:tcPr>
          <w:p>
            <w:pPr>
              <w:spacing w:after="40"/>
            </w:pPr>
            <w:r/>
            <w:r>
              <w:rPr>
                <w:rFonts w:ascii="Times New Roman" w:hAnsi="Times New Roman"/>
                <w:sz w:val="16"/>
              </w:rPr>
              <w:t>Seven ML models incl. XGBoost, Random Forest and MLP with SMOTE and SHAP analysis</w:t>
            </w:r>
          </w:p>
        </w:tc>
        <w:tc>
          <w:tcPr>
            <w:tcW w:type="dxa" w:w="1944"/>
            <w:shd w:val="clear" w:color="auto" w:fill="F2F5FA"/>
          </w:tcPr>
          <w:p>
            <w:pPr>
              <w:spacing w:after="40"/>
            </w:pPr>
            <w:r/>
            <w:r>
              <w:rPr>
                <w:rFonts w:ascii="Times New Roman" w:hAnsi="Times New Roman"/>
                <w:sz w:val="16"/>
              </w:rPr>
              <w:t>XGBoost achieved the best discrimination (AUC-ROC ≈ 0.932, F1 ≈ 0.84); SHAP identified contract type, tenure and technical support as the top churn contributors</w:t>
            </w:r>
          </w:p>
        </w:tc>
        <w:tc>
          <w:tcPr>
            <w:tcW w:type="dxa" w:w="1584"/>
            <w:shd w:val="clear" w:color="auto" w:fill="F2F5FA"/>
          </w:tcPr>
          <w:p>
            <w:pPr>
              <w:spacing w:after="40"/>
            </w:pPr>
            <w:r/>
            <w:r>
              <w:rPr>
                <w:rFonts w:ascii="Times New Roman" w:hAnsi="Times New Roman"/>
                <w:sz w:val="16"/>
              </w:rPr>
              <w:t>Explanations are not converted into targeted retention strategies or revenue estimates</w:t>
            </w:r>
          </w:p>
        </w:tc>
      </w:tr>
      <w:tr>
        <w:tc>
          <w:tcPr>
            <w:tcW w:type="dxa" w:w="432"/>
          </w:tcPr>
          <w:p>
            <w:pPr>
              <w:spacing w:after="40"/>
            </w:pPr>
            <w:r/>
            <w:r>
              <w:rPr>
                <w:rFonts w:ascii="Times New Roman" w:hAnsi="Times New Roman"/>
                <w:sz w:val="16"/>
              </w:rPr>
              <w:t>7</w:t>
            </w:r>
          </w:p>
        </w:tc>
        <w:tc>
          <w:tcPr>
            <w:tcW w:type="dxa" w:w="1656"/>
          </w:tcPr>
          <w:p>
            <w:pPr>
              <w:spacing w:after="40"/>
            </w:pPr>
            <w:r/>
            <w:r>
              <w:rPr>
                <w:rFonts w:ascii="Times New Roman" w:hAnsi="Times New Roman"/>
                <w:sz w:val="16"/>
              </w:rPr>
              <w:t>Eng., Technology &amp; Applied Science Research, ETASR (2024)</w:t>
            </w:r>
          </w:p>
        </w:tc>
        <w:tc>
          <w:tcPr>
            <w:tcW w:type="dxa" w:w="1944"/>
          </w:tcPr>
          <w:p>
            <w:pPr>
              <w:spacing w:after="40"/>
            </w:pPr>
            <w:r/>
            <w:r>
              <w:rPr>
                <w:rFonts w:ascii="Times New Roman" w:hAnsi="Times New Roman"/>
                <w:sz w:val="16"/>
              </w:rPr>
              <w:t>Churn prediction for telecommunication companies using ML and ensemble methods</w:t>
            </w:r>
          </w:p>
        </w:tc>
        <w:tc>
          <w:tcPr>
            <w:tcW w:type="dxa" w:w="1656"/>
          </w:tcPr>
          <w:p>
            <w:pPr>
              <w:spacing w:after="40"/>
            </w:pPr>
            <w:r/>
            <w:r>
              <w:rPr>
                <w:rFonts w:ascii="Times New Roman" w:hAnsi="Times New Roman"/>
                <w:sz w:val="16"/>
              </w:rPr>
              <w:t>Comparative study of classical classifiers and ensemble methods</w:t>
            </w:r>
          </w:p>
        </w:tc>
        <w:tc>
          <w:tcPr>
            <w:tcW w:type="dxa" w:w="1944"/>
          </w:tcPr>
          <w:p>
            <w:pPr>
              <w:spacing w:after="40"/>
            </w:pPr>
            <w:r/>
            <w:r>
              <w:rPr>
                <w:rFonts w:ascii="Times New Roman" w:hAnsi="Times New Roman"/>
                <w:sz w:val="16"/>
              </w:rPr>
              <w:t>Ensemble methods consistently outperform single classifiers on telecom churn datasets</w:t>
            </w:r>
          </w:p>
        </w:tc>
        <w:tc>
          <w:tcPr>
            <w:tcW w:type="dxa" w:w="1584"/>
          </w:tcPr>
          <w:p>
            <w:pPr>
              <w:spacing w:after="40"/>
            </w:pPr>
            <w:r/>
            <w:r>
              <w:rPr>
                <w:rFonts w:ascii="Times New Roman" w:hAnsi="Times New Roman"/>
                <w:sz w:val="16"/>
              </w:rPr>
              <w:t>No explainability, segmentation, dashboard or business linkage</w:t>
            </w:r>
          </w:p>
        </w:tc>
      </w:tr>
      <w:tr>
        <w:tc>
          <w:tcPr>
            <w:tcW w:type="dxa" w:w="432"/>
            <w:shd w:val="clear" w:color="auto" w:fill="F2F5FA"/>
          </w:tcPr>
          <w:p>
            <w:pPr>
              <w:spacing w:after="40"/>
            </w:pPr>
            <w:r/>
            <w:r>
              <w:rPr>
                <w:rFonts w:ascii="Times New Roman" w:hAnsi="Times New Roman"/>
                <w:sz w:val="16"/>
              </w:rPr>
              <w:t>8</w:t>
            </w:r>
          </w:p>
        </w:tc>
        <w:tc>
          <w:tcPr>
            <w:tcW w:type="dxa" w:w="1656"/>
            <w:shd w:val="clear" w:color="auto" w:fill="F2F5FA"/>
          </w:tcPr>
          <w:p>
            <w:pPr>
              <w:spacing w:after="40"/>
            </w:pPr>
            <w:r/>
            <w:r>
              <w:rPr>
                <w:rFonts w:ascii="Times New Roman" w:hAnsi="Times New Roman"/>
                <w:sz w:val="16"/>
              </w:rPr>
              <w:t>Expert Systems with Applications, Elsevier (2025)</w:t>
            </w:r>
          </w:p>
        </w:tc>
        <w:tc>
          <w:tcPr>
            <w:tcW w:type="dxa" w:w="1944"/>
            <w:shd w:val="clear" w:color="auto" w:fill="F2F5FA"/>
          </w:tcPr>
          <w:p>
            <w:pPr>
              <w:spacing w:after="40"/>
            </w:pPr>
            <w:r/>
            <w:r>
              <w:rPr>
                <w:rFonts w:ascii="Times New Roman" w:hAnsi="Times New Roman"/>
                <w:sz w:val="16"/>
              </w:rPr>
              <w:t>Enhancing retention in online retail through churn prediction: hybrid RFM, K-Means and deep neural network approach</w:t>
            </w:r>
          </w:p>
        </w:tc>
        <w:tc>
          <w:tcPr>
            <w:tcW w:type="dxa" w:w="1656"/>
            <w:shd w:val="clear" w:color="auto" w:fill="F2F5FA"/>
          </w:tcPr>
          <w:p>
            <w:pPr>
              <w:spacing w:after="40"/>
            </w:pPr>
            <w:r/>
            <w:r>
              <w:rPr>
                <w:rFonts w:ascii="Times New Roman" w:hAnsi="Times New Roman"/>
                <w:sz w:val="16"/>
              </w:rPr>
              <w:t>RFM feature construction + K-Means segmentation + LSTM/GRU deep models</w:t>
            </w:r>
          </w:p>
        </w:tc>
        <w:tc>
          <w:tcPr>
            <w:tcW w:type="dxa" w:w="1944"/>
            <w:shd w:val="clear" w:color="auto" w:fill="F2F5FA"/>
          </w:tcPr>
          <w:p>
            <w:pPr>
              <w:spacing w:after="40"/>
            </w:pPr>
            <w:r/>
            <w:r>
              <w:rPr>
                <w:rFonts w:ascii="Times New Roman" w:hAnsi="Times New Roman"/>
                <w:sz w:val="16"/>
              </w:rPr>
              <w:t>Segmenting customers before modelling improves both accuracy and the interpretability of retention strategy; six behavioural segments identified</w:t>
            </w:r>
          </w:p>
        </w:tc>
        <w:tc>
          <w:tcPr>
            <w:tcW w:type="dxa" w:w="1584"/>
            <w:shd w:val="clear" w:color="auto" w:fill="F2F5FA"/>
          </w:tcPr>
          <w:p>
            <w:pPr>
              <w:spacing w:after="40"/>
            </w:pPr>
            <w:r/>
            <w:r>
              <w:rPr>
                <w:rFonts w:ascii="Times New Roman" w:hAnsi="Times New Roman"/>
                <w:sz w:val="16"/>
              </w:rPr>
              <w:t>Retail/transactional data only; deep models are opaque and hard to deploy at small scale</w:t>
            </w:r>
          </w:p>
        </w:tc>
      </w:tr>
      <w:tr>
        <w:tc>
          <w:tcPr>
            <w:tcW w:type="dxa" w:w="432"/>
          </w:tcPr>
          <w:p>
            <w:pPr>
              <w:spacing w:after="40"/>
            </w:pPr>
            <w:r/>
            <w:r>
              <w:rPr>
                <w:rFonts w:ascii="Times New Roman" w:hAnsi="Times New Roman"/>
                <w:sz w:val="16"/>
              </w:rPr>
              <w:t>9</w:t>
            </w:r>
          </w:p>
        </w:tc>
        <w:tc>
          <w:tcPr>
            <w:tcW w:type="dxa" w:w="1656"/>
          </w:tcPr>
          <w:p>
            <w:pPr>
              <w:spacing w:after="40"/>
            </w:pPr>
            <w:r/>
            <w:r>
              <w:rPr>
                <w:rFonts w:ascii="Times New Roman" w:hAnsi="Times New Roman"/>
                <w:sz w:val="16"/>
              </w:rPr>
              <w:t>Proc. 10th Int. Conf. on Intelligent Information Technology, ACM (2025)</w:t>
            </w:r>
          </w:p>
        </w:tc>
        <w:tc>
          <w:tcPr>
            <w:tcW w:type="dxa" w:w="1944"/>
          </w:tcPr>
          <w:p>
            <w:pPr>
              <w:spacing w:after="40"/>
            </w:pPr>
            <w:r/>
            <w:r>
              <w:rPr>
                <w:rFonts w:ascii="Times New Roman" w:hAnsi="Times New Roman"/>
                <w:sz w:val="16"/>
              </w:rPr>
              <w:t>Customer segmentation: automatic K-optimisation and RFM-based K-Means clustering</w:t>
            </w:r>
          </w:p>
        </w:tc>
        <w:tc>
          <w:tcPr>
            <w:tcW w:type="dxa" w:w="1656"/>
          </w:tcPr>
          <w:p>
            <w:pPr>
              <w:spacing w:after="40"/>
            </w:pPr>
            <w:r/>
            <w:r>
              <w:rPr>
                <w:rFonts w:ascii="Times New Roman" w:hAnsi="Times New Roman"/>
                <w:sz w:val="16"/>
              </w:rPr>
              <w:t>RFM scoring with automated selection of the optimal number of clusters</w:t>
            </w:r>
          </w:p>
        </w:tc>
        <w:tc>
          <w:tcPr>
            <w:tcW w:type="dxa" w:w="1944"/>
          </w:tcPr>
          <w:p>
            <w:pPr>
              <w:spacing w:after="40"/>
            </w:pPr>
            <w:r/>
            <w:r>
              <w:rPr>
                <w:rFonts w:ascii="Times New Roman" w:hAnsi="Times New Roman"/>
                <w:sz w:val="16"/>
              </w:rPr>
              <w:t>Automated K-optimisation produces stable, high-precision, business-interpretable segments</w:t>
            </w:r>
          </w:p>
        </w:tc>
        <w:tc>
          <w:tcPr>
            <w:tcW w:type="dxa" w:w="1584"/>
          </w:tcPr>
          <w:p>
            <w:pPr>
              <w:spacing w:after="40"/>
            </w:pPr>
            <w:r/>
            <w:r>
              <w:rPr>
                <w:rFonts w:ascii="Times New Roman" w:hAnsi="Times New Roman"/>
                <w:sz w:val="16"/>
              </w:rPr>
              <w:t>Segmentation only; no predictive churn model attached</w:t>
            </w:r>
          </w:p>
        </w:tc>
      </w:tr>
      <w:tr>
        <w:tc>
          <w:tcPr>
            <w:tcW w:type="dxa" w:w="432"/>
            <w:shd w:val="clear" w:color="auto" w:fill="F2F5FA"/>
          </w:tcPr>
          <w:p>
            <w:pPr>
              <w:spacing w:after="40"/>
            </w:pPr>
            <w:r/>
            <w:r>
              <w:rPr>
                <w:rFonts w:ascii="Times New Roman" w:hAnsi="Times New Roman"/>
                <w:sz w:val="16"/>
              </w:rPr>
              <w:t>10</w:t>
            </w:r>
          </w:p>
        </w:tc>
        <w:tc>
          <w:tcPr>
            <w:tcW w:type="dxa" w:w="1656"/>
            <w:shd w:val="clear" w:color="auto" w:fill="F2F5FA"/>
          </w:tcPr>
          <w:p>
            <w:pPr>
              <w:spacing w:after="40"/>
            </w:pPr>
            <w:r/>
            <w:r>
              <w:rPr>
                <w:rFonts w:ascii="Times New Roman" w:hAnsi="Times New Roman"/>
                <w:sz w:val="16"/>
              </w:rPr>
              <w:t>Scientific Reports (2026)</w:t>
            </w:r>
          </w:p>
        </w:tc>
        <w:tc>
          <w:tcPr>
            <w:tcW w:type="dxa" w:w="1944"/>
            <w:shd w:val="clear" w:color="auto" w:fill="F2F5FA"/>
          </w:tcPr>
          <w:p>
            <w:pPr>
              <w:spacing w:after="40"/>
            </w:pPr>
            <w:r/>
            <w:r>
              <w:rPr>
                <w:rFonts w:ascii="Times New Roman" w:hAnsi="Times New Roman"/>
                <w:sz w:val="16"/>
              </w:rPr>
              <w:t>Hybrid deep learning framework for churn prediction using RFM and embedding clustering</w:t>
            </w:r>
          </w:p>
        </w:tc>
        <w:tc>
          <w:tcPr>
            <w:tcW w:type="dxa" w:w="1656"/>
            <w:shd w:val="clear" w:color="auto" w:fill="F2F5FA"/>
          </w:tcPr>
          <w:p>
            <w:pPr>
              <w:spacing w:after="40"/>
            </w:pPr>
            <w:r/>
            <w:r>
              <w:rPr>
                <w:rFonts w:ascii="Times New Roman" w:hAnsi="Times New Roman"/>
                <w:sz w:val="16"/>
              </w:rPr>
              <w:t>RFM feature engineering + Deep Embedded Clustering + deep classifiers, jointly optimised</w:t>
            </w:r>
          </w:p>
        </w:tc>
        <w:tc>
          <w:tcPr>
            <w:tcW w:type="dxa" w:w="1944"/>
            <w:shd w:val="clear" w:color="auto" w:fill="F2F5FA"/>
          </w:tcPr>
          <w:p>
            <w:pPr>
              <w:spacing w:after="40"/>
            </w:pPr>
            <w:r/>
            <w:r>
              <w:rPr>
                <w:rFonts w:ascii="Times New Roman" w:hAnsi="Times New Roman"/>
                <w:sz w:val="16"/>
              </w:rPr>
              <w:t>Joint segmentation-and-prediction outperforms treating the two tasks separately</w:t>
            </w:r>
          </w:p>
        </w:tc>
        <w:tc>
          <w:tcPr>
            <w:tcW w:type="dxa" w:w="1584"/>
            <w:shd w:val="clear" w:color="auto" w:fill="F2F5FA"/>
          </w:tcPr>
          <w:p>
            <w:pPr>
              <w:spacing w:after="40"/>
            </w:pPr>
            <w:r/>
            <w:r>
              <w:rPr>
                <w:rFonts w:ascii="Times New Roman" w:hAnsi="Times New Roman"/>
                <w:sz w:val="16"/>
              </w:rPr>
              <w:t>Requires large data volumes and heavy computation; limited transparency</w:t>
            </w:r>
          </w:p>
        </w:tc>
      </w:tr>
      <w:tr>
        <w:tc>
          <w:tcPr>
            <w:tcW w:type="dxa" w:w="432"/>
          </w:tcPr>
          <w:p>
            <w:pPr>
              <w:spacing w:after="40"/>
            </w:pPr>
            <w:r/>
            <w:r>
              <w:rPr>
                <w:rFonts w:ascii="Times New Roman" w:hAnsi="Times New Roman"/>
                <w:sz w:val="16"/>
              </w:rPr>
              <w:t>11</w:t>
            </w:r>
          </w:p>
        </w:tc>
        <w:tc>
          <w:tcPr>
            <w:tcW w:type="dxa" w:w="1656"/>
          </w:tcPr>
          <w:p>
            <w:pPr>
              <w:spacing w:after="40"/>
            </w:pPr>
            <w:r/>
            <w:r>
              <w:rPr>
                <w:rFonts w:ascii="Times New Roman" w:hAnsi="Times New Roman"/>
                <w:sz w:val="16"/>
              </w:rPr>
              <w:t>J. Theoretical &amp; Applied Electronic Commerce Research, MDPI (2026)</w:t>
            </w:r>
          </w:p>
        </w:tc>
        <w:tc>
          <w:tcPr>
            <w:tcW w:type="dxa" w:w="1944"/>
          </w:tcPr>
          <w:p>
            <w:pPr>
              <w:spacing w:after="40"/>
            </w:pPr>
            <w:r/>
            <w:r>
              <w:rPr>
                <w:rFonts w:ascii="Times New Roman" w:hAnsi="Times New Roman"/>
                <w:sz w:val="16"/>
              </w:rPr>
              <w:t>Customer segmentation using an extended RFM model and clustering algorithms in e-commerce</w:t>
            </w:r>
          </w:p>
        </w:tc>
        <w:tc>
          <w:tcPr>
            <w:tcW w:type="dxa" w:w="1656"/>
          </w:tcPr>
          <w:p>
            <w:pPr>
              <w:spacing w:after="40"/>
            </w:pPr>
            <w:r/>
            <w:r>
              <w:rPr>
                <w:rFonts w:ascii="Times New Roman" w:hAnsi="Times New Roman"/>
                <w:sz w:val="16"/>
              </w:rPr>
              <w:t>Extended RFM (adding interval and standard-deviation attributes) with multiple clustering algorithms</w:t>
            </w:r>
          </w:p>
        </w:tc>
        <w:tc>
          <w:tcPr>
            <w:tcW w:type="dxa" w:w="1944"/>
          </w:tcPr>
          <w:p>
            <w:pPr>
              <w:spacing w:after="40"/>
            </w:pPr>
            <w:r/>
            <w:r>
              <w:rPr>
                <w:rFonts w:ascii="Times New Roman" w:hAnsi="Times New Roman"/>
                <w:sz w:val="16"/>
              </w:rPr>
              <w:t>Recency, frequency and purchase-interval variability are strong indicators of churn propensity and loyalty</w:t>
            </w:r>
          </w:p>
        </w:tc>
        <w:tc>
          <w:tcPr>
            <w:tcW w:type="dxa" w:w="1584"/>
          </w:tcPr>
          <w:p>
            <w:pPr>
              <w:spacing w:after="40"/>
            </w:pPr>
            <w:r/>
            <w:r>
              <w:rPr>
                <w:rFonts w:ascii="Times New Roman" w:hAnsi="Times New Roman"/>
                <w:sz w:val="16"/>
              </w:rPr>
              <w:t>Descriptive segmentation; no supervised churn classifier or ROI model</w:t>
            </w:r>
          </w:p>
        </w:tc>
      </w:tr>
      <w:tr>
        <w:tc>
          <w:tcPr>
            <w:tcW w:type="dxa" w:w="432"/>
            <w:shd w:val="clear" w:color="auto" w:fill="F2F5FA"/>
          </w:tcPr>
          <w:p>
            <w:pPr>
              <w:spacing w:after="40"/>
            </w:pPr>
            <w:r/>
            <w:r>
              <w:rPr>
                <w:rFonts w:ascii="Times New Roman" w:hAnsi="Times New Roman"/>
                <w:sz w:val="16"/>
              </w:rPr>
              <w:t>12</w:t>
            </w:r>
          </w:p>
        </w:tc>
        <w:tc>
          <w:tcPr>
            <w:tcW w:type="dxa" w:w="1656"/>
            <w:shd w:val="clear" w:color="auto" w:fill="F2F5FA"/>
          </w:tcPr>
          <w:p>
            <w:pPr>
              <w:spacing w:after="40"/>
            </w:pPr>
            <w:r/>
            <w:r>
              <w:rPr>
                <w:rFonts w:ascii="Times New Roman" w:hAnsi="Times New Roman"/>
                <w:sz w:val="16"/>
              </w:rPr>
              <w:t>Ingénierie des Systèmes d'Information, IIETA (2025)</w:t>
            </w:r>
          </w:p>
        </w:tc>
        <w:tc>
          <w:tcPr>
            <w:tcW w:type="dxa" w:w="1944"/>
            <w:shd w:val="clear" w:color="auto" w:fill="F2F5FA"/>
          </w:tcPr>
          <w:p>
            <w:pPr>
              <w:spacing w:after="40"/>
            </w:pPr>
            <w:r/>
            <w:r>
              <w:rPr>
                <w:rFonts w:ascii="Times New Roman" w:hAnsi="Times New Roman"/>
                <w:sz w:val="16"/>
              </w:rPr>
              <w:t>Explainable customer churn prediction in telecom</w:t>
            </w:r>
          </w:p>
        </w:tc>
        <w:tc>
          <w:tcPr>
            <w:tcW w:type="dxa" w:w="1656"/>
            <w:shd w:val="clear" w:color="auto" w:fill="F2F5FA"/>
          </w:tcPr>
          <w:p>
            <w:pPr>
              <w:spacing w:after="40"/>
            </w:pPr>
            <w:r/>
            <w:r>
              <w:rPr>
                <w:rFonts w:ascii="Times New Roman" w:hAnsi="Times New Roman"/>
                <w:sz w:val="16"/>
              </w:rPr>
              <w:t>Tree-ensemble classifiers combined with SHAP-based global and local explanation</w:t>
            </w:r>
          </w:p>
        </w:tc>
        <w:tc>
          <w:tcPr>
            <w:tcW w:type="dxa" w:w="1944"/>
            <w:shd w:val="clear" w:color="auto" w:fill="F2F5FA"/>
          </w:tcPr>
          <w:p>
            <w:pPr>
              <w:spacing w:after="40"/>
            </w:pPr>
            <w:r/>
            <w:r>
              <w:rPr>
                <w:rFonts w:ascii="Times New Roman" w:hAnsi="Times New Roman"/>
                <w:sz w:val="16"/>
              </w:rPr>
              <w:t>Local explanations make individual churn predictions auditable and defensible to business users</w:t>
            </w:r>
          </w:p>
        </w:tc>
        <w:tc>
          <w:tcPr>
            <w:tcW w:type="dxa" w:w="1584"/>
            <w:shd w:val="clear" w:color="auto" w:fill="F2F5FA"/>
          </w:tcPr>
          <w:p>
            <w:pPr>
              <w:spacing w:after="40"/>
            </w:pPr>
            <w:r/>
            <w:r>
              <w:rPr>
                <w:rFonts w:ascii="Times New Roman" w:hAnsi="Times New Roman"/>
                <w:sz w:val="16"/>
              </w:rPr>
              <w:t>Does not close the loop into recommended actions or measurable financial outcome</w:t>
            </w:r>
          </w:p>
        </w:tc>
      </w:tr>
      <w:tr>
        <w:tc>
          <w:tcPr>
            <w:tcW w:type="dxa" w:w="432"/>
          </w:tcPr>
          <w:p>
            <w:pPr>
              <w:spacing w:after="40"/>
            </w:pPr>
            <w:r/>
            <w:r>
              <w:rPr>
                <w:rFonts w:ascii="Times New Roman" w:hAnsi="Times New Roman"/>
                <w:sz w:val="16"/>
              </w:rPr>
              <w:t>13</w:t>
            </w:r>
          </w:p>
        </w:tc>
        <w:tc>
          <w:tcPr>
            <w:tcW w:type="dxa" w:w="1656"/>
          </w:tcPr>
          <w:p>
            <w:pPr>
              <w:spacing w:after="40"/>
            </w:pPr>
            <w:r/>
            <w:r>
              <w:rPr>
                <w:rFonts w:ascii="Times New Roman" w:hAnsi="Times New Roman"/>
                <w:sz w:val="16"/>
              </w:rPr>
              <w:t>ResearchGate preprint (2025)</w:t>
            </w:r>
          </w:p>
        </w:tc>
        <w:tc>
          <w:tcPr>
            <w:tcW w:type="dxa" w:w="1944"/>
          </w:tcPr>
          <w:p>
            <w:pPr>
              <w:spacing w:after="40"/>
            </w:pPr>
            <w:r/>
            <w:r>
              <w:rPr>
                <w:rFonts w:ascii="Times New Roman" w:hAnsi="Times New Roman"/>
                <w:sz w:val="16"/>
              </w:rPr>
              <w:t>Explainable AI approach for telecom churn prediction and retention strategy design using XGBoost and SHAP</w:t>
            </w:r>
          </w:p>
        </w:tc>
        <w:tc>
          <w:tcPr>
            <w:tcW w:type="dxa" w:w="1656"/>
          </w:tcPr>
          <w:p>
            <w:pPr>
              <w:spacing w:after="40"/>
            </w:pPr>
            <w:r/>
            <w:r>
              <w:rPr>
                <w:rFonts w:ascii="Times New Roman" w:hAnsi="Times New Roman"/>
                <w:sz w:val="16"/>
              </w:rPr>
              <w:t>XGBoost with global and local SHAP explainability feeding retention strategy design</w:t>
            </w:r>
          </w:p>
        </w:tc>
        <w:tc>
          <w:tcPr>
            <w:tcW w:type="dxa" w:w="1944"/>
          </w:tcPr>
          <w:p>
            <w:pPr>
              <w:spacing w:after="40"/>
            </w:pPr>
            <w:r/>
            <w:r>
              <w:rPr>
                <w:rFonts w:ascii="Times New Roman" w:hAnsi="Times New Roman"/>
                <w:sz w:val="16"/>
              </w:rPr>
              <w:t>Demonstrates an actionable bridge from algorithmic output to business decision-making</w:t>
            </w:r>
          </w:p>
        </w:tc>
        <w:tc>
          <w:tcPr>
            <w:tcW w:type="dxa" w:w="1584"/>
          </w:tcPr>
          <w:p>
            <w:pPr>
              <w:spacing w:after="40"/>
            </w:pPr>
            <w:r/>
            <w:r>
              <w:rPr>
                <w:rFonts w:ascii="Times New Roman" w:hAnsi="Times New Roman"/>
                <w:sz w:val="16"/>
              </w:rPr>
              <w:t>Retention strategy is qualitative; expected revenue impact is not quantified</w:t>
            </w:r>
          </w:p>
        </w:tc>
      </w:tr>
      <w:tr>
        <w:tc>
          <w:tcPr>
            <w:tcW w:type="dxa" w:w="432"/>
            <w:shd w:val="clear" w:color="auto" w:fill="F2F5FA"/>
          </w:tcPr>
          <w:p>
            <w:pPr>
              <w:spacing w:after="40"/>
            </w:pPr>
            <w:r/>
            <w:r>
              <w:rPr>
                <w:rFonts w:ascii="Times New Roman" w:hAnsi="Times New Roman"/>
                <w:sz w:val="16"/>
              </w:rPr>
              <w:t>14</w:t>
            </w:r>
          </w:p>
        </w:tc>
        <w:tc>
          <w:tcPr>
            <w:tcW w:type="dxa" w:w="1656"/>
            <w:shd w:val="clear" w:color="auto" w:fill="F2F5FA"/>
          </w:tcPr>
          <w:p>
            <w:pPr>
              <w:spacing w:after="40"/>
            </w:pPr>
            <w:r/>
            <w:r>
              <w:rPr>
                <w:rFonts w:ascii="Times New Roman" w:hAnsi="Times New Roman"/>
                <w:sz w:val="16"/>
              </w:rPr>
              <w:t>Wei, Theoretical and Natural Science, vol. 134 (2025)</w:t>
            </w:r>
          </w:p>
        </w:tc>
        <w:tc>
          <w:tcPr>
            <w:tcW w:type="dxa" w:w="1944"/>
            <w:shd w:val="clear" w:color="auto" w:fill="F2F5FA"/>
          </w:tcPr>
          <w:p>
            <w:pPr>
              <w:spacing w:after="40"/>
            </w:pPr>
            <w:r/>
            <w:r>
              <w:rPr>
                <w:rFonts w:ascii="Times New Roman" w:hAnsi="Times New Roman"/>
                <w:sz w:val="16"/>
              </w:rPr>
              <w:t>Comparative analysis of machine learning models for telecom customer churn prediction</w:t>
            </w:r>
          </w:p>
        </w:tc>
        <w:tc>
          <w:tcPr>
            <w:tcW w:type="dxa" w:w="1656"/>
            <w:shd w:val="clear" w:color="auto" w:fill="F2F5FA"/>
          </w:tcPr>
          <w:p>
            <w:pPr>
              <w:spacing w:after="40"/>
            </w:pPr>
            <w:r/>
            <w:r>
              <w:rPr>
                <w:rFonts w:ascii="Times New Roman" w:hAnsi="Times New Roman"/>
                <w:sz w:val="16"/>
              </w:rPr>
              <w:t>Head-to-head comparison of logistic, tree-based and ensemble classifiers</w:t>
            </w:r>
          </w:p>
        </w:tc>
        <w:tc>
          <w:tcPr>
            <w:tcW w:type="dxa" w:w="1944"/>
            <w:shd w:val="clear" w:color="auto" w:fill="F2F5FA"/>
          </w:tcPr>
          <w:p>
            <w:pPr>
              <w:spacing w:after="40"/>
            </w:pPr>
            <w:r/>
            <w:r>
              <w:rPr>
                <w:rFonts w:ascii="Times New Roman" w:hAnsi="Times New Roman"/>
                <w:sz w:val="16"/>
              </w:rPr>
              <w:t>Confirms tree ensembles as the strongest performers while logistic regression remains the most interpretable benchmark</w:t>
            </w:r>
          </w:p>
        </w:tc>
        <w:tc>
          <w:tcPr>
            <w:tcW w:type="dxa" w:w="1584"/>
            <w:shd w:val="clear" w:color="auto" w:fill="F2F5FA"/>
          </w:tcPr>
          <w:p>
            <w:pPr>
              <w:spacing w:after="40"/>
            </w:pPr>
            <w:r/>
            <w:r>
              <w:rPr>
                <w:rFonts w:ascii="Times New Roman" w:hAnsi="Times New Roman"/>
                <w:sz w:val="16"/>
              </w:rPr>
              <w:t>Purely comparative; no deployment or business-value analysis</w:t>
            </w:r>
          </w:p>
        </w:tc>
      </w:tr>
      <w:tr>
        <w:tc>
          <w:tcPr>
            <w:tcW w:type="dxa" w:w="432"/>
          </w:tcPr>
          <w:p>
            <w:pPr>
              <w:spacing w:after="40"/>
            </w:pPr>
            <w:r/>
            <w:r>
              <w:rPr>
                <w:rFonts w:ascii="Times New Roman" w:hAnsi="Times New Roman"/>
                <w:sz w:val="16"/>
              </w:rPr>
              <w:t>15</w:t>
            </w:r>
          </w:p>
        </w:tc>
        <w:tc>
          <w:tcPr>
            <w:tcW w:type="dxa" w:w="1656"/>
          </w:tcPr>
          <w:p>
            <w:pPr>
              <w:spacing w:after="40"/>
            </w:pPr>
            <w:r/>
            <w:r>
              <w:rPr>
                <w:rFonts w:ascii="Times New Roman" w:hAnsi="Times New Roman"/>
                <w:sz w:val="16"/>
              </w:rPr>
              <w:t>IJERT (2024)</w:t>
            </w:r>
          </w:p>
        </w:tc>
        <w:tc>
          <w:tcPr>
            <w:tcW w:type="dxa" w:w="1944"/>
          </w:tcPr>
          <w:p>
            <w:pPr>
              <w:spacing w:after="40"/>
            </w:pPr>
            <w:r/>
            <w:r>
              <w:rPr>
                <w:rFonts w:ascii="Times New Roman" w:hAnsi="Times New Roman"/>
                <w:sz w:val="16"/>
              </w:rPr>
              <w:t>Integration of churn rate prediction and customer lifetime value estimation using temporal convolution networks</w:t>
            </w:r>
          </w:p>
        </w:tc>
        <w:tc>
          <w:tcPr>
            <w:tcW w:type="dxa" w:w="1656"/>
          </w:tcPr>
          <w:p>
            <w:pPr>
              <w:spacing w:after="40"/>
            </w:pPr>
            <w:r/>
            <w:r>
              <w:rPr>
                <w:rFonts w:ascii="Times New Roman" w:hAnsi="Times New Roman"/>
                <w:sz w:val="16"/>
              </w:rPr>
              <w:t>Temporal convolution networks jointly modelling churn risk and CLV</w:t>
            </w:r>
          </w:p>
        </w:tc>
        <w:tc>
          <w:tcPr>
            <w:tcW w:type="dxa" w:w="1944"/>
          </w:tcPr>
          <w:p>
            <w:pPr>
              <w:spacing w:after="40"/>
            </w:pPr>
            <w:r/>
            <w:r>
              <w:rPr>
                <w:rFonts w:ascii="Times New Roman" w:hAnsi="Times New Roman"/>
                <w:sz w:val="16"/>
              </w:rPr>
              <w:t>Combining churn probability with customer value produces far better retention prioritisation than risk ranking alone</w:t>
            </w:r>
          </w:p>
        </w:tc>
        <w:tc>
          <w:tcPr>
            <w:tcW w:type="dxa" w:w="1584"/>
          </w:tcPr>
          <w:p>
            <w:pPr>
              <w:spacing w:after="40"/>
            </w:pPr>
            <w:r/>
            <w:r>
              <w:rPr>
                <w:rFonts w:ascii="Times New Roman" w:hAnsi="Times New Roman"/>
                <w:sz w:val="16"/>
              </w:rPr>
              <w:t>Requires longitudinal time-series data unavailable in standard cross-sectional churn datasets</w:t>
            </w:r>
          </w:p>
        </w:tc>
      </w:tr>
    </w:tbl>
    <w:p>
      <w:pPr>
        <w:spacing w:after="80"/>
      </w:pPr>
    </w:p>
    <w:p>
      <w:pPr>
        <w:pStyle w:val="Heading2"/>
      </w:pPr>
      <w:r>
        <w:t>8.2 Inferences Drawn from the Literature</w:t>
      </w:r>
    </w:p>
    <w:p>
      <w:pPr>
        <w:pStyle w:val="ListBullet"/>
        <w:spacing w:after="60"/>
        <w:jc w:val="both"/>
      </w:pPr>
      <w:r>
        <w:rPr>
          <w:b/>
        </w:rPr>
        <w:t xml:space="preserve">Gradient-boosted ensembles are the benchmark to beat — </w:t>
      </w:r>
      <w:r>
        <w:t>XGBoost and related boosting methods repeatedly deliver the highest ROC-AUC on tabular churn data, typically in the 0.84–0.93 range on public datasets, which validates the model selection made in this project.</w:t>
      </w:r>
    </w:p>
    <w:p>
      <w:pPr>
        <w:pStyle w:val="ListBullet"/>
        <w:spacing w:after="60"/>
        <w:jc w:val="both"/>
      </w:pPr>
      <w:r>
        <w:rPr>
          <w:b/>
        </w:rPr>
        <w:t xml:space="preserve">Logistic Regression remains essential — </w:t>
      </w:r>
      <w:r>
        <w:t>Almost every comparative study retains it as an interpretable, well-calibrated baseline against which ensemble gains are measured; it is included in this project for the same reason.</w:t>
      </w:r>
    </w:p>
    <w:p>
      <w:pPr>
        <w:pStyle w:val="ListBullet"/>
        <w:spacing w:after="60"/>
        <w:jc w:val="both"/>
      </w:pPr>
      <w:r>
        <w:rPr>
          <w:b/>
        </w:rPr>
        <w:t xml:space="preserve">Class imbalance must be handled explicitly — </w:t>
      </w:r>
      <w:r>
        <w:t>Studies that ignore it report inflated accuracy with poor recall on the churn class; stratification, class weighting or SMOTE-family resampling is standard practice.</w:t>
      </w:r>
    </w:p>
    <w:p>
      <w:pPr>
        <w:pStyle w:val="ListBullet"/>
        <w:spacing w:after="60"/>
        <w:jc w:val="both"/>
      </w:pPr>
      <w:r>
        <w:rPr>
          <w:b/>
        </w:rPr>
        <w:t xml:space="preserve">Contract type, tenure and support-related attributes dominate — </w:t>
      </w:r>
      <w:r>
        <w:t>Across banking, telecom and retail studies, SHAP consistently ranks contract/commitment length, tenure and service-support variables among the strongest churn drivers.</w:t>
      </w:r>
    </w:p>
    <w:p>
      <w:pPr>
        <w:pStyle w:val="ListBullet"/>
        <w:spacing w:after="60"/>
        <w:jc w:val="both"/>
      </w:pPr>
      <w:r>
        <w:rPr>
          <w:b/>
        </w:rPr>
        <w:t xml:space="preserve">Explainability is now expected, not optional — </w:t>
      </w:r>
      <w:r>
        <w:t>Post-2024 literature almost universally includes SHAP or an equivalent attribution method.</w:t>
      </w:r>
    </w:p>
    <w:p>
      <w:pPr>
        <w:pStyle w:val="ListBullet"/>
        <w:spacing w:after="60"/>
        <w:jc w:val="both"/>
      </w:pPr>
      <w:r>
        <w:rPr>
          <w:b/>
        </w:rPr>
        <w:t xml:space="preserve">Segmentation before prediction improves outcomes — </w:t>
      </w:r>
      <w:r>
        <w:t>RFM-style segmentation combined with clustering yields both better models and more targeted retention strategies.</w:t>
      </w:r>
    </w:p>
    <w:p>
      <w:pPr>
        <w:pStyle w:val="ListBullet"/>
        <w:spacing w:after="60"/>
        <w:jc w:val="both"/>
      </w:pPr>
      <w:r>
        <w:rPr>
          <w:b/>
        </w:rPr>
        <w:t xml:space="preserve">The unresolved gap is action and money — </w:t>
      </w:r>
      <w:r>
        <w:t>Very few studies close the loop from prediction to a specific recommended intervention with an estimated financial return. That gap is the core contribution of this project.</w:t>
      </w:r>
    </w:p>
    <w:p>
      <w:r>
        <w:br w:type="page"/>
      </w:r>
    </w:p>
    <w:p>
      <w:pPr>
        <w:pStyle w:val="Heading1"/>
      </w:pPr>
      <w:r>
        <w:t>9. Existing Methods and Their Drawbacks</w:t>
      </w:r>
    </w:p>
    <w:p>
      <w:pPr>
        <w:pStyle w:val="Heading2"/>
      </w:pPr>
      <w:r>
        <w:t>9.1 Existing Methods in Practice</w:t>
      </w:r>
    </w:p>
    <w:tbl>
      <w:tblPr>
        <w:tblStyle w:val="TableGrid"/>
        <w:tblW w:type="auto" w:w="0"/>
        <w:jc w:val="center"/>
        <w:tblLayout w:type="fixed"/>
        <w:tblLook w:firstColumn="1" w:firstRow="1" w:lastColumn="0" w:lastRow="0" w:noHBand="0" w:noVBand="1" w:val="04A0"/>
        <w:tblLayout w:type="fixed"/>
      </w:tblPr>
      <w:tblGrid>
        <w:gridCol w:w="1728"/>
        <w:gridCol w:w="2736"/>
        <w:gridCol w:w="4752"/>
      </w:tblGrid>
      <w:tr>
        <w:tc>
          <w:tcPr>
            <w:tcW w:type="dxa" w:w="1728"/>
            <w:shd w:val="clear" w:color="auto" w:fill="1F3864"/>
          </w:tcPr>
          <w:p>
            <w:pPr>
              <w:spacing w:after="40"/>
            </w:pPr>
            <w:r/>
            <w:r>
              <w:rPr>
                <w:rFonts w:ascii="Calibri" w:hAnsi="Calibri"/>
                <w:b/>
                <w:color w:val="FFFFFF"/>
                <w:sz w:val="19"/>
              </w:rPr>
              <w:t>Category</w:t>
            </w:r>
          </w:p>
        </w:tc>
        <w:tc>
          <w:tcPr>
            <w:tcW w:type="dxa" w:w="2736"/>
            <w:shd w:val="clear" w:color="auto" w:fill="1F3864"/>
          </w:tcPr>
          <w:p>
            <w:pPr>
              <w:spacing w:after="40"/>
            </w:pPr>
            <w:r/>
            <w:r>
              <w:rPr>
                <w:rFonts w:ascii="Calibri" w:hAnsi="Calibri"/>
                <w:b/>
                <w:color w:val="FFFFFF"/>
                <w:sz w:val="19"/>
              </w:rPr>
              <w:t>Method</w:t>
            </w:r>
          </w:p>
        </w:tc>
        <w:tc>
          <w:tcPr>
            <w:tcW w:type="dxa" w:w="4752"/>
            <w:shd w:val="clear" w:color="auto" w:fill="1F3864"/>
          </w:tcPr>
          <w:p>
            <w:pPr>
              <w:spacing w:after="40"/>
            </w:pPr>
            <w:r/>
            <w:r>
              <w:rPr>
                <w:rFonts w:ascii="Calibri" w:hAnsi="Calibri"/>
                <w:b/>
                <w:color w:val="FFFFFF"/>
                <w:sz w:val="19"/>
              </w:rPr>
              <w:t>Description</w:t>
            </w:r>
          </w:p>
        </w:tc>
      </w:tr>
      <w:tr>
        <w:tc>
          <w:tcPr>
            <w:tcW w:type="dxa" w:w="1728"/>
          </w:tcPr>
          <w:p>
            <w:pPr>
              <w:spacing w:after="40"/>
            </w:pPr>
            <w:r/>
            <w:r>
              <w:rPr>
                <w:rFonts w:ascii="Times New Roman" w:hAnsi="Times New Roman"/>
                <w:sz w:val="19"/>
              </w:rPr>
              <w:t>Manual / Descriptive</w:t>
            </w:r>
          </w:p>
        </w:tc>
        <w:tc>
          <w:tcPr>
            <w:tcW w:type="dxa" w:w="2736"/>
          </w:tcPr>
          <w:p>
            <w:pPr>
              <w:spacing w:after="40"/>
            </w:pPr>
            <w:r/>
            <w:r>
              <w:rPr>
                <w:rFonts w:ascii="Times New Roman" w:hAnsi="Times New Roman"/>
                <w:sz w:val="19"/>
              </w:rPr>
              <w:t>Periodic churn reporting</w:t>
            </w:r>
          </w:p>
        </w:tc>
        <w:tc>
          <w:tcPr>
            <w:tcW w:type="dxa" w:w="4752"/>
          </w:tcPr>
          <w:p>
            <w:pPr>
              <w:spacing w:after="40"/>
            </w:pPr>
            <w:r/>
            <w:r>
              <w:rPr>
                <w:rFonts w:ascii="Times New Roman" w:hAnsi="Times New Roman"/>
                <w:sz w:val="19"/>
              </w:rPr>
              <w:t>Monthly or quarterly attrition dashboards showing churn that has already occurred, with no forward-looking capability.</w:t>
            </w:r>
          </w:p>
        </w:tc>
      </w:tr>
      <w:tr>
        <w:tc>
          <w:tcPr>
            <w:tcW w:type="dxa" w:w="1728"/>
            <w:shd w:val="clear" w:color="auto" w:fill="F2F5FA"/>
          </w:tcPr>
          <w:p>
            <w:pPr>
              <w:spacing w:after="40"/>
            </w:pPr>
            <w:r/>
            <w:r>
              <w:rPr>
                <w:rFonts w:ascii="Times New Roman" w:hAnsi="Times New Roman"/>
                <w:sz w:val="19"/>
              </w:rPr>
              <w:t>Manual / Descriptive</w:t>
            </w:r>
          </w:p>
        </w:tc>
        <w:tc>
          <w:tcPr>
            <w:tcW w:type="dxa" w:w="2736"/>
            <w:shd w:val="clear" w:color="auto" w:fill="F2F5FA"/>
          </w:tcPr>
          <w:p>
            <w:pPr>
              <w:spacing w:after="40"/>
            </w:pPr>
            <w:r/>
            <w:r>
              <w:rPr>
                <w:rFonts w:ascii="Times New Roman" w:hAnsi="Times New Roman"/>
                <w:sz w:val="19"/>
              </w:rPr>
              <w:t>Manual customer segmentation</w:t>
            </w:r>
          </w:p>
        </w:tc>
        <w:tc>
          <w:tcPr>
            <w:tcW w:type="dxa" w:w="4752"/>
            <w:shd w:val="clear" w:color="auto" w:fill="F2F5FA"/>
          </w:tcPr>
          <w:p>
            <w:pPr>
              <w:spacing w:after="40"/>
            </w:pPr>
            <w:r/>
            <w:r>
              <w:rPr>
                <w:rFonts w:ascii="Times New Roman" w:hAnsi="Times New Roman"/>
                <w:sz w:val="19"/>
              </w:rPr>
              <w:t>Analysts group customers by intuition or single attributes such as plan type or region.</w:t>
            </w:r>
          </w:p>
        </w:tc>
      </w:tr>
      <w:tr>
        <w:tc>
          <w:tcPr>
            <w:tcW w:type="dxa" w:w="1728"/>
          </w:tcPr>
          <w:p>
            <w:pPr>
              <w:spacing w:after="40"/>
            </w:pPr>
            <w:r/>
            <w:r>
              <w:rPr>
                <w:rFonts w:ascii="Times New Roman" w:hAnsi="Times New Roman"/>
                <w:sz w:val="19"/>
              </w:rPr>
              <w:t>Rule-Based</w:t>
            </w:r>
          </w:p>
        </w:tc>
        <w:tc>
          <w:tcPr>
            <w:tcW w:type="dxa" w:w="2736"/>
          </w:tcPr>
          <w:p>
            <w:pPr>
              <w:spacing w:after="40"/>
            </w:pPr>
            <w:r/>
            <w:r>
              <w:rPr>
                <w:rFonts w:ascii="Times New Roman" w:hAnsi="Times New Roman"/>
                <w:sz w:val="19"/>
              </w:rPr>
              <w:t>Static business rules</w:t>
            </w:r>
          </w:p>
        </w:tc>
        <w:tc>
          <w:tcPr>
            <w:tcW w:type="dxa" w:w="4752"/>
          </w:tcPr>
          <w:p>
            <w:pPr>
              <w:spacing w:after="40"/>
            </w:pPr>
            <w:r/>
            <w:r>
              <w:rPr>
                <w:rFonts w:ascii="Times New Roman" w:hAnsi="Times New Roman"/>
                <w:sz w:val="19"/>
              </w:rPr>
              <w:t>Hard-coded thresholds such as 'flag customers with more than three support calls' or 'flag month-to-month customers with tenure below six months'.</w:t>
            </w:r>
          </w:p>
        </w:tc>
      </w:tr>
      <w:tr>
        <w:tc>
          <w:tcPr>
            <w:tcW w:type="dxa" w:w="1728"/>
            <w:shd w:val="clear" w:color="auto" w:fill="F2F5FA"/>
          </w:tcPr>
          <w:p>
            <w:pPr>
              <w:spacing w:after="40"/>
            </w:pPr>
            <w:r/>
            <w:r>
              <w:rPr>
                <w:rFonts w:ascii="Times New Roman" w:hAnsi="Times New Roman"/>
                <w:sz w:val="19"/>
              </w:rPr>
              <w:t>Rule-Based</w:t>
            </w:r>
          </w:p>
        </w:tc>
        <w:tc>
          <w:tcPr>
            <w:tcW w:type="dxa" w:w="2736"/>
            <w:shd w:val="clear" w:color="auto" w:fill="F2F5FA"/>
          </w:tcPr>
          <w:p>
            <w:pPr>
              <w:spacing w:after="40"/>
            </w:pPr>
            <w:r/>
            <w:r>
              <w:rPr>
                <w:rFonts w:ascii="Times New Roman" w:hAnsi="Times New Roman"/>
                <w:sz w:val="19"/>
              </w:rPr>
              <w:t>Exit surveys / feedback triggers</w:t>
            </w:r>
          </w:p>
        </w:tc>
        <w:tc>
          <w:tcPr>
            <w:tcW w:type="dxa" w:w="4752"/>
            <w:shd w:val="clear" w:color="auto" w:fill="F2F5FA"/>
          </w:tcPr>
          <w:p>
            <w:pPr>
              <w:spacing w:after="40"/>
            </w:pPr>
            <w:r/>
            <w:r>
              <w:rPr>
                <w:rFonts w:ascii="Times New Roman" w:hAnsi="Times New Roman"/>
                <w:sz w:val="19"/>
              </w:rPr>
              <w:t>Retention action triggered only after the customer signals an intent to leave.</w:t>
            </w:r>
          </w:p>
        </w:tc>
      </w:tr>
      <w:tr>
        <w:tc>
          <w:tcPr>
            <w:tcW w:type="dxa" w:w="1728"/>
          </w:tcPr>
          <w:p>
            <w:pPr>
              <w:spacing w:after="40"/>
            </w:pPr>
            <w:r/>
            <w:r>
              <w:rPr>
                <w:rFonts w:ascii="Times New Roman" w:hAnsi="Times New Roman"/>
                <w:sz w:val="19"/>
              </w:rPr>
              <w:t>Statistical</w:t>
            </w:r>
          </w:p>
        </w:tc>
        <w:tc>
          <w:tcPr>
            <w:tcW w:type="dxa" w:w="2736"/>
          </w:tcPr>
          <w:p>
            <w:pPr>
              <w:spacing w:after="40"/>
            </w:pPr>
            <w:r/>
            <w:r>
              <w:rPr>
                <w:rFonts w:ascii="Times New Roman" w:hAnsi="Times New Roman"/>
                <w:sz w:val="19"/>
              </w:rPr>
              <w:t>Traditional regression / chi-square analysis</w:t>
            </w:r>
          </w:p>
        </w:tc>
        <w:tc>
          <w:tcPr>
            <w:tcW w:type="dxa" w:w="4752"/>
          </w:tcPr>
          <w:p>
            <w:pPr>
              <w:spacing w:after="40"/>
            </w:pPr>
            <w:r/>
            <w:r>
              <w:rPr>
                <w:rFonts w:ascii="Times New Roman" w:hAnsi="Times New Roman"/>
                <w:sz w:val="19"/>
              </w:rPr>
              <w:t>Linear or logistic models on a small hand-picked set of variables, with strong distributional assumptions.</w:t>
            </w:r>
          </w:p>
        </w:tc>
      </w:tr>
      <w:tr>
        <w:tc>
          <w:tcPr>
            <w:tcW w:type="dxa" w:w="1728"/>
            <w:shd w:val="clear" w:color="auto" w:fill="F2F5FA"/>
          </w:tcPr>
          <w:p>
            <w:pPr>
              <w:spacing w:after="40"/>
            </w:pPr>
            <w:r/>
            <w:r>
              <w:rPr>
                <w:rFonts w:ascii="Times New Roman" w:hAnsi="Times New Roman"/>
                <w:sz w:val="19"/>
              </w:rPr>
              <w:t>Statistical</w:t>
            </w:r>
          </w:p>
        </w:tc>
        <w:tc>
          <w:tcPr>
            <w:tcW w:type="dxa" w:w="2736"/>
            <w:shd w:val="clear" w:color="auto" w:fill="F2F5FA"/>
          </w:tcPr>
          <w:p>
            <w:pPr>
              <w:spacing w:after="40"/>
            </w:pPr>
            <w:r/>
            <w:r>
              <w:rPr>
                <w:rFonts w:ascii="Times New Roman" w:hAnsi="Times New Roman"/>
                <w:sz w:val="19"/>
              </w:rPr>
              <w:t>Survival / hazard analysis</w:t>
            </w:r>
          </w:p>
        </w:tc>
        <w:tc>
          <w:tcPr>
            <w:tcW w:type="dxa" w:w="4752"/>
            <w:shd w:val="clear" w:color="auto" w:fill="F2F5FA"/>
          </w:tcPr>
          <w:p>
            <w:pPr>
              <w:spacing w:after="40"/>
            </w:pPr>
            <w:r/>
            <w:r>
              <w:rPr>
                <w:rFonts w:ascii="Times New Roman" w:hAnsi="Times New Roman"/>
                <w:sz w:val="19"/>
              </w:rPr>
              <w:t>Time-to-event modelling of expected customer lifetime, usually at cohort rather than individual level.</w:t>
            </w:r>
          </w:p>
        </w:tc>
      </w:tr>
      <w:tr>
        <w:tc>
          <w:tcPr>
            <w:tcW w:type="dxa" w:w="1728"/>
          </w:tcPr>
          <w:p>
            <w:pPr>
              <w:spacing w:after="40"/>
            </w:pPr>
            <w:r/>
            <w:r>
              <w:rPr>
                <w:rFonts w:ascii="Times New Roman" w:hAnsi="Times New Roman"/>
                <w:sz w:val="19"/>
              </w:rPr>
              <w:t>Basic ML</w:t>
            </w:r>
          </w:p>
        </w:tc>
        <w:tc>
          <w:tcPr>
            <w:tcW w:type="dxa" w:w="2736"/>
          </w:tcPr>
          <w:p>
            <w:pPr>
              <w:spacing w:after="40"/>
            </w:pPr>
            <w:r/>
            <w:r>
              <w:rPr>
                <w:rFonts w:ascii="Times New Roman" w:hAnsi="Times New Roman"/>
                <w:sz w:val="19"/>
              </w:rPr>
              <w:t>Single decision trees / k-NN / Naive Bayes</w:t>
            </w:r>
          </w:p>
        </w:tc>
        <w:tc>
          <w:tcPr>
            <w:tcW w:type="dxa" w:w="4752"/>
          </w:tcPr>
          <w:p>
            <w:pPr>
              <w:spacing w:after="40"/>
            </w:pPr>
            <w:r/>
            <w:r>
              <w:rPr>
                <w:rFonts w:ascii="Times New Roman" w:hAnsi="Times New Roman"/>
                <w:sz w:val="19"/>
              </w:rPr>
              <w:t>Simple classifiers trained on raw features, usually without imbalance handling or tuning.</w:t>
            </w:r>
          </w:p>
        </w:tc>
      </w:tr>
      <w:tr>
        <w:tc>
          <w:tcPr>
            <w:tcW w:type="dxa" w:w="1728"/>
            <w:shd w:val="clear" w:color="auto" w:fill="F2F5FA"/>
          </w:tcPr>
          <w:p>
            <w:pPr>
              <w:spacing w:after="40"/>
            </w:pPr>
            <w:r/>
            <w:r>
              <w:rPr>
                <w:rFonts w:ascii="Times New Roman" w:hAnsi="Times New Roman"/>
                <w:sz w:val="19"/>
              </w:rPr>
              <w:t>Basic ML</w:t>
            </w:r>
          </w:p>
        </w:tc>
        <w:tc>
          <w:tcPr>
            <w:tcW w:type="dxa" w:w="2736"/>
            <w:shd w:val="clear" w:color="auto" w:fill="F2F5FA"/>
          </w:tcPr>
          <w:p>
            <w:pPr>
              <w:spacing w:after="40"/>
            </w:pPr>
            <w:r/>
            <w:r>
              <w:rPr>
                <w:rFonts w:ascii="Times New Roman" w:hAnsi="Times New Roman"/>
                <w:sz w:val="19"/>
              </w:rPr>
              <w:t>Accuracy-only classification studies</w:t>
            </w:r>
          </w:p>
        </w:tc>
        <w:tc>
          <w:tcPr>
            <w:tcW w:type="dxa" w:w="4752"/>
            <w:shd w:val="clear" w:color="auto" w:fill="F2F5FA"/>
          </w:tcPr>
          <w:p>
            <w:pPr>
              <w:spacing w:after="40"/>
            </w:pPr>
            <w:r/>
            <w:r>
              <w:rPr>
                <w:rFonts w:ascii="Times New Roman" w:hAnsi="Times New Roman"/>
                <w:sz w:val="19"/>
              </w:rPr>
              <w:t>Academic projects that train a classifier and report accuracy without probability output, explanation or deployment.</w:t>
            </w:r>
          </w:p>
        </w:tc>
      </w:tr>
    </w:tbl>
    <w:p>
      <w:pPr>
        <w:spacing w:after="80"/>
      </w:pPr>
    </w:p>
    <w:p>
      <w:pPr>
        <w:pStyle w:val="Heading2"/>
      </w:pPr>
      <w:r>
        <w:t>9.2 Drawbacks of Existing Methods</w:t>
      </w:r>
    </w:p>
    <w:tbl>
      <w:tblPr>
        <w:tblStyle w:val="TableGrid"/>
        <w:tblW w:type="auto" w:w="0"/>
        <w:jc w:val="center"/>
        <w:tblLayout w:type="fixed"/>
        <w:tblLook w:firstColumn="1" w:firstRow="1" w:lastColumn="0" w:lastRow="0" w:noHBand="0" w:noVBand="1" w:val="04A0"/>
        <w:tblLayout w:type="fixed"/>
      </w:tblPr>
      <w:tblGrid>
        <w:gridCol w:w="2015"/>
        <w:gridCol w:w="3744"/>
        <w:gridCol w:w="3456"/>
      </w:tblGrid>
      <w:tr>
        <w:tc>
          <w:tcPr>
            <w:tcW w:type="dxa" w:w="2016"/>
            <w:shd w:val="clear" w:color="auto" w:fill="1F3864"/>
          </w:tcPr>
          <w:p>
            <w:pPr>
              <w:spacing w:after="40"/>
            </w:pPr>
            <w:r/>
            <w:r>
              <w:rPr>
                <w:rFonts w:ascii="Calibri" w:hAnsi="Calibri"/>
                <w:b/>
                <w:color w:val="FFFFFF"/>
                <w:sz w:val="19"/>
              </w:rPr>
              <w:t>Drawback</w:t>
            </w:r>
          </w:p>
        </w:tc>
        <w:tc>
          <w:tcPr>
            <w:tcW w:type="dxa" w:w="3744"/>
            <w:shd w:val="clear" w:color="auto" w:fill="1F3864"/>
          </w:tcPr>
          <w:p>
            <w:pPr>
              <w:spacing w:after="40"/>
            </w:pPr>
            <w:r/>
            <w:r>
              <w:rPr>
                <w:rFonts w:ascii="Calibri" w:hAnsi="Calibri"/>
                <w:b/>
                <w:color w:val="FFFFFF"/>
                <w:sz w:val="19"/>
              </w:rPr>
              <w:t>Explanation</w:t>
            </w:r>
          </w:p>
        </w:tc>
        <w:tc>
          <w:tcPr>
            <w:tcW w:type="dxa" w:w="3456"/>
            <w:shd w:val="clear" w:color="auto" w:fill="1F3864"/>
          </w:tcPr>
          <w:p>
            <w:pPr>
              <w:spacing w:after="40"/>
            </w:pPr>
            <w:r/>
            <w:r>
              <w:rPr>
                <w:rFonts w:ascii="Calibri" w:hAnsi="Calibri"/>
                <w:b/>
                <w:color w:val="FFFFFF"/>
                <w:sz w:val="19"/>
              </w:rPr>
              <w:t>Business Consequence</w:t>
            </w:r>
          </w:p>
        </w:tc>
      </w:tr>
      <w:tr>
        <w:tc>
          <w:tcPr>
            <w:tcW w:type="dxa" w:w="2016"/>
          </w:tcPr>
          <w:p>
            <w:pPr>
              <w:spacing w:after="40"/>
            </w:pPr>
            <w:r/>
            <w:r>
              <w:rPr>
                <w:rFonts w:ascii="Times New Roman" w:hAnsi="Times New Roman"/>
                <w:sz w:val="19"/>
              </w:rPr>
              <w:t>Reactive rather than predictive</w:t>
            </w:r>
          </w:p>
        </w:tc>
        <w:tc>
          <w:tcPr>
            <w:tcW w:type="dxa" w:w="3744"/>
          </w:tcPr>
          <w:p>
            <w:pPr>
              <w:spacing w:after="40"/>
            </w:pPr>
            <w:r/>
            <w:r>
              <w:rPr>
                <w:rFonts w:ascii="Times New Roman" w:hAnsi="Times New Roman"/>
                <w:sz w:val="19"/>
              </w:rPr>
              <w:t>Descriptive reporting and exit surveys detect churn only after the customer has already decided to leave.</w:t>
            </w:r>
          </w:p>
        </w:tc>
        <w:tc>
          <w:tcPr>
            <w:tcW w:type="dxa" w:w="3456"/>
          </w:tcPr>
          <w:p>
            <w:pPr>
              <w:spacing w:after="40"/>
            </w:pPr>
            <w:r/>
            <w:r>
              <w:rPr>
                <w:rFonts w:ascii="Times New Roman" w:hAnsi="Times New Roman"/>
                <w:sz w:val="19"/>
              </w:rPr>
              <w:t>Intervention arrives too late; the customer is effectively unrecoverable.</w:t>
            </w:r>
          </w:p>
        </w:tc>
      </w:tr>
      <w:tr>
        <w:tc>
          <w:tcPr>
            <w:tcW w:type="dxa" w:w="2016"/>
            <w:shd w:val="clear" w:color="auto" w:fill="F2F5FA"/>
          </w:tcPr>
          <w:p>
            <w:pPr>
              <w:spacing w:after="40"/>
            </w:pPr>
            <w:r/>
            <w:r>
              <w:rPr>
                <w:rFonts w:ascii="Times New Roman" w:hAnsi="Times New Roman"/>
                <w:sz w:val="19"/>
              </w:rPr>
              <w:t>Poor handling of non-linearity</w:t>
            </w:r>
          </w:p>
        </w:tc>
        <w:tc>
          <w:tcPr>
            <w:tcW w:type="dxa" w:w="3744"/>
            <w:shd w:val="clear" w:color="auto" w:fill="F2F5FA"/>
          </w:tcPr>
          <w:p>
            <w:pPr>
              <w:spacing w:after="40"/>
            </w:pPr>
            <w:r/>
            <w:r>
              <w:rPr>
                <w:rFonts w:ascii="Times New Roman" w:hAnsi="Times New Roman"/>
                <w:sz w:val="19"/>
              </w:rPr>
              <w:t>Rule-based and linear statistical methods cannot capture interaction effects among dozens of correlated attributes.</w:t>
            </w:r>
          </w:p>
        </w:tc>
        <w:tc>
          <w:tcPr>
            <w:tcW w:type="dxa" w:w="3456"/>
            <w:shd w:val="clear" w:color="auto" w:fill="F2F5FA"/>
          </w:tcPr>
          <w:p>
            <w:pPr>
              <w:spacing w:after="40"/>
            </w:pPr>
            <w:r/>
            <w:r>
              <w:rPr>
                <w:rFonts w:ascii="Times New Roman" w:hAnsi="Times New Roman"/>
                <w:sz w:val="19"/>
              </w:rPr>
              <w:t>Genuine at-risk customers are missed while safe customers are wrongly flagged.</w:t>
            </w:r>
          </w:p>
        </w:tc>
      </w:tr>
      <w:tr>
        <w:tc>
          <w:tcPr>
            <w:tcW w:type="dxa" w:w="2016"/>
          </w:tcPr>
          <w:p>
            <w:pPr>
              <w:spacing w:after="40"/>
            </w:pPr>
            <w:r/>
            <w:r>
              <w:rPr>
                <w:rFonts w:ascii="Times New Roman" w:hAnsi="Times New Roman"/>
                <w:sz w:val="19"/>
              </w:rPr>
              <w:t>Low predictive accuracy and recall</w:t>
            </w:r>
          </w:p>
        </w:tc>
        <w:tc>
          <w:tcPr>
            <w:tcW w:type="dxa" w:w="3744"/>
          </w:tcPr>
          <w:p>
            <w:pPr>
              <w:spacing w:after="40"/>
            </w:pPr>
            <w:r/>
            <w:r>
              <w:rPr>
                <w:rFonts w:ascii="Times New Roman" w:hAnsi="Times New Roman"/>
                <w:sz w:val="19"/>
              </w:rPr>
              <w:t>Single classifiers without tuning or imbalance handling typically achieve high overall accuracy but very poor recall on the churn class.</w:t>
            </w:r>
          </w:p>
        </w:tc>
        <w:tc>
          <w:tcPr>
            <w:tcW w:type="dxa" w:w="3456"/>
          </w:tcPr>
          <w:p>
            <w:pPr>
              <w:spacing w:after="40"/>
            </w:pPr>
            <w:r/>
            <w:r>
              <w:rPr>
                <w:rFonts w:ascii="Times New Roman" w:hAnsi="Times New Roman"/>
                <w:sz w:val="19"/>
              </w:rPr>
              <w:t>The majority of actual churners go undetected, defeating the purpose of the system.</w:t>
            </w:r>
          </w:p>
        </w:tc>
      </w:tr>
      <w:tr>
        <w:tc>
          <w:tcPr>
            <w:tcW w:type="dxa" w:w="2016"/>
            <w:shd w:val="clear" w:color="auto" w:fill="F2F5FA"/>
          </w:tcPr>
          <w:p>
            <w:pPr>
              <w:spacing w:after="40"/>
            </w:pPr>
            <w:r/>
            <w:r>
              <w:rPr>
                <w:rFonts w:ascii="Times New Roman" w:hAnsi="Times New Roman"/>
                <w:sz w:val="19"/>
              </w:rPr>
              <w:t>High false-positive rate</w:t>
            </w:r>
          </w:p>
        </w:tc>
        <w:tc>
          <w:tcPr>
            <w:tcW w:type="dxa" w:w="3744"/>
            <w:shd w:val="clear" w:color="auto" w:fill="F2F5FA"/>
          </w:tcPr>
          <w:p>
            <w:pPr>
              <w:spacing w:after="40"/>
            </w:pPr>
            <w:r/>
            <w:r>
              <w:rPr>
                <w:rFonts w:ascii="Times New Roman" w:hAnsi="Times New Roman"/>
                <w:sz w:val="19"/>
              </w:rPr>
              <w:t>Coarse rules flag large numbers of loyal customers as at-risk.</w:t>
            </w:r>
          </w:p>
        </w:tc>
        <w:tc>
          <w:tcPr>
            <w:tcW w:type="dxa" w:w="3456"/>
            <w:shd w:val="clear" w:color="auto" w:fill="F2F5FA"/>
          </w:tcPr>
          <w:p>
            <w:pPr>
              <w:spacing w:after="40"/>
            </w:pPr>
            <w:r/>
            <w:r>
              <w:rPr>
                <w:rFonts w:ascii="Times New Roman" w:hAnsi="Times New Roman"/>
                <w:sz w:val="19"/>
              </w:rPr>
              <w:t>Retention discounts are wasted on customers who would have stayed anyway, eroding margin.</w:t>
            </w:r>
          </w:p>
        </w:tc>
      </w:tr>
      <w:tr>
        <w:tc>
          <w:tcPr>
            <w:tcW w:type="dxa" w:w="2016"/>
          </w:tcPr>
          <w:p>
            <w:pPr>
              <w:spacing w:after="40"/>
            </w:pPr>
            <w:r/>
            <w:r>
              <w:rPr>
                <w:rFonts w:ascii="Times New Roman" w:hAnsi="Times New Roman"/>
                <w:sz w:val="19"/>
              </w:rPr>
              <w:t>Binary output with no prioritisation</w:t>
            </w:r>
          </w:p>
        </w:tc>
        <w:tc>
          <w:tcPr>
            <w:tcW w:type="dxa" w:w="3744"/>
          </w:tcPr>
          <w:p>
            <w:pPr>
              <w:spacing w:after="40"/>
            </w:pPr>
            <w:r/>
            <w:r>
              <w:rPr>
                <w:rFonts w:ascii="Times New Roman" w:hAnsi="Times New Roman"/>
                <w:sz w:val="19"/>
              </w:rPr>
              <w:t>A yes/no label carries no information about confidence or urgency.</w:t>
            </w:r>
          </w:p>
        </w:tc>
        <w:tc>
          <w:tcPr>
            <w:tcW w:type="dxa" w:w="3456"/>
          </w:tcPr>
          <w:p>
            <w:pPr>
              <w:spacing w:after="40"/>
            </w:pPr>
            <w:r/>
            <w:r>
              <w:rPr>
                <w:rFonts w:ascii="Times New Roman" w:hAnsi="Times New Roman"/>
                <w:sz w:val="19"/>
              </w:rPr>
              <w:t>The retention team cannot rank a limited-capacity call list; effort is spread thinly and randomly.</w:t>
            </w:r>
          </w:p>
        </w:tc>
      </w:tr>
      <w:tr>
        <w:tc>
          <w:tcPr>
            <w:tcW w:type="dxa" w:w="2016"/>
            <w:shd w:val="clear" w:color="auto" w:fill="F2F5FA"/>
          </w:tcPr>
          <w:p>
            <w:pPr>
              <w:spacing w:after="40"/>
            </w:pPr>
            <w:r/>
            <w:r>
              <w:rPr>
                <w:rFonts w:ascii="Times New Roman" w:hAnsi="Times New Roman"/>
                <w:sz w:val="19"/>
              </w:rPr>
              <w:t>No value weighting</w:t>
            </w:r>
          </w:p>
        </w:tc>
        <w:tc>
          <w:tcPr>
            <w:tcW w:type="dxa" w:w="3744"/>
            <w:shd w:val="clear" w:color="auto" w:fill="F2F5FA"/>
          </w:tcPr>
          <w:p>
            <w:pPr>
              <w:spacing w:after="40"/>
            </w:pPr>
            <w:r/>
            <w:r>
              <w:rPr>
                <w:rFonts w:ascii="Times New Roman" w:hAnsi="Times New Roman"/>
                <w:sz w:val="19"/>
              </w:rPr>
              <w:t>Existing systems treat every flagged customer as equally important.</w:t>
            </w:r>
          </w:p>
        </w:tc>
        <w:tc>
          <w:tcPr>
            <w:tcW w:type="dxa" w:w="3456"/>
            <w:shd w:val="clear" w:color="auto" w:fill="F2F5FA"/>
          </w:tcPr>
          <w:p>
            <w:pPr>
              <w:spacing w:after="40"/>
            </w:pPr>
            <w:r/>
            <w:r>
              <w:rPr>
                <w:rFonts w:ascii="Times New Roman" w:hAnsi="Times New Roman"/>
                <w:sz w:val="19"/>
              </w:rPr>
              <w:t>High-value customers receive the same treatment as marginal ones; revenue protection is inefficient.</w:t>
            </w:r>
          </w:p>
        </w:tc>
      </w:tr>
      <w:tr>
        <w:tc>
          <w:tcPr>
            <w:tcW w:type="dxa" w:w="2016"/>
          </w:tcPr>
          <w:p>
            <w:pPr>
              <w:spacing w:after="40"/>
            </w:pPr>
            <w:r/>
            <w:r>
              <w:rPr>
                <w:rFonts w:ascii="Times New Roman" w:hAnsi="Times New Roman"/>
                <w:sz w:val="19"/>
              </w:rPr>
              <w:t>Black-box opacity</w:t>
            </w:r>
          </w:p>
        </w:tc>
        <w:tc>
          <w:tcPr>
            <w:tcW w:type="dxa" w:w="3744"/>
          </w:tcPr>
          <w:p>
            <w:pPr>
              <w:spacing w:after="40"/>
            </w:pPr>
            <w:r/>
            <w:r>
              <w:rPr>
                <w:rFonts w:ascii="Times New Roman" w:hAnsi="Times New Roman"/>
                <w:sz w:val="19"/>
              </w:rPr>
              <w:t>Where advanced models are used, they provide no per-customer justification.</w:t>
            </w:r>
          </w:p>
        </w:tc>
        <w:tc>
          <w:tcPr>
            <w:tcW w:type="dxa" w:w="3456"/>
          </w:tcPr>
          <w:p>
            <w:pPr>
              <w:spacing w:after="40"/>
            </w:pPr>
            <w:r/>
            <w:r>
              <w:rPr>
                <w:rFonts w:ascii="Times New Roman" w:hAnsi="Times New Roman"/>
                <w:sz w:val="19"/>
              </w:rPr>
              <w:t>Business users distrust and ultimately ignore the model; no targeted offer can be designed.</w:t>
            </w:r>
          </w:p>
        </w:tc>
      </w:tr>
      <w:tr>
        <w:tc>
          <w:tcPr>
            <w:tcW w:type="dxa" w:w="2016"/>
            <w:shd w:val="clear" w:color="auto" w:fill="F2F5FA"/>
          </w:tcPr>
          <w:p>
            <w:pPr>
              <w:spacing w:after="40"/>
            </w:pPr>
            <w:r/>
            <w:r>
              <w:rPr>
                <w:rFonts w:ascii="Times New Roman" w:hAnsi="Times New Roman"/>
                <w:sz w:val="19"/>
              </w:rPr>
              <w:t>No prescriptive layer</w:t>
            </w:r>
          </w:p>
        </w:tc>
        <w:tc>
          <w:tcPr>
            <w:tcW w:type="dxa" w:w="3744"/>
            <w:shd w:val="clear" w:color="auto" w:fill="F2F5FA"/>
          </w:tcPr>
          <w:p>
            <w:pPr>
              <w:spacing w:after="40"/>
            </w:pPr>
            <w:r/>
            <w:r>
              <w:rPr>
                <w:rFonts w:ascii="Times New Roman" w:hAnsi="Times New Roman"/>
                <w:sz w:val="19"/>
              </w:rPr>
              <w:t>Existing methods identify risk but do not recommend what to do about it.</w:t>
            </w:r>
          </w:p>
        </w:tc>
        <w:tc>
          <w:tcPr>
            <w:tcW w:type="dxa" w:w="3456"/>
            <w:shd w:val="clear" w:color="auto" w:fill="F2F5FA"/>
          </w:tcPr>
          <w:p>
            <w:pPr>
              <w:spacing w:after="40"/>
            </w:pPr>
            <w:r/>
            <w:r>
              <w:rPr>
                <w:rFonts w:ascii="Times New Roman" w:hAnsi="Times New Roman"/>
                <w:sz w:val="19"/>
              </w:rPr>
              <w:t>Analytics output remains an interesting report rather than an operational workflow.</w:t>
            </w:r>
          </w:p>
        </w:tc>
      </w:tr>
      <w:tr>
        <w:tc>
          <w:tcPr>
            <w:tcW w:type="dxa" w:w="2016"/>
          </w:tcPr>
          <w:p>
            <w:pPr>
              <w:spacing w:after="40"/>
            </w:pPr>
            <w:r/>
            <w:r>
              <w:rPr>
                <w:rFonts w:ascii="Times New Roman" w:hAnsi="Times New Roman"/>
                <w:sz w:val="19"/>
              </w:rPr>
              <w:t>No financial quantification</w:t>
            </w:r>
          </w:p>
        </w:tc>
        <w:tc>
          <w:tcPr>
            <w:tcW w:type="dxa" w:w="3744"/>
          </w:tcPr>
          <w:p>
            <w:pPr>
              <w:spacing w:after="40"/>
            </w:pPr>
            <w:r/>
            <w:r>
              <w:rPr>
                <w:rFonts w:ascii="Times New Roman" w:hAnsi="Times New Roman"/>
                <w:sz w:val="19"/>
              </w:rPr>
              <w:t>Accuracy and ROC-AUC are not expressed in monetary terms.</w:t>
            </w:r>
          </w:p>
        </w:tc>
        <w:tc>
          <w:tcPr>
            <w:tcW w:type="dxa" w:w="3456"/>
          </w:tcPr>
          <w:p>
            <w:pPr>
              <w:spacing w:after="40"/>
            </w:pPr>
            <w:r/>
            <w:r>
              <w:rPr>
                <w:rFonts w:ascii="Times New Roman" w:hAnsi="Times New Roman"/>
                <w:sz w:val="19"/>
              </w:rPr>
              <w:t>Management cannot justify or size a retention budget; the project cannot demonstrate ROI.</w:t>
            </w:r>
          </w:p>
        </w:tc>
      </w:tr>
      <w:tr>
        <w:tc>
          <w:tcPr>
            <w:tcW w:type="dxa" w:w="2016"/>
            <w:shd w:val="clear" w:color="auto" w:fill="F2F5FA"/>
          </w:tcPr>
          <w:p>
            <w:pPr>
              <w:spacing w:after="40"/>
            </w:pPr>
            <w:r/>
            <w:r>
              <w:rPr>
                <w:rFonts w:ascii="Times New Roman" w:hAnsi="Times New Roman"/>
                <w:sz w:val="19"/>
              </w:rPr>
              <w:t>Not deployed / not usable</w:t>
            </w:r>
          </w:p>
        </w:tc>
        <w:tc>
          <w:tcPr>
            <w:tcW w:type="dxa" w:w="3744"/>
            <w:shd w:val="clear" w:color="auto" w:fill="F2F5FA"/>
          </w:tcPr>
          <w:p>
            <w:pPr>
              <w:spacing w:after="40"/>
            </w:pPr>
            <w:r/>
            <w:r>
              <w:rPr>
                <w:rFonts w:ascii="Times New Roman" w:hAnsi="Times New Roman"/>
                <w:sz w:val="19"/>
              </w:rPr>
              <w:t>Models remain in notebooks accessible only to the data scientist.</w:t>
            </w:r>
          </w:p>
        </w:tc>
        <w:tc>
          <w:tcPr>
            <w:tcW w:type="dxa" w:w="3456"/>
            <w:shd w:val="clear" w:color="auto" w:fill="F2F5FA"/>
          </w:tcPr>
          <w:p>
            <w:pPr>
              <w:spacing w:after="40"/>
            </w:pPr>
            <w:r/>
            <w:r>
              <w:rPr>
                <w:rFonts w:ascii="Times New Roman" w:hAnsi="Times New Roman"/>
                <w:sz w:val="19"/>
              </w:rPr>
              <w:t>Zero operational adoption; the analytical investment produces no return.</w:t>
            </w:r>
          </w:p>
        </w:tc>
      </w:tr>
      <w:tr>
        <w:tc>
          <w:tcPr>
            <w:tcW w:type="dxa" w:w="2016"/>
          </w:tcPr>
          <w:p>
            <w:pPr>
              <w:spacing w:after="40"/>
            </w:pPr>
            <w:r/>
            <w:r>
              <w:rPr>
                <w:rFonts w:ascii="Times New Roman" w:hAnsi="Times New Roman"/>
                <w:sz w:val="19"/>
              </w:rPr>
              <w:t>Poor scalability and maintainability</w:t>
            </w:r>
          </w:p>
        </w:tc>
        <w:tc>
          <w:tcPr>
            <w:tcW w:type="dxa" w:w="3744"/>
          </w:tcPr>
          <w:p>
            <w:pPr>
              <w:spacing w:after="40"/>
            </w:pPr>
            <w:r/>
            <w:r>
              <w:rPr>
                <w:rFonts w:ascii="Times New Roman" w:hAnsi="Times New Roman"/>
                <w:sz w:val="19"/>
              </w:rPr>
              <w:t>Manual rules must be rewritten whenever the market, tariffs or customer behaviour change.</w:t>
            </w:r>
          </w:p>
        </w:tc>
        <w:tc>
          <w:tcPr>
            <w:tcW w:type="dxa" w:w="3456"/>
          </w:tcPr>
          <w:p>
            <w:pPr>
              <w:spacing w:after="40"/>
            </w:pPr>
            <w:r/>
            <w:r>
              <w:rPr>
                <w:rFonts w:ascii="Times New Roman" w:hAnsi="Times New Roman"/>
                <w:sz w:val="19"/>
              </w:rPr>
              <w:t>The system degrades over time and becomes a maintenance burden.</w:t>
            </w:r>
          </w:p>
        </w:tc>
      </w:tr>
    </w:tbl>
    <w:p>
      <w:pPr>
        <w:spacing w:after="80"/>
      </w:pPr>
    </w:p>
    <w:p>
      <w:pPr>
        <w:pStyle w:val="Heading1"/>
      </w:pPr>
      <w:r>
        <w:t>10. Research Gaps Identified</w:t>
      </w:r>
    </w:p>
    <w:p>
      <w:pPr>
        <w:spacing w:after="120"/>
        <w:jc w:val="both"/>
      </w:pPr>
      <w:r>
        <w:rPr>
          <w:b w:val="0"/>
          <w:i w:val="0"/>
        </w:rPr>
        <w:t>Consolidating the drawbacks of practice with the limitations observed in the reviewed literature, the following specific gaps were identified. Each gap is directly addressed by a corresponding component of the proposed system.</w:t>
      </w:r>
    </w:p>
    <w:tbl>
      <w:tblPr>
        <w:tblStyle w:val="TableGrid"/>
        <w:tblW w:type="auto" w:w="0"/>
        <w:jc w:val="center"/>
        <w:tblLayout w:type="fixed"/>
        <w:tblLook w:firstColumn="1" w:firstRow="1" w:lastColumn="0" w:lastRow="0" w:noHBand="0" w:noVBand="1" w:val="04A0"/>
        <w:tblLayout w:type="fixed"/>
      </w:tblPr>
      <w:tblGrid>
        <w:gridCol w:w="720"/>
        <w:gridCol w:w="2448"/>
        <w:gridCol w:w="3024"/>
        <w:gridCol w:w="3024"/>
      </w:tblGrid>
      <w:tr>
        <w:tc>
          <w:tcPr>
            <w:tcW w:type="dxa" w:w="720"/>
            <w:shd w:val="clear" w:color="auto" w:fill="1F3864"/>
          </w:tcPr>
          <w:p>
            <w:pPr>
              <w:spacing w:after="40"/>
            </w:pPr>
            <w:r/>
            <w:r>
              <w:rPr>
                <w:rFonts w:ascii="Calibri" w:hAnsi="Calibri"/>
                <w:b/>
                <w:color w:val="FFFFFF"/>
                <w:sz w:val="18"/>
              </w:rPr>
              <w:t>Gap #</w:t>
            </w:r>
          </w:p>
        </w:tc>
        <w:tc>
          <w:tcPr>
            <w:tcW w:type="dxa" w:w="2448"/>
            <w:shd w:val="clear" w:color="auto" w:fill="1F3864"/>
          </w:tcPr>
          <w:p>
            <w:pPr>
              <w:spacing w:after="40"/>
            </w:pPr>
            <w:r/>
            <w:r>
              <w:rPr>
                <w:rFonts w:ascii="Calibri" w:hAnsi="Calibri"/>
                <w:b/>
                <w:color w:val="FFFFFF"/>
                <w:sz w:val="18"/>
              </w:rPr>
              <w:t>Gap Identified</w:t>
            </w:r>
          </w:p>
        </w:tc>
        <w:tc>
          <w:tcPr>
            <w:tcW w:type="dxa" w:w="3024"/>
            <w:shd w:val="clear" w:color="auto" w:fill="1F3864"/>
          </w:tcPr>
          <w:p>
            <w:pPr>
              <w:spacing w:after="40"/>
            </w:pPr>
            <w:r/>
            <w:r>
              <w:rPr>
                <w:rFonts w:ascii="Calibri" w:hAnsi="Calibri"/>
                <w:b/>
                <w:color w:val="FFFFFF"/>
                <w:sz w:val="18"/>
              </w:rPr>
              <w:t>Evidence from Survey</w:t>
            </w:r>
          </w:p>
        </w:tc>
        <w:tc>
          <w:tcPr>
            <w:tcW w:type="dxa" w:w="3024"/>
            <w:shd w:val="clear" w:color="auto" w:fill="1F3864"/>
          </w:tcPr>
          <w:p>
            <w:pPr>
              <w:spacing w:after="40"/>
            </w:pPr>
            <w:r/>
            <w:r>
              <w:rPr>
                <w:rFonts w:ascii="Calibri" w:hAnsi="Calibri"/>
                <w:b/>
                <w:color w:val="FFFFFF"/>
                <w:sz w:val="18"/>
              </w:rPr>
              <w:t>How This Project Addresses It</w:t>
            </w:r>
          </w:p>
        </w:tc>
      </w:tr>
      <w:tr>
        <w:tc>
          <w:tcPr>
            <w:tcW w:type="dxa" w:w="720"/>
          </w:tcPr>
          <w:p>
            <w:pPr>
              <w:spacing w:after="40"/>
            </w:pPr>
            <w:r/>
            <w:r>
              <w:rPr>
                <w:rFonts w:ascii="Times New Roman" w:hAnsi="Times New Roman"/>
                <w:sz w:val="18"/>
              </w:rPr>
              <w:t>G1</w:t>
            </w:r>
          </w:p>
        </w:tc>
        <w:tc>
          <w:tcPr>
            <w:tcW w:type="dxa" w:w="2448"/>
          </w:tcPr>
          <w:p>
            <w:pPr>
              <w:spacing w:after="40"/>
            </w:pPr>
            <w:r/>
            <w:r>
              <w:rPr>
                <w:rFonts w:ascii="Times New Roman" w:hAnsi="Times New Roman"/>
                <w:sz w:val="18"/>
              </w:rPr>
              <w:t>Insufficient like-for-like benchmarking of interpretable and ensemble models on a common pipeline</w:t>
            </w:r>
          </w:p>
        </w:tc>
        <w:tc>
          <w:tcPr>
            <w:tcW w:type="dxa" w:w="3024"/>
          </w:tcPr>
          <w:p>
            <w:pPr>
              <w:spacing w:after="40"/>
            </w:pPr>
            <w:r/>
            <w:r>
              <w:rPr>
                <w:rFonts w:ascii="Times New Roman" w:hAnsi="Times New Roman"/>
                <w:sz w:val="18"/>
              </w:rPr>
              <w:t>Studies typically favour one family of models; preprocessing differs between papers, making comparison unreliable</w:t>
            </w:r>
          </w:p>
        </w:tc>
        <w:tc>
          <w:tcPr>
            <w:tcW w:type="dxa" w:w="3024"/>
          </w:tcPr>
          <w:p>
            <w:pPr>
              <w:spacing w:after="40"/>
            </w:pPr>
            <w:r/>
            <w:r>
              <w:rPr>
                <w:rFonts w:ascii="Times New Roman" w:hAnsi="Times New Roman"/>
                <w:sz w:val="18"/>
              </w:rPr>
              <w:t>Logistic Regression, Random Forest, XGBoost and SVM are trained on an identical preprocessing pipeline and split, and compared on six metrics</w:t>
            </w:r>
          </w:p>
        </w:tc>
      </w:tr>
      <w:tr>
        <w:tc>
          <w:tcPr>
            <w:tcW w:type="dxa" w:w="720"/>
            <w:shd w:val="clear" w:color="auto" w:fill="F2F5FA"/>
          </w:tcPr>
          <w:p>
            <w:pPr>
              <w:spacing w:after="40"/>
            </w:pPr>
            <w:r/>
            <w:r>
              <w:rPr>
                <w:rFonts w:ascii="Times New Roman" w:hAnsi="Times New Roman"/>
                <w:sz w:val="18"/>
              </w:rPr>
              <w:t>G2</w:t>
            </w:r>
          </w:p>
        </w:tc>
        <w:tc>
          <w:tcPr>
            <w:tcW w:type="dxa" w:w="2448"/>
            <w:shd w:val="clear" w:color="auto" w:fill="F2F5FA"/>
          </w:tcPr>
          <w:p>
            <w:pPr>
              <w:spacing w:after="40"/>
            </w:pPr>
            <w:r/>
            <w:r>
              <w:rPr>
                <w:rFonts w:ascii="Times New Roman" w:hAnsi="Times New Roman"/>
                <w:sz w:val="18"/>
              </w:rPr>
              <w:t>Class imbalance frequently under-addressed</w:t>
            </w:r>
          </w:p>
        </w:tc>
        <w:tc>
          <w:tcPr>
            <w:tcW w:type="dxa" w:w="3024"/>
            <w:shd w:val="clear" w:color="auto" w:fill="F2F5FA"/>
          </w:tcPr>
          <w:p>
            <w:pPr>
              <w:spacing w:after="40"/>
            </w:pPr>
            <w:r/>
            <w:r>
              <w:rPr>
                <w:rFonts w:ascii="Times New Roman" w:hAnsi="Times New Roman"/>
                <w:sz w:val="18"/>
              </w:rPr>
              <w:t>Several works report accuracy without recall or PR-AUC on the minority churn class</w:t>
            </w:r>
          </w:p>
        </w:tc>
        <w:tc>
          <w:tcPr>
            <w:tcW w:type="dxa" w:w="3024"/>
            <w:shd w:val="clear" w:color="auto" w:fill="F2F5FA"/>
          </w:tcPr>
          <w:p>
            <w:pPr>
              <w:spacing w:after="40"/>
            </w:pPr>
            <w:r/>
            <w:r>
              <w:rPr>
                <w:rFonts w:ascii="Times New Roman" w:hAnsi="Times New Roman"/>
                <w:sz w:val="18"/>
              </w:rPr>
              <w:t>Stratified splitting, class weighting and threshold tuning are applied; PR-AUC and recall are reported alongside accuracy</w:t>
            </w:r>
          </w:p>
        </w:tc>
      </w:tr>
      <w:tr>
        <w:tc>
          <w:tcPr>
            <w:tcW w:type="dxa" w:w="720"/>
          </w:tcPr>
          <w:p>
            <w:pPr>
              <w:spacing w:after="40"/>
            </w:pPr>
            <w:r/>
            <w:r>
              <w:rPr>
                <w:rFonts w:ascii="Times New Roman" w:hAnsi="Times New Roman"/>
                <w:sz w:val="18"/>
              </w:rPr>
              <w:t>G3</w:t>
            </w:r>
          </w:p>
        </w:tc>
        <w:tc>
          <w:tcPr>
            <w:tcW w:type="dxa" w:w="2448"/>
          </w:tcPr>
          <w:p>
            <w:pPr>
              <w:spacing w:after="40"/>
            </w:pPr>
            <w:r/>
            <w:r>
              <w:rPr>
                <w:rFonts w:ascii="Times New Roman" w:hAnsi="Times New Roman"/>
                <w:sz w:val="18"/>
              </w:rPr>
              <w:t>Churn treated as a binary label rather than a probability</w:t>
            </w:r>
          </w:p>
        </w:tc>
        <w:tc>
          <w:tcPr>
            <w:tcW w:type="dxa" w:w="3024"/>
          </w:tcPr>
          <w:p>
            <w:pPr>
              <w:spacing w:after="40"/>
            </w:pPr>
            <w:r/>
            <w:r>
              <w:rPr>
                <w:rFonts w:ascii="Times New Roman" w:hAnsi="Times New Roman"/>
                <w:sz w:val="18"/>
              </w:rPr>
              <w:t>Most comparative studies output hard labels only</w:t>
            </w:r>
          </w:p>
        </w:tc>
        <w:tc>
          <w:tcPr>
            <w:tcW w:type="dxa" w:w="3024"/>
          </w:tcPr>
          <w:p>
            <w:pPr>
              <w:spacing w:after="40"/>
            </w:pPr>
            <w:r/>
            <w:r>
              <w:rPr>
                <w:rFonts w:ascii="Times New Roman" w:hAnsi="Times New Roman"/>
                <w:sz w:val="18"/>
              </w:rPr>
              <w:t>The system outputs a calibrated churn probability per customer and banded risk tiers for prioritisation</w:t>
            </w:r>
          </w:p>
        </w:tc>
      </w:tr>
      <w:tr>
        <w:tc>
          <w:tcPr>
            <w:tcW w:type="dxa" w:w="720"/>
            <w:shd w:val="clear" w:color="auto" w:fill="F2F5FA"/>
          </w:tcPr>
          <w:p>
            <w:pPr>
              <w:spacing w:after="40"/>
            </w:pPr>
            <w:r/>
            <w:r>
              <w:rPr>
                <w:rFonts w:ascii="Times New Roman" w:hAnsi="Times New Roman"/>
                <w:sz w:val="18"/>
              </w:rPr>
              <w:t>G4</w:t>
            </w:r>
          </w:p>
        </w:tc>
        <w:tc>
          <w:tcPr>
            <w:tcW w:type="dxa" w:w="2448"/>
            <w:shd w:val="clear" w:color="auto" w:fill="F2F5FA"/>
          </w:tcPr>
          <w:p>
            <w:pPr>
              <w:spacing w:after="40"/>
            </w:pPr>
            <w:r/>
            <w:r>
              <w:rPr>
                <w:rFonts w:ascii="Times New Roman" w:hAnsi="Times New Roman"/>
                <w:sz w:val="18"/>
              </w:rPr>
              <w:t>Segmentation and prediction treated as separate exercises</w:t>
            </w:r>
          </w:p>
        </w:tc>
        <w:tc>
          <w:tcPr>
            <w:tcW w:type="dxa" w:w="3024"/>
            <w:shd w:val="clear" w:color="auto" w:fill="F2F5FA"/>
          </w:tcPr>
          <w:p>
            <w:pPr>
              <w:spacing w:after="40"/>
            </w:pPr>
            <w:r/>
            <w:r>
              <w:rPr>
                <w:rFonts w:ascii="Times New Roman" w:hAnsi="Times New Roman"/>
                <w:sz w:val="18"/>
              </w:rPr>
              <w:t>Segmentation papers omit prediction; prediction papers omit segmentation</w:t>
            </w:r>
          </w:p>
        </w:tc>
        <w:tc>
          <w:tcPr>
            <w:tcW w:type="dxa" w:w="3024"/>
            <w:shd w:val="clear" w:color="auto" w:fill="F2F5FA"/>
          </w:tcPr>
          <w:p>
            <w:pPr>
              <w:spacing w:after="40"/>
            </w:pPr>
            <w:r/>
            <w:r>
              <w:rPr>
                <w:rFonts w:ascii="Times New Roman" w:hAnsi="Times New Roman"/>
                <w:sz w:val="18"/>
              </w:rPr>
              <w:t>K-Means segmentation is integrated into the pipeline and every prediction is reported in its segment context</w:t>
            </w:r>
          </w:p>
        </w:tc>
      </w:tr>
      <w:tr>
        <w:tc>
          <w:tcPr>
            <w:tcW w:type="dxa" w:w="720"/>
          </w:tcPr>
          <w:p>
            <w:pPr>
              <w:spacing w:after="40"/>
            </w:pPr>
            <w:r/>
            <w:r>
              <w:rPr>
                <w:rFonts w:ascii="Times New Roman" w:hAnsi="Times New Roman"/>
                <w:sz w:val="18"/>
              </w:rPr>
              <w:t>G5</w:t>
            </w:r>
          </w:p>
        </w:tc>
        <w:tc>
          <w:tcPr>
            <w:tcW w:type="dxa" w:w="2448"/>
          </w:tcPr>
          <w:p>
            <w:pPr>
              <w:spacing w:after="40"/>
            </w:pPr>
            <w:r/>
            <w:r>
              <w:rPr>
                <w:rFonts w:ascii="Times New Roman" w:hAnsi="Times New Roman"/>
                <w:sz w:val="18"/>
              </w:rPr>
              <w:t>Explainability limited to global feature importance</w:t>
            </w:r>
          </w:p>
        </w:tc>
        <w:tc>
          <w:tcPr>
            <w:tcW w:type="dxa" w:w="3024"/>
          </w:tcPr>
          <w:p>
            <w:pPr>
              <w:spacing w:after="40"/>
            </w:pPr>
            <w:r/>
            <w:r>
              <w:rPr>
                <w:rFonts w:ascii="Times New Roman" w:hAnsi="Times New Roman"/>
                <w:sz w:val="18"/>
              </w:rPr>
              <w:t>Many works report only aggregate importance rankings</w:t>
            </w:r>
          </w:p>
        </w:tc>
        <w:tc>
          <w:tcPr>
            <w:tcW w:type="dxa" w:w="3024"/>
          </w:tcPr>
          <w:p>
            <w:pPr>
              <w:spacing w:after="40"/>
            </w:pPr>
            <w:r/>
            <w:r>
              <w:rPr>
                <w:rFonts w:ascii="Times New Roman" w:hAnsi="Times New Roman"/>
                <w:sz w:val="18"/>
              </w:rPr>
              <w:t>Global importance is combined with per-customer SHAP reason codes surfaced directly in the dashboard</w:t>
            </w:r>
          </w:p>
        </w:tc>
      </w:tr>
      <w:tr>
        <w:tc>
          <w:tcPr>
            <w:tcW w:type="dxa" w:w="720"/>
            <w:shd w:val="clear" w:color="auto" w:fill="F2F5FA"/>
          </w:tcPr>
          <w:p>
            <w:pPr>
              <w:spacing w:after="40"/>
            </w:pPr>
            <w:r/>
            <w:r>
              <w:rPr>
                <w:rFonts w:ascii="Times New Roman" w:hAnsi="Times New Roman"/>
                <w:sz w:val="18"/>
              </w:rPr>
              <w:t>G6</w:t>
            </w:r>
          </w:p>
        </w:tc>
        <w:tc>
          <w:tcPr>
            <w:tcW w:type="dxa" w:w="2448"/>
            <w:shd w:val="clear" w:color="auto" w:fill="F2F5FA"/>
          </w:tcPr>
          <w:p>
            <w:pPr>
              <w:spacing w:after="40"/>
            </w:pPr>
            <w:r/>
            <w:r>
              <w:rPr>
                <w:rFonts w:ascii="Times New Roman" w:hAnsi="Times New Roman"/>
                <w:sz w:val="18"/>
              </w:rPr>
              <w:t>No prescriptive bridge from explanation to action</w:t>
            </w:r>
          </w:p>
        </w:tc>
        <w:tc>
          <w:tcPr>
            <w:tcW w:type="dxa" w:w="3024"/>
            <w:shd w:val="clear" w:color="auto" w:fill="F2F5FA"/>
          </w:tcPr>
          <w:p>
            <w:pPr>
              <w:spacing w:after="40"/>
            </w:pPr>
            <w:r/>
            <w:r>
              <w:rPr>
                <w:rFonts w:ascii="Times New Roman" w:hAnsi="Times New Roman"/>
                <w:sz w:val="18"/>
              </w:rPr>
              <w:t>Explainability studies end at attribution and stop short of intervention design</w:t>
            </w:r>
          </w:p>
        </w:tc>
        <w:tc>
          <w:tcPr>
            <w:tcW w:type="dxa" w:w="3024"/>
            <w:shd w:val="clear" w:color="auto" w:fill="F2F5FA"/>
          </w:tcPr>
          <w:p>
            <w:pPr>
              <w:spacing w:after="40"/>
            </w:pPr>
            <w:r/>
            <w:r>
              <w:rPr>
                <w:rFonts w:ascii="Times New Roman" w:hAnsi="Times New Roman"/>
                <w:sz w:val="18"/>
              </w:rPr>
              <w:t>A rule-mapped recommendation engine converts each dominant risk driver into a specific retention offer or action</w:t>
            </w:r>
          </w:p>
        </w:tc>
      </w:tr>
      <w:tr>
        <w:tc>
          <w:tcPr>
            <w:tcW w:type="dxa" w:w="720"/>
          </w:tcPr>
          <w:p>
            <w:pPr>
              <w:spacing w:after="40"/>
            </w:pPr>
            <w:r/>
            <w:r>
              <w:rPr>
                <w:rFonts w:ascii="Times New Roman" w:hAnsi="Times New Roman"/>
                <w:sz w:val="18"/>
              </w:rPr>
              <w:t>G7</w:t>
            </w:r>
          </w:p>
        </w:tc>
        <w:tc>
          <w:tcPr>
            <w:tcW w:type="dxa" w:w="2448"/>
          </w:tcPr>
          <w:p>
            <w:pPr>
              <w:spacing w:after="40"/>
            </w:pPr>
            <w:r/>
            <w:r>
              <w:rPr>
                <w:rFonts w:ascii="Times New Roman" w:hAnsi="Times New Roman"/>
                <w:sz w:val="18"/>
              </w:rPr>
              <w:t>Absence of financial impact quantification</w:t>
            </w:r>
          </w:p>
        </w:tc>
        <w:tc>
          <w:tcPr>
            <w:tcW w:type="dxa" w:w="3024"/>
          </w:tcPr>
          <w:p>
            <w:pPr>
              <w:spacing w:after="40"/>
            </w:pPr>
            <w:r/>
            <w:r>
              <w:rPr>
                <w:rFonts w:ascii="Times New Roman" w:hAnsi="Times New Roman"/>
                <w:sz w:val="18"/>
              </w:rPr>
              <w:t>Accuracy and AUC are reported; revenue and ROI almost never are</w:t>
            </w:r>
          </w:p>
        </w:tc>
        <w:tc>
          <w:tcPr>
            <w:tcW w:type="dxa" w:w="3024"/>
          </w:tcPr>
          <w:p>
            <w:pPr>
              <w:spacing w:after="40"/>
            </w:pPr>
            <w:r/>
            <w:r>
              <w:rPr>
                <w:rFonts w:ascii="Times New Roman" w:hAnsi="Times New Roman"/>
                <w:sz w:val="18"/>
              </w:rPr>
              <w:t>A business impact module computes revenue at risk, expected saved revenue, campaign ROI and projected churn-rate reduction</w:t>
            </w:r>
          </w:p>
        </w:tc>
      </w:tr>
      <w:tr>
        <w:tc>
          <w:tcPr>
            <w:tcW w:type="dxa" w:w="720"/>
            <w:shd w:val="clear" w:color="auto" w:fill="F2F5FA"/>
          </w:tcPr>
          <w:p>
            <w:pPr>
              <w:spacing w:after="40"/>
            </w:pPr>
            <w:r/>
            <w:r>
              <w:rPr>
                <w:rFonts w:ascii="Times New Roman" w:hAnsi="Times New Roman"/>
                <w:sz w:val="18"/>
              </w:rPr>
              <w:t>G8</w:t>
            </w:r>
          </w:p>
        </w:tc>
        <w:tc>
          <w:tcPr>
            <w:tcW w:type="dxa" w:w="2448"/>
            <w:shd w:val="clear" w:color="auto" w:fill="F2F5FA"/>
          </w:tcPr>
          <w:p>
            <w:pPr>
              <w:spacing w:after="40"/>
            </w:pPr>
            <w:r/>
            <w:r>
              <w:rPr>
                <w:rFonts w:ascii="Times New Roman" w:hAnsi="Times New Roman"/>
                <w:sz w:val="18"/>
              </w:rPr>
              <w:t>Lack of value-weighted prioritisation</w:t>
            </w:r>
          </w:p>
        </w:tc>
        <w:tc>
          <w:tcPr>
            <w:tcW w:type="dxa" w:w="3024"/>
            <w:shd w:val="clear" w:color="auto" w:fill="F2F5FA"/>
          </w:tcPr>
          <w:p>
            <w:pPr>
              <w:spacing w:after="40"/>
            </w:pPr>
            <w:r/>
            <w:r>
              <w:rPr>
                <w:rFonts w:ascii="Times New Roman" w:hAnsi="Times New Roman"/>
                <w:sz w:val="18"/>
              </w:rPr>
              <w:t>Risk ranking ignores how much each customer is worth</w:t>
            </w:r>
          </w:p>
        </w:tc>
        <w:tc>
          <w:tcPr>
            <w:tcW w:type="dxa" w:w="3024"/>
            <w:shd w:val="clear" w:color="auto" w:fill="F2F5FA"/>
          </w:tcPr>
          <w:p>
            <w:pPr>
              <w:spacing w:after="40"/>
            </w:pPr>
            <w:r/>
            <w:r>
              <w:rPr>
                <w:rFonts w:ascii="Times New Roman" w:hAnsi="Times New Roman"/>
                <w:sz w:val="18"/>
              </w:rPr>
              <w:t>Risk score is combined with an ARPU-based customer value proxy to produce a value-weighted priority list</w:t>
            </w:r>
          </w:p>
        </w:tc>
      </w:tr>
      <w:tr>
        <w:tc>
          <w:tcPr>
            <w:tcW w:type="dxa" w:w="720"/>
          </w:tcPr>
          <w:p>
            <w:pPr>
              <w:spacing w:after="40"/>
            </w:pPr>
            <w:r/>
            <w:r>
              <w:rPr>
                <w:rFonts w:ascii="Times New Roman" w:hAnsi="Times New Roman"/>
                <w:sz w:val="18"/>
              </w:rPr>
              <w:t>G9</w:t>
            </w:r>
          </w:p>
        </w:tc>
        <w:tc>
          <w:tcPr>
            <w:tcW w:type="dxa" w:w="2448"/>
          </w:tcPr>
          <w:p>
            <w:pPr>
              <w:spacing w:after="40"/>
            </w:pPr>
            <w:r/>
            <w:r>
              <w:rPr>
                <w:rFonts w:ascii="Times New Roman" w:hAnsi="Times New Roman"/>
                <w:sz w:val="18"/>
              </w:rPr>
              <w:t>Little or no deployment; no interactive analytics interface</w:t>
            </w:r>
          </w:p>
        </w:tc>
        <w:tc>
          <w:tcPr>
            <w:tcW w:type="dxa" w:w="3024"/>
          </w:tcPr>
          <w:p>
            <w:pPr>
              <w:spacing w:after="40"/>
            </w:pPr>
            <w:r/>
            <w:r>
              <w:rPr>
                <w:rFonts w:ascii="Times New Roman" w:hAnsi="Times New Roman"/>
                <w:sz w:val="18"/>
              </w:rPr>
              <w:t>The overwhelming majority of reviewed works remain offline experiments</w:t>
            </w:r>
          </w:p>
        </w:tc>
        <w:tc>
          <w:tcPr>
            <w:tcW w:type="dxa" w:w="3024"/>
          </w:tcPr>
          <w:p>
            <w:pPr>
              <w:spacing w:after="40"/>
            </w:pPr>
            <w:r/>
            <w:r>
              <w:rPr>
                <w:rFonts w:ascii="Times New Roman" w:hAnsi="Times New Roman"/>
                <w:sz w:val="18"/>
              </w:rPr>
              <w:t>The complete pipeline is deployed as an interactive Streamlit dashboard with upload, scoring, drill-down and export</w:t>
            </w:r>
          </w:p>
        </w:tc>
      </w:tr>
      <w:tr>
        <w:tc>
          <w:tcPr>
            <w:tcW w:type="dxa" w:w="720"/>
            <w:shd w:val="clear" w:color="auto" w:fill="F2F5FA"/>
          </w:tcPr>
          <w:p>
            <w:pPr>
              <w:spacing w:after="40"/>
            </w:pPr>
            <w:r/>
            <w:r>
              <w:rPr>
                <w:rFonts w:ascii="Times New Roman" w:hAnsi="Times New Roman"/>
                <w:sz w:val="18"/>
              </w:rPr>
              <w:t>G10</w:t>
            </w:r>
          </w:p>
        </w:tc>
        <w:tc>
          <w:tcPr>
            <w:tcW w:type="dxa" w:w="2448"/>
            <w:shd w:val="clear" w:color="auto" w:fill="F2F5FA"/>
          </w:tcPr>
          <w:p>
            <w:pPr>
              <w:spacing w:after="40"/>
            </w:pPr>
            <w:r/>
            <w:r>
              <w:rPr>
                <w:rFonts w:ascii="Times New Roman" w:hAnsi="Times New Roman"/>
                <w:sz w:val="18"/>
              </w:rPr>
              <w:t>Weak feature engineering; raw columns used as-is</w:t>
            </w:r>
          </w:p>
        </w:tc>
        <w:tc>
          <w:tcPr>
            <w:tcW w:type="dxa" w:w="3024"/>
            <w:shd w:val="clear" w:color="auto" w:fill="F2F5FA"/>
          </w:tcPr>
          <w:p>
            <w:pPr>
              <w:spacing w:after="40"/>
            </w:pPr>
            <w:r/>
            <w:r>
              <w:rPr>
                <w:rFonts w:ascii="Times New Roman" w:hAnsi="Times New Roman"/>
                <w:sz w:val="18"/>
              </w:rPr>
              <w:t>Few studies construct business-meaningful derived variables</w:t>
            </w:r>
          </w:p>
        </w:tc>
        <w:tc>
          <w:tcPr>
            <w:tcW w:type="dxa" w:w="3024"/>
            <w:shd w:val="clear" w:color="auto" w:fill="F2F5FA"/>
          </w:tcPr>
          <w:p>
            <w:pPr>
              <w:spacing w:after="40"/>
            </w:pPr>
            <w:r/>
            <w:r>
              <w:rPr>
                <w:rFonts w:ascii="Times New Roman" w:hAnsi="Times New Roman"/>
                <w:sz w:val="18"/>
              </w:rPr>
              <w:t>Domain-driven features (tenure bands, ARPU, charge ratio, service count, contract risk flag) are engineered and evaluated</w:t>
            </w:r>
          </w:p>
        </w:tc>
      </w:tr>
    </w:tbl>
    <w:p>
      <w:pPr>
        <w:spacing w:after="80"/>
      </w:pPr>
    </w:p>
    <w:p>
      <w:r>
        <w:br w:type="page"/>
      </w:r>
    </w:p>
    <w:p>
      <w:pPr>
        <w:pStyle w:val="Heading1"/>
      </w:pPr>
      <w:r>
        <w:t>11. Proposed System</w:t>
      </w:r>
    </w:p>
    <w:p>
      <w:pPr>
        <w:spacing w:after="120"/>
        <w:jc w:val="both"/>
      </w:pPr>
      <w:r>
        <w:rPr>
          <w:b w:val="0"/>
          <w:i w:val="0"/>
        </w:rPr>
        <w:t>The proposed system is an integrated Customer Churn Prediction and Retention Analytics platform. It is deliberately designed as a business decision-support product rather than a standalone classifier: every analytical component terminates in an output that a retention manager can act upon. The platform is organised into eleven functional modules spanning four architectural layers.</w:t>
      </w:r>
    </w:p>
    <w:p>
      <w:pPr>
        <w:pStyle w:val="Heading2"/>
      </w:pPr>
      <w:r>
        <w:t>11.1 Functional Modules</w:t>
      </w:r>
    </w:p>
    <w:tbl>
      <w:tblPr>
        <w:tblStyle w:val="TableGrid"/>
        <w:tblW w:type="auto" w:w="0"/>
        <w:jc w:val="center"/>
        <w:tblLayout w:type="fixed"/>
        <w:tblLook w:firstColumn="1" w:firstRow="1" w:lastColumn="0" w:lastRow="0" w:noHBand="0" w:noVBand="1" w:val="04A0"/>
        <w:tblLayout w:type="fixed"/>
      </w:tblPr>
      <w:tblGrid>
        <w:gridCol w:w="792"/>
        <w:gridCol w:w="2160"/>
        <w:gridCol w:w="3384"/>
        <w:gridCol w:w="2880"/>
      </w:tblGrid>
      <w:tr>
        <w:tc>
          <w:tcPr>
            <w:tcW w:type="dxa" w:w="792"/>
            <w:shd w:val="clear" w:color="auto" w:fill="1F3864"/>
          </w:tcPr>
          <w:p>
            <w:pPr>
              <w:spacing w:after="40"/>
            </w:pPr>
            <w:r/>
            <w:r>
              <w:rPr>
                <w:rFonts w:ascii="Calibri" w:hAnsi="Calibri"/>
                <w:b/>
                <w:color w:val="FFFFFF"/>
                <w:sz w:val="18"/>
              </w:rPr>
              <w:t>Module</w:t>
            </w:r>
          </w:p>
        </w:tc>
        <w:tc>
          <w:tcPr>
            <w:tcW w:type="dxa" w:w="2160"/>
            <w:shd w:val="clear" w:color="auto" w:fill="1F3864"/>
          </w:tcPr>
          <w:p>
            <w:pPr>
              <w:spacing w:after="40"/>
            </w:pPr>
            <w:r/>
            <w:r>
              <w:rPr>
                <w:rFonts w:ascii="Calibri" w:hAnsi="Calibri"/>
                <w:b/>
                <w:color w:val="FFFFFF"/>
                <w:sz w:val="18"/>
              </w:rPr>
              <w:t>Component</w:t>
            </w:r>
          </w:p>
        </w:tc>
        <w:tc>
          <w:tcPr>
            <w:tcW w:type="dxa" w:w="3384"/>
            <w:shd w:val="clear" w:color="auto" w:fill="1F3864"/>
          </w:tcPr>
          <w:p>
            <w:pPr>
              <w:spacing w:after="40"/>
            </w:pPr>
            <w:r/>
            <w:r>
              <w:rPr>
                <w:rFonts w:ascii="Calibri" w:hAnsi="Calibri"/>
                <w:b/>
                <w:color w:val="FFFFFF"/>
                <w:sz w:val="18"/>
              </w:rPr>
              <w:t>Function</w:t>
            </w:r>
          </w:p>
        </w:tc>
        <w:tc>
          <w:tcPr>
            <w:tcW w:type="dxa" w:w="2880"/>
            <w:shd w:val="clear" w:color="auto" w:fill="1F3864"/>
          </w:tcPr>
          <w:p>
            <w:pPr>
              <w:spacing w:after="40"/>
            </w:pPr>
            <w:r/>
            <w:r>
              <w:rPr>
                <w:rFonts w:ascii="Calibri" w:hAnsi="Calibri"/>
                <w:b/>
                <w:color w:val="FFFFFF"/>
                <w:sz w:val="18"/>
              </w:rPr>
              <w:t>Business Output</w:t>
            </w:r>
          </w:p>
        </w:tc>
      </w:tr>
      <w:tr>
        <w:tc>
          <w:tcPr>
            <w:tcW w:type="dxa" w:w="792"/>
          </w:tcPr>
          <w:p>
            <w:pPr>
              <w:spacing w:after="40"/>
            </w:pPr>
            <w:r/>
            <w:r>
              <w:rPr>
                <w:rFonts w:ascii="Times New Roman" w:hAnsi="Times New Roman"/>
                <w:sz w:val="18"/>
              </w:rPr>
              <w:t>M1</w:t>
            </w:r>
          </w:p>
        </w:tc>
        <w:tc>
          <w:tcPr>
            <w:tcW w:type="dxa" w:w="2160"/>
          </w:tcPr>
          <w:p>
            <w:pPr>
              <w:spacing w:after="40"/>
            </w:pPr>
            <w:r/>
            <w:r>
              <w:rPr>
                <w:rFonts w:ascii="Times New Roman" w:hAnsi="Times New Roman"/>
                <w:sz w:val="18"/>
              </w:rPr>
              <w:t>Data Cleaning &amp; Exploratory Analysis</w:t>
            </w:r>
          </w:p>
        </w:tc>
        <w:tc>
          <w:tcPr>
            <w:tcW w:type="dxa" w:w="3384"/>
          </w:tcPr>
          <w:p>
            <w:pPr>
              <w:spacing w:after="40"/>
            </w:pPr>
            <w:r/>
            <w:r>
              <w:rPr>
                <w:rFonts w:ascii="Times New Roman" w:hAnsi="Times New Roman"/>
                <w:sz w:val="18"/>
              </w:rPr>
              <w:t>Missing-value treatment, type correction, duplicate and outlier handling; univariate, bivariate and correlation analysis of churn behaviour</w:t>
            </w:r>
          </w:p>
        </w:tc>
        <w:tc>
          <w:tcPr>
            <w:tcW w:type="dxa" w:w="2880"/>
          </w:tcPr>
          <w:p>
            <w:pPr>
              <w:spacing w:after="40"/>
            </w:pPr>
            <w:r/>
            <w:r>
              <w:rPr>
                <w:rFonts w:ascii="Times New Roman" w:hAnsi="Times New Roman"/>
                <w:sz w:val="18"/>
              </w:rPr>
              <w:t>A verified analysis-ready dataset and a baseline churn profile of the customer base</w:t>
            </w:r>
          </w:p>
        </w:tc>
      </w:tr>
      <w:tr>
        <w:tc>
          <w:tcPr>
            <w:tcW w:type="dxa" w:w="792"/>
            <w:shd w:val="clear" w:color="auto" w:fill="F2F5FA"/>
          </w:tcPr>
          <w:p>
            <w:pPr>
              <w:spacing w:after="40"/>
            </w:pPr>
            <w:r/>
            <w:r>
              <w:rPr>
                <w:rFonts w:ascii="Times New Roman" w:hAnsi="Times New Roman"/>
                <w:sz w:val="18"/>
              </w:rPr>
              <w:t>M2</w:t>
            </w:r>
          </w:p>
        </w:tc>
        <w:tc>
          <w:tcPr>
            <w:tcW w:type="dxa" w:w="2160"/>
            <w:shd w:val="clear" w:color="auto" w:fill="F2F5FA"/>
          </w:tcPr>
          <w:p>
            <w:pPr>
              <w:spacing w:after="40"/>
            </w:pPr>
            <w:r/>
            <w:r>
              <w:rPr>
                <w:rFonts w:ascii="Times New Roman" w:hAnsi="Times New Roman"/>
                <w:sz w:val="18"/>
              </w:rPr>
              <w:t>Customer Segmentation</w:t>
            </w:r>
          </w:p>
        </w:tc>
        <w:tc>
          <w:tcPr>
            <w:tcW w:type="dxa" w:w="3384"/>
            <w:shd w:val="clear" w:color="auto" w:fill="F2F5FA"/>
          </w:tcPr>
          <w:p>
            <w:pPr>
              <w:spacing w:after="40"/>
            </w:pPr>
            <w:r/>
            <w:r>
              <w:rPr>
                <w:rFonts w:ascii="Times New Roman" w:hAnsi="Times New Roman"/>
                <w:sz w:val="18"/>
              </w:rPr>
              <w:t>K-Means clustering over RFM-style value indicators (tenure, service count, monthly charges) with elbow/silhouette-based selection of K</w:t>
            </w:r>
          </w:p>
        </w:tc>
        <w:tc>
          <w:tcPr>
            <w:tcW w:type="dxa" w:w="2880"/>
            <w:shd w:val="clear" w:color="auto" w:fill="F2F5FA"/>
          </w:tcPr>
          <w:p>
            <w:pPr>
              <w:spacing w:after="40"/>
            </w:pPr>
            <w:r/>
            <w:r>
              <w:rPr>
                <w:rFonts w:ascii="Times New Roman" w:hAnsi="Times New Roman"/>
                <w:sz w:val="18"/>
              </w:rPr>
              <w:t>Named customer segments (e.g. 'High-Value Loyal', 'New &amp; Fragile', 'Low-Value Price-Sensitive') with segment-wise churn rates</w:t>
            </w:r>
          </w:p>
        </w:tc>
      </w:tr>
      <w:tr>
        <w:tc>
          <w:tcPr>
            <w:tcW w:type="dxa" w:w="792"/>
          </w:tcPr>
          <w:p>
            <w:pPr>
              <w:spacing w:after="40"/>
            </w:pPr>
            <w:r/>
            <w:r>
              <w:rPr>
                <w:rFonts w:ascii="Times New Roman" w:hAnsi="Times New Roman"/>
                <w:sz w:val="18"/>
              </w:rPr>
              <w:t>M3</w:t>
            </w:r>
          </w:p>
        </w:tc>
        <w:tc>
          <w:tcPr>
            <w:tcW w:type="dxa" w:w="2160"/>
          </w:tcPr>
          <w:p>
            <w:pPr>
              <w:spacing w:after="40"/>
            </w:pPr>
            <w:r/>
            <w:r>
              <w:rPr>
                <w:rFonts w:ascii="Times New Roman" w:hAnsi="Times New Roman"/>
                <w:sz w:val="18"/>
              </w:rPr>
              <w:t>Feature Engineering</w:t>
            </w:r>
          </w:p>
        </w:tc>
        <w:tc>
          <w:tcPr>
            <w:tcW w:type="dxa" w:w="3384"/>
          </w:tcPr>
          <w:p>
            <w:pPr>
              <w:spacing w:after="40"/>
            </w:pPr>
            <w:r/>
            <w:r>
              <w:rPr>
                <w:rFonts w:ascii="Times New Roman" w:hAnsi="Times New Roman"/>
                <w:sz w:val="18"/>
              </w:rPr>
              <w:t>Construction of tenure bands, ARPU, total-to-monthly charge ratio, subscribed-service count, contract risk flag and value tier; encoding and scaling</w:t>
            </w:r>
          </w:p>
        </w:tc>
        <w:tc>
          <w:tcPr>
            <w:tcW w:type="dxa" w:w="2880"/>
          </w:tcPr>
          <w:p>
            <w:pPr>
              <w:spacing w:after="40"/>
            </w:pPr>
            <w:r/>
            <w:r>
              <w:rPr>
                <w:rFonts w:ascii="Times New Roman" w:hAnsi="Times New Roman"/>
                <w:sz w:val="18"/>
              </w:rPr>
              <w:t>A richer, business-interpretable feature set that improves model lift</w:t>
            </w:r>
          </w:p>
        </w:tc>
      </w:tr>
      <w:tr>
        <w:tc>
          <w:tcPr>
            <w:tcW w:type="dxa" w:w="792"/>
            <w:shd w:val="clear" w:color="auto" w:fill="F2F5FA"/>
          </w:tcPr>
          <w:p>
            <w:pPr>
              <w:spacing w:after="40"/>
            </w:pPr>
            <w:r/>
            <w:r>
              <w:rPr>
                <w:rFonts w:ascii="Times New Roman" w:hAnsi="Times New Roman"/>
                <w:sz w:val="18"/>
              </w:rPr>
              <w:t>M4</w:t>
            </w:r>
          </w:p>
        </w:tc>
        <w:tc>
          <w:tcPr>
            <w:tcW w:type="dxa" w:w="2160"/>
            <w:shd w:val="clear" w:color="auto" w:fill="F2F5FA"/>
          </w:tcPr>
          <w:p>
            <w:pPr>
              <w:spacing w:after="40"/>
            </w:pPr>
            <w:r/>
            <w:r>
              <w:rPr>
                <w:rFonts w:ascii="Times New Roman" w:hAnsi="Times New Roman"/>
                <w:sz w:val="18"/>
              </w:rPr>
              <w:t>Logistic Regression Model</w:t>
            </w:r>
          </w:p>
        </w:tc>
        <w:tc>
          <w:tcPr>
            <w:tcW w:type="dxa" w:w="3384"/>
            <w:shd w:val="clear" w:color="auto" w:fill="F2F5FA"/>
          </w:tcPr>
          <w:p>
            <w:pPr>
              <w:spacing w:after="40"/>
            </w:pPr>
            <w:r/>
            <w:r>
              <w:rPr>
                <w:rFonts w:ascii="Times New Roman" w:hAnsi="Times New Roman"/>
                <w:sz w:val="18"/>
              </w:rPr>
              <w:t>Regularised logistic regression as an interpretable, well-calibrated benchmark</w:t>
            </w:r>
          </w:p>
        </w:tc>
        <w:tc>
          <w:tcPr>
            <w:tcW w:type="dxa" w:w="2880"/>
            <w:shd w:val="clear" w:color="auto" w:fill="F2F5FA"/>
          </w:tcPr>
          <w:p>
            <w:pPr>
              <w:spacing w:after="40"/>
            </w:pPr>
            <w:r/>
            <w:r>
              <w:rPr>
                <w:rFonts w:ascii="Times New Roman" w:hAnsi="Times New Roman"/>
                <w:sz w:val="18"/>
              </w:rPr>
              <w:t>Transparent odds-ratio view of which attributes raise or lower churn odds</w:t>
            </w:r>
          </w:p>
        </w:tc>
      </w:tr>
      <w:tr>
        <w:tc>
          <w:tcPr>
            <w:tcW w:type="dxa" w:w="792"/>
          </w:tcPr>
          <w:p>
            <w:pPr>
              <w:spacing w:after="40"/>
            </w:pPr>
            <w:r/>
            <w:r>
              <w:rPr>
                <w:rFonts w:ascii="Times New Roman" w:hAnsi="Times New Roman"/>
                <w:sz w:val="18"/>
              </w:rPr>
              <w:t>M5</w:t>
            </w:r>
          </w:p>
        </w:tc>
        <w:tc>
          <w:tcPr>
            <w:tcW w:type="dxa" w:w="2160"/>
          </w:tcPr>
          <w:p>
            <w:pPr>
              <w:spacing w:after="40"/>
            </w:pPr>
            <w:r/>
            <w:r>
              <w:rPr>
                <w:rFonts w:ascii="Times New Roman" w:hAnsi="Times New Roman"/>
                <w:sz w:val="18"/>
              </w:rPr>
              <w:t>Random Forest / XGBoost Models</w:t>
            </w:r>
          </w:p>
        </w:tc>
        <w:tc>
          <w:tcPr>
            <w:tcW w:type="dxa" w:w="3384"/>
          </w:tcPr>
          <w:p>
            <w:pPr>
              <w:spacing w:after="40"/>
            </w:pPr>
            <w:r/>
            <w:r>
              <w:rPr>
                <w:rFonts w:ascii="Times New Roman" w:hAnsi="Times New Roman"/>
                <w:sz w:val="18"/>
              </w:rPr>
              <w:t>Bagged and gradient-boosted tree ensembles with hyperparameter tuning and class weighting</w:t>
            </w:r>
          </w:p>
        </w:tc>
        <w:tc>
          <w:tcPr>
            <w:tcW w:type="dxa" w:w="2880"/>
          </w:tcPr>
          <w:p>
            <w:pPr>
              <w:spacing w:after="40"/>
            </w:pPr>
            <w:r/>
            <w:r>
              <w:rPr>
                <w:rFonts w:ascii="Times New Roman" w:hAnsi="Times New Roman"/>
                <w:sz w:val="18"/>
              </w:rPr>
              <w:t>High-accuracy churn detection capturing non-linear behavioural interactions</w:t>
            </w:r>
          </w:p>
        </w:tc>
      </w:tr>
      <w:tr>
        <w:tc>
          <w:tcPr>
            <w:tcW w:type="dxa" w:w="792"/>
            <w:shd w:val="clear" w:color="auto" w:fill="F2F5FA"/>
          </w:tcPr>
          <w:p>
            <w:pPr>
              <w:spacing w:after="40"/>
            </w:pPr>
            <w:r/>
            <w:r>
              <w:rPr>
                <w:rFonts w:ascii="Times New Roman" w:hAnsi="Times New Roman"/>
                <w:sz w:val="18"/>
              </w:rPr>
              <w:t>M6</w:t>
            </w:r>
          </w:p>
        </w:tc>
        <w:tc>
          <w:tcPr>
            <w:tcW w:type="dxa" w:w="2160"/>
            <w:shd w:val="clear" w:color="auto" w:fill="F2F5FA"/>
          </w:tcPr>
          <w:p>
            <w:pPr>
              <w:spacing w:after="40"/>
            </w:pPr>
            <w:r/>
            <w:r>
              <w:rPr>
                <w:rFonts w:ascii="Times New Roman" w:hAnsi="Times New Roman"/>
                <w:sz w:val="18"/>
              </w:rPr>
              <w:t>Model Comparison Engine</w:t>
            </w:r>
          </w:p>
        </w:tc>
        <w:tc>
          <w:tcPr>
            <w:tcW w:type="dxa" w:w="3384"/>
            <w:shd w:val="clear" w:color="auto" w:fill="F2F5FA"/>
          </w:tcPr>
          <w:p>
            <w:pPr>
              <w:spacing w:after="40"/>
            </w:pPr>
            <w:r/>
            <w:r>
              <w:rPr>
                <w:rFonts w:ascii="Times New Roman" w:hAnsi="Times New Roman"/>
                <w:sz w:val="18"/>
              </w:rPr>
              <w:t>Uniform evaluation of all models on accuracy, precision, recall, F1, ROC-AUC and PR-AUC with cross-validation</w:t>
            </w:r>
          </w:p>
        </w:tc>
        <w:tc>
          <w:tcPr>
            <w:tcW w:type="dxa" w:w="2880"/>
            <w:shd w:val="clear" w:color="auto" w:fill="F2F5FA"/>
          </w:tcPr>
          <w:p>
            <w:pPr>
              <w:spacing w:after="40"/>
            </w:pPr>
            <w:r/>
            <w:r>
              <w:rPr>
                <w:rFonts w:ascii="Times New Roman" w:hAnsi="Times New Roman"/>
                <w:sz w:val="18"/>
              </w:rPr>
              <w:t>Evidence-based selection and justification of the production model</w:t>
            </w:r>
          </w:p>
        </w:tc>
      </w:tr>
      <w:tr>
        <w:tc>
          <w:tcPr>
            <w:tcW w:type="dxa" w:w="792"/>
          </w:tcPr>
          <w:p>
            <w:pPr>
              <w:spacing w:after="40"/>
            </w:pPr>
            <w:r/>
            <w:r>
              <w:rPr>
                <w:rFonts w:ascii="Times New Roman" w:hAnsi="Times New Roman"/>
                <w:sz w:val="18"/>
              </w:rPr>
              <w:t>M7</w:t>
            </w:r>
          </w:p>
        </w:tc>
        <w:tc>
          <w:tcPr>
            <w:tcW w:type="dxa" w:w="2160"/>
          </w:tcPr>
          <w:p>
            <w:pPr>
              <w:spacing w:after="40"/>
            </w:pPr>
            <w:r/>
            <w:r>
              <w:rPr>
                <w:rFonts w:ascii="Times New Roman" w:hAnsi="Times New Roman"/>
                <w:sz w:val="18"/>
              </w:rPr>
              <w:t>Churn Probability Prediction</w:t>
            </w:r>
          </w:p>
        </w:tc>
        <w:tc>
          <w:tcPr>
            <w:tcW w:type="dxa" w:w="3384"/>
          </w:tcPr>
          <w:p>
            <w:pPr>
              <w:spacing w:after="40"/>
            </w:pPr>
            <w:r/>
            <w:r>
              <w:rPr>
                <w:rFonts w:ascii="Times New Roman" w:hAnsi="Times New Roman"/>
                <w:sz w:val="18"/>
              </w:rPr>
              <w:t>Calibrated probability output p(churn) for each customer, banded into Low (&lt;0.35), Medium (0.35–0.65) and High (&gt;0.65) risk tiers</w:t>
            </w:r>
          </w:p>
        </w:tc>
        <w:tc>
          <w:tcPr>
            <w:tcW w:type="dxa" w:w="2880"/>
          </w:tcPr>
          <w:p>
            <w:pPr>
              <w:spacing w:after="40"/>
            </w:pPr>
            <w:r/>
            <w:r>
              <w:rPr>
                <w:rFonts w:ascii="Times New Roman" w:hAnsi="Times New Roman"/>
                <w:sz w:val="18"/>
              </w:rPr>
              <w:t>A ranked, prioritised watch-list instead of an undifferentiated yes/no flag</w:t>
            </w:r>
          </w:p>
        </w:tc>
      </w:tr>
      <w:tr>
        <w:tc>
          <w:tcPr>
            <w:tcW w:type="dxa" w:w="792"/>
            <w:shd w:val="clear" w:color="auto" w:fill="F2F5FA"/>
          </w:tcPr>
          <w:p>
            <w:pPr>
              <w:spacing w:after="40"/>
            </w:pPr>
            <w:r/>
            <w:r>
              <w:rPr>
                <w:rFonts w:ascii="Times New Roman" w:hAnsi="Times New Roman"/>
                <w:sz w:val="18"/>
              </w:rPr>
              <w:t>M8</w:t>
            </w:r>
          </w:p>
        </w:tc>
        <w:tc>
          <w:tcPr>
            <w:tcW w:type="dxa" w:w="2160"/>
            <w:shd w:val="clear" w:color="auto" w:fill="F2F5FA"/>
          </w:tcPr>
          <w:p>
            <w:pPr>
              <w:spacing w:after="40"/>
            </w:pPr>
            <w:r/>
            <w:r>
              <w:rPr>
                <w:rFonts w:ascii="Times New Roman" w:hAnsi="Times New Roman"/>
                <w:sz w:val="18"/>
              </w:rPr>
              <w:t>Explainable AI / Feature Importance</w:t>
            </w:r>
          </w:p>
        </w:tc>
        <w:tc>
          <w:tcPr>
            <w:tcW w:type="dxa" w:w="3384"/>
            <w:shd w:val="clear" w:color="auto" w:fill="F2F5FA"/>
          </w:tcPr>
          <w:p>
            <w:pPr>
              <w:spacing w:after="40"/>
            </w:pPr>
            <w:r/>
            <w:r>
              <w:rPr>
                <w:rFonts w:ascii="Times New Roman" w:hAnsi="Times New Roman"/>
                <w:sz w:val="18"/>
              </w:rPr>
              <w:t>Global feature importance plus SHAP local attribution converted into plain-language reason codes</w:t>
            </w:r>
          </w:p>
        </w:tc>
        <w:tc>
          <w:tcPr>
            <w:tcW w:type="dxa" w:w="2880"/>
            <w:shd w:val="clear" w:color="auto" w:fill="F2F5FA"/>
          </w:tcPr>
          <w:p>
            <w:pPr>
              <w:spacing w:after="40"/>
            </w:pPr>
            <w:r/>
            <w:r>
              <w:rPr>
                <w:rFonts w:ascii="Times New Roman" w:hAnsi="Times New Roman"/>
                <w:sz w:val="18"/>
              </w:rPr>
              <w:t>A defensible 'why' for every flagged customer, enabling a targeted rather than generic response</w:t>
            </w:r>
          </w:p>
        </w:tc>
      </w:tr>
      <w:tr>
        <w:tc>
          <w:tcPr>
            <w:tcW w:type="dxa" w:w="792"/>
          </w:tcPr>
          <w:p>
            <w:pPr>
              <w:spacing w:after="40"/>
            </w:pPr>
            <w:r/>
            <w:r>
              <w:rPr>
                <w:rFonts w:ascii="Times New Roman" w:hAnsi="Times New Roman"/>
                <w:sz w:val="18"/>
              </w:rPr>
              <w:t>M9</w:t>
            </w:r>
          </w:p>
        </w:tc>
        <w:tc>
          <w:tcPr>
            <w:tcW w:type="dxa" w:w="2160"/>
          </w:tcPr>
          <w:p>
            <w:pPr>
              <w:spacing w:after="40"/>
            </w:pPr>
            <w:r/>
            <w:r>
              <w:rPr>
                <w:rFonts w:ascii="Times New Roman" w:hAnsi="Times New Roman"/>
                <w:sz w:val="18"/>
              </w:rPr>
              <w:t>High-Risk Customer Dashboard</w:t>
            </w:r>
          </w:p>
        </w:tc>
        <w:tc>
          <w:tcPr>
            <w:tcW w:type="dxa" w:w="3384"/>
          </w:tcPr>
          <w:p>
            <w:pPr>
              <w:spacing w:after="40"/>
            </w:pPr>
            <w:r/>
            <w:r>
              <w:rPr>
                <w:rFonts w:ascii="Times New Roman" w:hAnsi="Times New Roman"/>
                <w:sz w:val="18"/>
              </w:rPr>
              <w:t>Streamlit interface with KPI tiles, segment charts, model comparison plots, sortable high-risk table, drill-down explanation panel and CSV export</w:t>
            </w:r>
          </w:p>
        </w:tc>
        <w:tc>
          <w:tcPr>
            <w:tcW w:type="dxa" w:w="2880"/>
          </w:tcPr>
          <w:p>
            <w:pPr>
              <w:spacing w:after="40"/>
            </w:pPr>
            <w:r/>
            <w:r>
              <w:rPr>
                <w:rFonts w:ascii="Times New Roman" w:hAnsi="Times New Roman"/>
                <w:sz w:val="18"/>
              </w:rPr>
              <w:t>An operational daily work-list for the retention team</w:t>
            </w:r>
          </w:p>
        </w:tc>
      </w:tr>
      <w:tr>
        <w:tc>
          <w:tcPr>
            <w:tcW w:type="dxa" w:w="792"/>
            <w:shd w:val="clear" w:color="auto" w:fill="F2F5FA"/>
          </w:tcPr>
          <w:p>
            <w:pPr>
              <w:spacing w:after="40"/>
            </w:pPr>
            <w:r/>
            <w:r>
              <w:rPr>
                <w:rFonts w:ascii="Times New Roman" w:hAnsi="Times New Roman"/>
                <w:sz w:val="18"/>
              </w:rPr>
              <w:t>M10</w:t>
            </w:r>
          </w:p>
        </w:tc>
        <w:tc>
          <w:tcPr>
            <w:tcW w:type="dxa" w:w="2160"/>
            <w:shd w:val="clear" w:color="auto" w:fill="F2F5FA"/>
          </w:tcPr>
          <w:p>
            <w:pPr>
              <w:spacing w:after="40"/>
            </w:pPr>
            <w:r/>
            <w:r>
              <w:rPr>
                <w:rFonts w:ascii="Times New Roman" w:hAnsi="Times New Roman"/>
                <w:sz w:val="18"/>
              </w:rPr>
              <w:t>Business Recommendation Engine</w:t>
            </w:r>
          </w:p>
        </w:tc>
        <w:tc>
          <w:tcPr>
            <w:tcW w:type="dxa" w:w="3384"/>
            <w:shd w:val="clear" w:color="auto" w:fill="F2F5FA"/>
          </w:tcPr>
          <w:p>
            <w:pPr>
              <w:spacing w:after="40"/>
            </w:pPr>
            <w:r/>
            <w:r>
              <w:rPr>
                <w:rFonts w:ascii="Times New Roman" w:hAnsi="Times New Roman"/>
                <w:sz w:val="18"/>
              </w:rPr>
              <w:t>Rule-based mapping from dominant SHAP drivers and customer segment to a specific retention intervention</w:t>
            </w:r>
          </w:p>
        </w:tc>
        <w:tc>
          <w:tcPr>
            <w:tcW w:type="dxa" w:w="2880"/>
            <w:shd w:val="clear" w:color="auto" w:fill="F2F5FA"/>
          </w:tcPr>
          <w:p>
            <w:pPr>
              <w:spacing w:after="40"/>
            </w:pPr>
            <w:r/>
            <w:r>
              <w:rPr>
                <w:rFonts w:ascii="Times New Roman" w:hAnsi="Times New Roman"/>
                <w:sz w:val="18"/>
              </w:rPr>
              <w:t>Concrete prescribed action per customer (contract upgrade offer, support intervention, loyalty reward, price re-plan)</w:t>
            </w:r>
          </w:p>
        </w:tc>
      </w:tr>
      <w:tr>
        <w:tc>
          <w:tcPr>
            <w:tcW w:type="dxa" w:w="792"/>
          </w:tcPr>
          <w:p>
            <w:pPr>
              <w:spacing w:after="40"/>
            </w:pPr>
            <w:r/>
            <w:r>
              <w:rPr>
                <w:rFonts w:ascii="Times New Roman" w:hAnsi="Times New Roman"/>
                <w:sz w:val="18"/>
              </w:rPr>
              <w:t>M11</w:t>
            </w:r>
          </w:p>
        </w:tc>
        <w:tc>
          <w:tcPr>
            <w:tcW w:type="dxa" w:w="2160"/>
          </w:tcPr>
          <w:p>
            <w:pPr>
              <w:spacing w:after="40"/>
            </w:pPr>
            <w:r/>
            <w:r>
              <w:rPr>
                <w:rFonts w:ascii="Times New Roman" w:hAnsi="Times New Roman"/>
                <w:sz w:val="18"/>
              </w:rPr>
              <w:t>Revenue &amp; Retention Impact Model</w:t>
            </w:r>
          </w:p>
        </w:tc>
        <w:tc>
          <w:tcPr>
            <w:tcW w:type="dxa" w:w="3384"/>
          </w:tcPr>
          <w:p>
            <w:pPr>
              <w:spacing w:after="40"/>
            </w:pPr>
            <w:r/>
            <w:r>
              <w:rPr>
                <w:rFonts w:ascii="Times New Roman" w:hAnsi="Times New Roman"/>
                <w:sz w:val="18"/>
              </w:rPr>
              <w:t>Computation of revenue at risk, expected saved revenue, campaign cost, net benefit, ROI and projected churn-rate reduction</w:t>
            </w:r>
          </w:p>
        </w:tc>
        <w:tc>
          <w:tcPr>
            <w:tcW w:type="dxa" w:w="2880"/>
          </w:tcPr>
          <w:p>
            <w:pPr>
              <w:spacing w:after="40"/>
            </w:pPr>
            <w:r/>
            <w:r>
              <w:rPr>
                <w:rFonts w:ascii="Times New Roman" w:hAnsi="Times New Roman"/>
                <w:sz w:val="18"/>
              </w:rPr>
              <w:t>A financial business case that management can approve and measure</w:t>
            </w:r>
          </w:p>
        </w:tc>
      </w:tr>
    </w:tbl>
    <w:p>
      <w:pPr>
        <w:spacing w:after="80"/>
      </w:pPr>
    </w:p>
    <w:p>
      <w:pPr>
        <w:pStyle w:val="Heading2"/>
      </w:pPr>
      <w:r>
        <w:t>11.2 Novelty of the Proposed System</w:t>
      </w:r>
    </w:p>
    <w:p>
      <w:pPr>
        <w:pStyle w:val="ListBullet"/>
        <w:spacing w:after="60"/>
        <w:jc w:val="both"/>
      </w:pPr>
      <w:r>
        <w:rPr>
          <w:b/>
        </w:rPr>
        <w:t xml:space="preserve">Unified pipeline — </w:t>
      </w:r>
      <w:r>
        <w:t>Segmentation, prediction, explanation, recommendation and financial quantification operate on one consistent data pipeline rather than as disconnected experiments.</w:t>
      </w:r>
    </w:p>
    <w:p>
      <w:pPr>
        <w:pStyle w:val="ListBullet"/>
        <w:spacing w:after="60"/>
        <w:jc w:val="both"/>
      </w:pPr>
      <w:r>
        <w:rPr>
          <w:b/>
        </w:rPr>
        <w:t xml:space="preserve">Probability-first design — </w:t>
      </w:r>
      <w:r>
        <w:t>Every downstream business decision is driven by a calibrated probability, not a hard label.</w:t>
      </w:r>
    </w:p>
    <w:p>
      <w:pPr>
        <w:pStyle w:val="ListBullet"/>
        <w:spacing w:after="60"/>
        <w:jc w:val="both"/>
      </w:pPr>
      <w:r>
        <w:rPr>
          <w:b/>
        </w:rPr>
        <w:t xml:space="preserve">Risk × Value prioritisation — </w:t>
      </w:r>
      <w:r>
        <w:t>At-risk customers are ranked by expected revenue at risk, so retention effort is allocated where it protects the most money.</w:t>
      </w:r>
    </w:p>
    <w:p>
      <w:pPr>
        <w:pStyle w:val="ListBullet"/>
        <w:spacing w:after="60"/>
        <w:jc w:val="both"/>
      </w:pPr>
      <w:r>
        <w:rPr>
          <w:b/>
        </w:rPr>
        <w:t xml:space="preserve">Explanation-driven prescription — </w:t>
      </w:r>
      <w:r>
        <w:t>Retention offers are selected from the customer's own dominant churn drivers rather than applied uniformly.</w:t>
      </w:r>
    </w:p>
    <w:p>
      <w:pPr>
        <w:pStyle w:val="ListBullet"/>
        <w:spacing w:after="60"/>
        <w:jc w:val="both"/>
      </w:pPr>
      <w:r>
        <w:rPr>
          <w:b/>
        </w:rPr>
        <w:t xml:space="preserve">Financially closed loop — </w:t>
      </w:r>
      <w:r>
        <w:t>The system reports the rupee value of the churn it expects to prevent and the ROI of the campaign required to prevent it.</w:t>
      </w:r>
    </w:p>
    <w:p>
      <w:pPr>
        <w:pStyle w:val="Heading1"/>
      </w:pPr>
      <w:r>
        <w:t>12. System Architecture</w:t>
      </w:r>
    </w:p>
    <w:p>
      <w:pPr>
        <w:spacing w:after="120"/>
        <w:jc w:val="both"/>
      </w:pPr>
      <w:r>
        <w:rPr>
          <w:b w:val="0"/>
          <w:i w:val="0"/>
        </w:rPr>
        <w:t>The system follows a four-layer architecture. The Data Layer ingests and stores customer records; the Data Preparation and Analytics Layer cleans, enriches and segments them; the Machine Learning and Explainability Layer trains, compares and interprets predictive models; and the Business Intelligence and Action Layer converts model output into risk scores, dashboards, recommendations and financial estimates that flow back to the business user.</w:t>
      </w:r>
    </w:p>
    <w:p>
      <w:pPr>
        <w:spacing w:before="160" w:after="40"/>
        <w:jc w:val="center"/>
      </w:pPr>
      <w:r>
        <w:drawing>
          <wp:inline xmlns:a="http://schemas.openxmlformats.org/drawingml/2006/main" xmlns:pic="http://schemas.openxmlformats.org/drawingml/2006/picture">
            <wp:extent cx="5852160" cy="3663706"/>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852160" cy="3663706"/>
                    </a:xfrm>
                    <a:prstGeom prst="rect"/>
                  </pic:spPr>
                </pic:pic>
              </a:graphicData>
            </a:graphic>
          </wp:inline>
        </w:drawing>
      </w:r>
    </w:p>
    <w:p>
      <w:pPr>
        <w:spacing w:after="200"/>
        <w:jc w:val="center"/>
      </w:pPr>
      <w:r>
        <w:rPr>
          <w:i/>
          <w:sz w:val="20"/>
        </w:rPr>
        <w:t>Figure 1: Four-layer system architecture of the churn prediction and retention analytics platform</w:t>
      </w:r>
    </w:p>
    <w:p>
      <w:pPr>
        <w:pStyle w:val="Heading2"/>
      </w:pPr>
      <w:r>
        <w:t>12.1 Layer Responsibilities</w:t>
      </w:r>
    </w:p>
    <w:tbl>
      <w:tblPr>
        <w:tblStyle w:val="TableGrid"/>
        <w:tblW w:type="auto" w:w="0"/>
        <w:jc w:val="center"/>
        <w:tblLayout w:type="fixed"/>
        <w:tblLook w:firstColumn="1" w:firstRow="1" w:lastColumn="0" w:lastRow="0" w:noHBand="0" w:noVBand="1" w:val="04A0"/>
        <w:tblLayout w:type="fixed"/>
      </w:tblPr>
      <w:tblGrid>
        <w:gridCol w:w="2304"/>
        <w:gridCol w:w="3456"/>
        <w:gridCol w:w="3456"/>
      </w:tblGrid>
      <w:tr>
        <w:tc>
          <w:tcPr>
            <w:tcW w:type="dxa" w:w="2304"/>
            <w:shd w:val="clear" w:color="auto" w:fill="1F3864"/>
          </w:tcPr>
          <w:p>
            <w:pPr>
              <w:spacing w:after="40"/>
            </w:pPr>
            <w:r/>
            <w:r>
              <w:rPr>
                <w:rFonts w:ascii="Calibri" w:hAnsi="Calibri"/>
                <w:b/>
                <w:color w:val="FFFFFF"/>
                <w:sz w:val="19"/>
              </w:rPr>
              <w:t>Layer</w:t>
            </w:r>
          </w:p>
        </w:tc>
        <w:tc>
          <w:tcPr>
            <w:tcW w:type="dxa" w:w="3456"/>
            <w:shd w:val="clear" w:color="auto" w:fill="1F3864"/>
          </w:tcPr>
          <w:p>
            <w:pPr>
              <w:spacing w:after="40"/>
            </w:pPr>
            <w:r/>
            <w:r>
              <w:rPr>
                <w:rFonts w:ascii="Calibri" w:hAnsi="Calibri"/>
                <w:b/>
                <w:color w:val="FFFFFF"/>
                <w:sz w:val="19"/>
              </w:rPr>
              <w:t>Components</w:t>
            </w:r>
          </w:p>
        </w:tc>
        <w:tc>
          <w:tcPr>
            <w:tcW w:type="dxa" w:w="3456"/>
            <w:shd w:val="clear" w:color="auto" w:fill="1F3864"/>
          </w:tcPr>
          <w:p>
            <w:pPr>
              <w:spacing w:after="40"/>
            </w:pPr>
            <w:r/>
            <w:r>
              <w:rPr>
                <w:rFonts w:ascii="Calibri" w:hAnsi="Calibri"/>
                <w:b/>
                <w:color w:val="FFFFFF"/>
                <w:sz w:val="19"/>
              </w:rPr>
              <w:t>Responsibility</w:t>
            </w:r>
          </w:p>
        </w:tc>
      </w:tr>
      <w:tr>
        <w:tc>
          <w:tcPr>
            <w:tcW w:type="dxa" w:w="2304"/>
          </w:tcPr>
          <w:p>
            <w:pPr>
              <w:spacing w:after="40"/>
            </w:pPr>
            <w:r/>
            <w:r>
              <w:rPr>
                <w:rFonts w:ascii="Times New Roman" w:hAnsi="Times New Roman"/>
                <w:sz w:val="19"/>
              </w:rPr>
              <w:t>Layer 1 — Data</w:t>
            </w:r>
          </w:p>
        </w:tc>
        <w:tc>
          <w:tcPr>
            <w:tcW w:type="dxa" w:w="3456"/>
          </w:tcPr>
          <w:p>
            <w:pPr>
              <w:spacing w:after="40"/>
            </w:pPr>
            <w:r/>
            <w:r>
              <w:rPr>
                <w:rFonts w:ascii="Times New Roman" w:hAnsi="Times New Roman"/>
                <w:sz w:val="19"/>
              </w:rPr>
              <w:t>Kaggle churn dataset / CRM export, billing and contract records, business user</w:t>
            </w:r>
          </w:p>
        </w:tc>
        <w:tc>
          <w:tcPr>
            <w:tcW w:type="dxa" w:w="3456"/>
          </w:tcPr>
          <w:p>
            <w:pPr>
              <w:spacing w:after="40"/>
            </w:pPr>
            <w:r/>
            <w:r>
              <w:rPr>
                <w:rFonts w:ascii="Times New Roman" w:hAnsi="Times New Roman"/>
                <w:sz w:val="19"/>
              </w:rPr>
              <w:t>Ingest structured customer data and accept user-uploaded files through the application</w:t>
            </w:r>
          </w:p>
        </w:tc>
      </w:tr>
      <w:tr>
        <w:tc>
          <w:tcPr>
            <w:tcW w:type="dxa" w:w="2304"/>
            <w:shd w:val="clear" w:color="auto" w:fill="F2F5FA"/>
          </w:tcPr>
          <w:p>
            <w:pPr>
              <w:spacing w:after="40"/>
            </w:pPr>
            <w:r/>
            <w:r>
              <w:rPr>
                <w:rFonts w:ascii="Times New Roman" w:hAnsi="Times New Roman"/>
                <w:sz w:val="19"/>
              </w:rPr>
              <w:t>Layer 2 — Data Preparation &amp; Analytics</w:t>
            </w:r>
          </w:p>
        </w:tc>
        <w:tc>
          <w:tcPr>
            <w:tcW w:type="dxa" w:w="3456"/>
            <w:shd w:val="clear" w:color="auto" w:fill="F2F5FA"/>
          </w:tcPr>
          <w:p>
            <w:pPr>
              <w:spacing w:after="40"/>
            </w:pPr>
            <w:r/>
            <w:r>
              <w:rPr>
                <w:rFonts w:ascii="Times New Roman" w:hAnsi="Times New Roman"/>
                <w:sz w:val="19"/>
              </w:rPr>
              <w:t>Data cleaning and EDA, feature engineering, K-Means customer segmentation</w:t>
            </w:r>
          </w:p>
        </w:tc>
        <w:tc>
          <w:tcPr>
            <w:tcW w:type="dxa" w:w="3456"/>
            <w:shd w:val="clear" w:color="auto" w:fill="F2F5FA"/>
          </w:tcPr>
          <w:p>
            <w:pPr>
              <w:spacing w:after="40"/>
            </w:pPr>
            <w:r/>
            <w:r>
              <w:rPr>
                <w:rFonts w:ascii="Times New Roman" w:hAnsi="Times New Roman"/>
                <w:sz w:val="19"/>
              </w:rPr>
              <w:t>Produce an analysis-ready, feature-enriched and segmented customer table</w:t>
            </w:r>
          </w:p>
        </w:tc>
      </w:tr>
      <w:tr>
        <w:tc>
          <w:tcPr>
            <w:tcW w:type="dxa" w:w="2304"/>
          </w:tcPr>
          <w:p>
            <w:pPr>
              <w:spacing w:after="40"/>
            </w:pPr>
            <w:r/>
            <w:r>
              <w:rPr>
                <w:rFonts w:ascii="Times New Roman" w:hAnsi="Times New Roman"/>
                <w:sz w:val="19"/>
              </w:rPr>
              <w:t>Layer 3 — ML &amp; Explainability</w:t>
            </w:r>
          </w:p>
        </w:tc>
        <w:tc>
          <w:tcPr>
            <w:tcW w:type="dxa" w:w="3456"/>
          </w:tcPr>
          <w:p>
            <w:pPr>
              <w:spacing w:after="40"/>
            </w:pPr>
            <w:r/>
            <w:r>
              <w:rPr>
                <w:rFonts w:ascii="Times New Roman" w:hAnsi="Times New Roman"/>
                <w:sz w:val="19"/>
              </w:rPr>
              <w:t>Model training (LR, RF, XGBoost, SVM), model comparison, SHAP-based XAI</w:t>
            </w:r>
          </w:p>
        </w:tc>
        <w:tc>
          <w:tcPr>
            <w:tcW w:type="dxa" w:w="3456"/>
          </w:tcPr>
          <w:p>
            <w:pPr>
              <w:spacing w:after="40"/>
            </w:pPr>
            <w:r/>
            <w:r>
              <w:rPr>
                <w:rFonts w:ascii="Times New Roman" w:hAnsi="Times New Roman"/>
                <w:sz w:val="19"/>
              </w:rPr>
              <w:t>Train and benchmark models, select the best performer and generate global and local explanations</w:t>
            </w:r>
          </w:p>
        </w:tc>
      </w:tr>
      <w:tr>
        <w:tc>
          <w:tcPr>
            <w:tcW w:type="dxa" w:w="2304"/>
            <w:shd w:val="clear" w:color="auto" w:fill="F2F5FA"/>
          </w:tcPr>
          <w:p>
            <w:pPr>
              <w:spacing w:after="40"/>
            </w:pPr>
            <w:r/>
            <w:r>
              <w:rPr>
                <w:rFonts w:ascii="Times New Roman" w:hAnsi="Times New Roman"/>
                <w:sz w:val="19"/>
              </w:rPr>
              <w:t>Layer 4 — Business Intelligence &amp; Action</w:t>
            </w:r>
          </w:p>
        </w:tc>
        <w:tc>
          <w:tcPr>
            <w:tcW w:type="dxa" w:w="3456"/>
            <w:shd w:val="clear" w:color="auto" w:fill="F2F5FA"/>
          </w:tcPr>
          <w:p>
            <w:pPr>
              <w:spacing w:after="40"/>
            </w:pPr>
            <w:r/>
            <w:r>
              <w:rPr>
                <w:rFonts w:ascii="Times New Roman" w:hAnsi="Times New Roman"/>
                <w:sz w:val="19"/>
              </w:rPr>
              <w:t>Churn probability engine, Streamlit dashboard, business outcome module</w:t>
            </w:r>
          </w:p>
        </w:tc>
        <w:tc>
          <w:tcPr>
            <w:tcW w:type="dxa" w:w="3456"/>
            <w:shd w:val="clear" w:color="auto" w:fill="F2F5FA"/>
          </w:tcPr>
          <w:p>
            <w:pPr>
              <w:spacing w:after="40"/>
            </w:pPr>
            <w:r/>
            <w:r>
              <w:rPr>
                <w:rFonts w:ascii="Times New Roman" w:hAnsi="Times New Roman"/>
                <w:sz w:val="19"/>
              </w:rPr>
              <w:t>Score, rank, visualise, recommend and quantify the financial impact of retention actions</w:t>
            </w:r>
          </w:p>
        </w:tc>
      </w:tr>
    </w:tbl>
    <w:p>
      <w:pPr>
        <w:spacing w:after="80"/>
      </w:pPr>
    </w:p>
    <w:p>
      <w:r>
        <w:br w:type="page"/>
      </w:r>
    </w:p>
    <w:p>
      <w:pPr>
        <w:pStyle w:val="Heading1"/>
      </w:pPr>
      <w:r>
        <w:t>13. Detailed Methodology</w:t>
      </w:r>
    </w:p>
    <w:p>
      <w:pPr>
        <w:spacing w:after="120"/>
        <w:jc w:val="both"/>
      </w:pPr>
      <w:r>
        <w:rPr>
          <w:b w:val="0"/>
          <w:i w:val="0"/>
        </w:rPr>
        <w:t>The project follows a comparative-analytics research methodology executed in nine sequential phases. The complete workflow is shown in Figure 2.</w:t>
      </w:r>
    </w:p>
    <w:p>
      <w:pPr>
        <w:spacing w:before="160" w:after="40"/>
        <w:jc w:val="center"/>
      </w:pPr>
      <w:r>
        <w:drawing>
          <wp:inline xmlns:a="http://schemas.openxmlformats.org/drawingml/2006/main" xmlns:pic="http://schemas.openxmlformats.org/drawingml/2006/picture">
            <wp:extent cx="3383280" cy="6694206"/>
            <wp:docPr id="2" name="Picture 2"/>
            <wp:cNvGraphicFramePr>
              <a:graphicFrameLocks noChangeAspect="1"/>
            </wp:cNvGraphicFramePr>
            <a:graphic>
              <a:graphicData uri="http://schemas.openxmlformats.org/drawingml/2006/picture">
                <pic:pic>
                  <pic:nvPicPr>
                    <pic:cNvPr id="0" name="fig2_workflow.png"/>
                    <pic:cNvPicPr/>
                  </pic:nvPicPr>
                  <pic:blipFill>
                    <a:blip r:embed="rId10"/>
                    <a:stretch>
                      <a:fillRect/>
                    </a:stretch>
                  </pic:blipFill>
                  <pic:spPr>
                    <a:xfrm>
                      <a:off x="0" y="0"/>
                      <a:ext cx="3383280" cy="6694206"/>
                    </a:xfrm>
                    <a:prstGeom prst="rect"/>
                  </pic:spPr>
                </pic:pic>
              </a:graphicData>
            </a:graphic>
          </wp:inline>
        </w:drawing>
      </w:r>
    </w:p>
    <w:p>
      <w:pPr>
        <w:spacing w:after="200"/>
        <w:jc w:val="center"/>
      </w:pPr>
      <w:r>
        <w:rPr>
          <w:i/>
          <w:sz w:val="20"/>
        </w:rPr>
        <w:t>Figure 2: End-to-end project workflow from raw data to quantified business recommendation</w:t>
      </w:r>
    </w:p>
    <w:p>
      <w:pPr>
        <w:pStyle w:val="Heading2"/>
      </w:pPr>
      <w:r>
        <w:t>13.1 Phase 1 — Data Collection and Understanding</w:t>
      </w:r>
    </w:p>
    <w:p>
      <w:pPr>
        <w:pStyle w:val="ListBullet"/>
        <w:spacing w:after="60"/>
        <w:jc w:val="both"/>
      </w:pPr>
      <w:r>
        <w:t>Acquire the public customer churn dataset (approximately 7,000 customer records, 20+ attributes) covering demographics, subscribed services, contract terms, billing information and the churn label.</w:t>
      </w:r>
    </w:p>
    <w:p>
      <w:pPr>
        <w:pStyle w:val="ListBullet"/>
        <w:spacing w:after="60"/>
        <w:jc w:val="both"/>
      </w:pPr>
      <w:r>
        <w:t>Profile the dataset: record count, attribute types, cardinality of categorical variables, and the baseline churn rate (approximately 26.5% in the reference dataset).</w:t>
      </w:r>
    </w:p>
    <w:p>
      <w:pPr>
        <w:pStyle w:val="ListBullet"/>
        <w:spacing w:after="60"/>
        <w:jc w:val="both"/>
      </w:pPr>
      <w:r>
        <w:t>Define the target variable (Churn: Yes = 1, No = 0) and separate identifier columns from predictors.</w:t>
      </w:r>
    </w:p>
    <w:p>
      <w:pPr>
        <w:pStyle w:val="Heading2"/>
      </w:pPr>
      <w:r>
        <w:t>13.2 Phase 2 — Data Cleaning</w:t>
      </w:r>
    </w:p>
    <w:p>
      <w:pPr>
        <w:pStyle w:val="ListBullet"/>
        <w:spacing w:after="60"/>
        <w:jc w:val="both"/>
      </w:pPr>
      <w:r>
        <w:t>Replace blank strings with null values and convert incorrectly typed numeric columns (notably TotalCharges, which is stored as text) into numeric form.</w:t>
      </w:r>
    </w:p>
    <w:p>
      <w:pPr>
        <w:pStyle w:val="ListBullet"/>
        <w:spacing w:after="60"/>
        <w:jc w:val="both"/>
      </w:pPr>
      <w:r>
        <w:t>Impute or remove records with missing values; blank TotalCharges entries correspond to newly joined customers with zero tenure and are handled explicitly rather than dropped blindly.</w:t>
      </w:r>
    </w:p>
    <w:p>
      <w:pPr>
        <w:pStyle w:val="ListBullet"/>
        <w:spacing w:after="60"/>
        <w:jc w:val="both"/>
      </w:pPr>
      <w:r>
        <w:t>Remove duplicate customer records and validate value ranges for tenure and charges.</w:t>
      </w:r>
    </w:p>
    <w:p>
      <w:pPr>
        <w:pStyle w:val="ListBullet"/>
        <w:spacing w:after="60"/>
        <w:jc w:val="both"/>
      </w:pPr>
      <w:r>
        <w:t>Detect outliers using the IQR method and treat them by capping rather than deletion to preserve rare but genuine high-value customers.</w:t>
      </w:r>
    </w:p>
    <w:p>
      <w:pPr>
        <w:pStyle w:val="ListBullet"/>
        <w:spacing w:after="60"/>
        <w:jc w:val="both"/>
      </w:pPr>
      <w:r>
        <w:t>Standardise categorical labels (for example, unifying 'No internet service' and 'No' where semantically equivalent).</w:t>
      </w:r>
    </w:p>
    <w:p>
      <w:pPr>
        <w:pStyle w:val="Heading2"/>
      </w:pPr>
      <w:r>
        <w:t>13.3 Phase 3 — Exploratory Data Analysis (EDA)</w:t>
      </w:r>
    </w:p>
    <w:p>
      <w:pPr>
        <w:pStyle w:val="ListBullet"/>
        <w:spacing w:after="60"/>
        <w:jc w:val="both"/>
      </w:pPr>
      <w:r>
        <w:rPr>
          <w:b/>
        </w:rPr>
        <w:t xml:space="preserve">Univariate analysis — </w:t>
      </w:r>
      <w:r>
        <w:t>Distribution of churn, tenure, monthly charges and contract types.</w:t>
      </w:r>
    </w:p>
    <w:p>
      <w:pPr>
        <w:pStyle w:val="ListBullet"/>
        <w:spacing w:after="60"/>
        <w:jc w:val="both"/>
      </w:pPr>
      <w:r>
        <w:rPr>
          <w:b/>
        </w:rPr>
        <w:t xml:space="preserve">Bivariate analysis — </w:t>
      </w:r>
      <w:r>
        <w:t>Churn rate by contract type, payment method, internet service, senior-citizen status and tech-support subscription.</w:t>
      </w:r>
    </w:p>
    <w:p>
      <w:pPr>
        <w:pStyle w:val="ListBullet"/>
        <w:spacing w:after="60"/>
        <w:jc w:val="both"/>
      </w:pPr>
      <w:r>
        <w:rPr>
          <w:b/>
        </w:rPr>
        <w:t xml:space="preserve">Correlation analysis — </w:t>
      </w:r>
      <w:r>
        <w:t>Heatmap of numerical attributes to detect multicollinearity (for example between tenure and total charges).</w:t>
      </w:r>
    </w:p>
    <w:p>
      <w:pPr>
        <w:pStyle w:val="ListBullet"/>
        <w:spacing w:after="60"/>
        <w:jc w:val="both"/>
      </w:pPr>
      <w:r>
        <w:rPr>
          <w:b/>
        </w:rPr>
        <w:t xml:space="preserve">Behavioural analysis — </w:t>
      </w:r>
      <w:r>
        <w:t>Tenure versus monthly charges scatter coloured by churn, revealing the high-charge / low-tenure danger zone.</w:t>
      </w:r>
    </w:p>
    <w:p>
      <w:pPr>
        <w:pStyle w:val="ListBullet"/>
        <w:spacing w:after="60"/>
        <w:jc w:val="both"/>
      </w:pPr>
      <w:r>
        <w:rPr>
          <w:b/>
        </w:rPr>
        <w:t xml:space="preserve">Cohort analysis — </w:t>
      </w:r>
      <w:r>
        <w:t>Churn rate by tenure band to quantify early-life churn risk.</w:t>
      </w:r>
    </w:p>
    <w:p>
      <w:pPr>
        <w:pStyle w:val="Heading2"/>
      </w:pPr>
      <w:r>
        <w:t>13.4 Phase 4 — Feature Engineering</w:t>
      </w:r>
    </w:p>
    <w:tbl>
      <w:tblPr>
        <w:tblStyle w:val="TableGrid"/>
        <w:tblW w:type="auto" w:w="0"/>
        <w:jc w:val="center"/>
        <w:tblLayout w:type="fixed"/>
        <w:tblLook w:firstColumn="1" w:firstRow="1" w:lastColumn="0" w:lastRow="0" w:noHBand="0" w:noVBand="1" w:val="04A0"/>
        <w:tblLayout w:type="fixed"/>
      </w:tblPr>
      <w:tblGrid>
        <w:gridCol w:w="1944"/>
        <w:gridCol w:w="3384"/>
        <w:gridCol w:w="3888"/>
      </w:tblGrid>
      <w:tr>
        <w:tc>
          <w:tcPr>
            <w:tcW w:type="dxa" w:w="1944"/>
            <w:shd w:val="clear" w:color="auto" w:fill="1F3864"/>
          </w:tcPr>
          <w:p>
            <w:pPr>
              <w:spacing w:after="40"/>
            </w:pPr>
            <w:r/>
            <w:r>
              <w:rPr>
                <w:rFonts w:ascii="Calibri" w:hAnsi="Calibri"/>
                <w:b/>
                <w:color w:val="FFFFFF"/>
                <w:sz w:val="19"/>
              </w:rPr>
              <w:t>Engineered Feature</w:t>
            </w:r>
          </w:p>
        </w:tc>
        <w:tc>
          <w:tcPr>
            <w:tcW w:type="dxa" w:w="3384"/>
            <w:shd w:val="clear" w:color="auto" w:fill="1F3864"/>
          </w:tcPr>
          <w:p>
            <w:pPr>
              <w:spacing w:after="40"/>
            </w:pPr>
            <w:r/>
            <w:r>
              <w:rPr>
                <w:rFonts w:ascii="Calibri" w:hAnsi="Calibri"/>
                <w:b/>
                <w:color w:val="FFFFFF"/>
                <w:sz w:val="19"/>
              </w:rPr>
              <w:t>Definition</w:t>
            </w:r>
          </w:p>
        </w:tc>
        <w:tc>
          <w:tcPr>
            <w:tcW w:type="dxa" w:w="3888"/>
            <w:shd w:val="clear" w:color="auto" w:fill="1F3864"/>
          </w:tcPr>
          <w:p>
            <w:pPr>
              <w:spacing w:after="40"/>
            </w:pPr>
            <w:r/>
            <w:r>
              <w:rPr>
                <w:rFonts w:ascii="Calibri" w:hAnsi="Calibri"/>
                <w:b/>
                <w:color w:val="FFFFFF"/>
                <w:sz w:val="19"/>
              </w:rPr>
              <w:t>Business Rationale</w:t>
            </w:r>
          </w:p>
        </w:tc>
      </w:tr>
      <w:tr>
        <w:tc>
          <w:tcPr>
            <w:tcW w:type="dxa" w:w="1944"/>
          </w:tcPr>
          <w:p>
            <w:pPr>
              <w:spacing w:after="40"/>
            </w:pPr>
            <w:r/>
            <w:r>
              <w:rPr>
                <w:rFonts w:ascii="Times New Roman" w:hAnsi="Times New Roman"/>
                <w:sz w:val="19"/>
              </w:rPr>
              <w:t>Tenure Band</w:t>
            </w:r>
          </w:p>
        </w:tc>
        <w:tc>
          <w:tcPr>
            <w:tcW w:type="dxa" w:w="3384"/>
          </w:tcPr>
          <w:p>
            <w:pPr>
              <w:spacing w:after="40"/>
            </w:pPr>
            <w:r/>
            <w:r>
              <w:rPr>
                <w:rFonts w:ascii="Times New Roman" w:hAnsi="Times New Roman"/>
                <w:sz w:val="19"/>
              </w:rPr>
              <w:t>Tenure bucketed into 0–6, 7–12, 13–24, 25–48 and 49+ months</w:t>
            </w:r>
          </w:p>
        </w:tc>
        <w:tc>
          <w:tcPr>
            <w:tcW w:type="dxa" w:w="3888"/>
          </w:tcPr>
          <w:p>
            <w:pPr>
              <w:spacing w:after="40"/>
            </w:pPr>
            <w:r/>
            <w:r>
              <w:rPr>
                <w:rFonts w:ascii="Times New Roman" w:hAnsi="Times New Roman"/>
                <w:sz w:val="19"/>
              </w:rPr>
              <w:t>Churn risk is highly concentrated in the first year; banding captures this non-linearity explicitly</w:t>
            </w:r>
          </w:p>
        </w:tc>
      </w:tr>
      <w:tr>
        <w:tc>
          <w:tcPr>
            <w:tcW w:type="dxa" w:w="1944"/>
            <w:shd w:val="clear" w:color="auto" w:fill="F2F5FA"/>
          </w:tcPr>
          <w:p>
            <w:pPr>
              <w:spacing w:after="40"/>
            </w:pPr>
            <w:r/>
            <w:r>
              <w:rPr>
                <w:rFonts w:ascii="Times New Roman" w:hAnsi="Times New Roman"/>
                <w:sz w:val="19"/>
              </w:rPr>
              <w:t>ARPU (Average Revenue Per User)</w:t>
            </w:r>
          </w:p>
        </w:tc>
        <w:tc>
          <w:tcPr>
            <w:tcW w:type="dxa" w:w="3384"/>
            <w:shd w:val="clear" w:color="auto" w:fill="F2F5FA"/>
          </w:tcPr>
          <w:p>
            <w:pPr>
              <w:spacing w:after="40"/>
            </w:pPr>
            <w:r/>
            <w:r>
              <w:rPr>
                <w:rFonts w:ascii="Times New Roman" w:hAnsi="Times New Roman"/>
                <w:sz w:val="19"/>
              </w:rPr>
              <w:t>TotalCharges ÷ tenure (guarded for zero tenure)</w:t>
            </w:r>
          </w:p>
        </w:tc>
        <w:tc>
          <w:tcPr>
            <w:tcW w:type="dxa" w:w="3888"/>
            <w:shd w:val="clear" w:color="auto" w:fill="F2F5FA"/>
          </w:tcPr>
          <w:p>
            <w:pPr>
              <w:spacing w:after="40"/>
            </w:pPr>
            <w:r/>
            <w:r>
              <w:rPr>
                <w:rFonts w:ascii="Times New Roman" w:hAnsi="Times New Roman"/>
                <w:sz w:val="19"/>
              </w:rPr>
              <w:t>Normalised revenue contribution; a direct proxy for customer value</w:t>
            </w:r>
          </w:p>
        </w:tc>
      </w:tr>
      <w:tr>
        <w:tc>
          <w:tcPr>
            <w:tcW w:type="dxa" w:w="1944"/>
          </w:tcPr>
          <w:p>
            <w:pPr>
              <w:spacing w:after="40"/>
            </w:pPr>
            <w:r/>
            <w:r>
              <w:rPr>
                <w:rFonts w:ascii="Times New Roman" w:hAnsi="Times New Roman"/>
                <w:sz w:val="19"/>
              </w:rPr>
              <w:t>Charge Ratio</w:t>
            </w:r>
          </w:p>
        </w:tc>
        <w:tc>
          <w:tcPr>
            <w:tcW w:type="dxa" w:w="3384"/>
          </w:tcPr>
          <w:p>
            <w:pPr>
              <w:spacing w:after="40"/>
            </w:pPr>
            <w:r/>
            <w:r>
              <w:rPr>
                <w:rFonts w:ascii="Times New Roman" w:hAnsi="Times New Roman"/>
                <w:sz w:val="19"/>
              </w:rPr>
              <w:t>MonthlyCharges ÷ (TotalCharges ÷ tenure)</w:t>
            </w:r>
          </w:p>
        </w:tc>
        <w:tc>
          <w:tcPr>
            <w:tcW w:type="dxa" w:w="3888"/>
          </w:tcPr>
          <w:p>
            <w:pPr>
              <w:spacing w:after="40"/>
            </w:pPr>
            <w:r/>
            <w:r>
              <w:rPr>
                <w:rFonts w:ascii="Times New Roman" w:hAnsi="Times New Roman"/>
                <w:sz w:val="19"/>
              </w:rPr>
              <w:t>Detects recent price increases — a well-known churn trigger</w:t>
            </w:r>
          </w:p>
        </w:tc>
      </w:tr>
      <w:tr>
        <w:tc>
          <w:tcPr>
            <w:tcW w:type="dxa" w:w="1944"/>
            <w:shd w:val="clear" w:color="auto" w:fill="F2F5FA"/>
          </w:tcPr>
          <w:p>
            <w:pPr>
              <w:spacing w:after="40"/>
            </w:pPr>
            <w:r/>
            <w:r>
              <w:rPr>
                <w:rFonts w:ascii="Times New Roman" w:hAnsi="Times New Roman"/>
                <w:sz w:val="19"/>
              </w:rPr>
              <w:t>Service Count</w:t>
            </w:r>
          </w:p>
        </w:tc>
        <w:tc>
          <w:tcPr>
            <w:tcW w:type="dxa" w:w="3384"/>
            <w:shd w:val="clear" w:color="auto" w:fill="F2F5FA"/>
          </w:tcPr>
          <w:p>
            <w:pPr>
              <w:spacing w:after="40"/>
            </w:pPr>
            <w:r/>
            <w:r>
              <w:rPr>
                <w:rFonts w:ascii="Times New Roman" w:hAnsi="Times New Roman"/>
                <w:sz w:val="19"/>
              </w:rPr>
              <w:t>Count of subscribed add-on services (security, backup, protection, support, streaming)</w:t>
            </w:r>
          </w:p>
        </w:tc>
        <w:tc>
          <w:tcPr>
            <w:tcW w:type="dxa" w:w="3888"/>
            <w:shd w:val="clear" w:color="auto" w:fill="F2F5FA"/>
          </w:tcPr>
          <w:p>
            <w:pPr>
              <w:spacing w:after="40"/>
            </w:pPr>
            <w:r/>
            <w:r>
              <w:rPr>
                <w:rFonts w:ascii="Times New Roman" w:hAnsi="Times New Roman"/>
                <w:sz w:val="19"/>
              </w:rPr>
              <w:t>Higher service adoption increases switching cost and correlates with loyalty</w:t>
            </w:r>
          </w:p>
        </w:tc>
      </w:tr>
      <w:tr>
        <w:tc>
          <w:tcPr>
            <w:tcW w:type="dxa" w:w="1944"/>
          </w:tcPr>
          <w:p>
            <w:pPr>
              <w:spacing w:after="40"/>
            </w:pPr>
            <w:r/>
            <w:r>
              <w:rPr>
                <w:rFonts w:ascii="Times New Roman" w:hAnsi="Times New Roman"/>
                <w:sz w:val="19"/>
              </w:rPr>
              <w:t>Contract Risk Flag</w:t>
            </w:r>
          </w:p>
        </w:tc>
        <w:tc>
          <w:tcPr>
            <w:tcW w:type="dxa" w:w="3384"/>
          </w:tcPr>
          <w:p>
            <w:pPr>
              <w:spacing w:after="40"/>
            </w:pPr>
            <w:r/>
            <w:r>
              <w:rPr>
                <w:rFonts w:ascii="Times New Roman" w:hAnsi="Times New Roman"/>
                <w:sz w:val="19"/>
              </w:rPr>
              <w:t>Binary flag for month-to-month contracts</w:t>
            </w:r>
          </w:p>
        </w:tc>
        <w:tc>
          <w:tcPr>
            <w:tcW w:type="dxa" w:w="3888"/>
          </w:tcPr>
          <w:p>
            <w:pPr>
              <w:spacing w:after="40"/>
            </w:pPr>
            <w:r/>
            <w:r>
              <w:rPr>
                <w:rFonts w:ascii="Times New Roman" w:hAnsi="Times New Roman"/>
                <w:sz w:val="19"/>
              </w:rPr>
              <w:t>Commitment length is consistently the single strongest churn predictor in the literature</w:t>
            </w:r>
          </w:p>
        </w:tc>
      </w:tr>
      <w:tr>
        <w:tc>
          <w:tcPr>
            <w:tcW w:type="dxa" w:w="1944"/>
            <w:shd w:val="clear" w:color="auto" w:fill="F2F5FA"/>
          </w:tcPr>
          <w:p>
            <w:pPr>
              <w:spacing w:after="40"/>
            </w:pPr>
            <w:r/>
            <w:r>
              <w:rPr>
                <w:rFonts w:ascii="Times New Roman" w:hAnsi="Times New Roman"/>
                <w:sz w:val="19"/>
              </w:rPr>
              <w:t>Value Tier</w:t>
            </w:r>
          </w:p>
        </w:tc>
        <w:tc>
          <w:tcPr>
            <w:tcW w:type="dxa" w:w="3384"/>
            <w:shd w:val="clear" w:color="auto" w:fill="F2F5FA"/>
          </w:tcPr>
          <w:p>
            <w:pPr>
              <w:spacing w:after="40"/>
            </w:pPr>
            <w:r/>
            <w:r>
              <w:rPr>
                <w:rFonts w:ascii="Times New Roman" w:hAnsi="Times New Roman"/>
                <w:sz w:val="19"/>
              </w:rPr>
              <w:t>Quartile ranking of customers by ARPU</w:t>
            </w:r>
          </w:p>
        </w:tc>
        <w:tc>
          <w:tcPr>
            <w:tcW w:type="dxa" w:w="3888"/>
            <w:shd w:val="clear" w:color="auto" w:fill="F2F5FA"/>
          </w:tcPr>
          <w:p>
            <w:pPr>
              <w:spacing w:after="40"/>
            </w:pPr>
            <w:r/>
            <w:r>
              <w:rPr>
                <w:rFonts w:ascii="Times New Roman" w:hAnsi="Times New Roman"/>
                <w:sz w:val="19"/>
              </w:rPr>
              <w:t>Enables value-weighted prioritisation of retention effort</w:t>
            </w:r>
          </w:p>
        </w:tc>
      </w:tr>
      <w:tr>
        <w:tc>
          <w:tcPr>
            <w:tcW w:type="dxa" w:w="1944"/>
          </w:tcPr>
          <w:p>
            <w:pPr>
              <w:spacing w:after="40"/>
            </w:pPr>
            <w:r/>
            <w:r>
              <w:rPr>
                <w:rFonts w:ascii="Times New Roman" w:hAnsi="Times New Roman"/>
                <w:sz w:val="19"/>
              </w:rPr>
              <w:t>Auto-Pay Flag</w:t>
            </w:r>
          </w:p>
        </w:tc>
        <w:tc>
          <w:tcPr>
            <w:tcW w:type="dxa" w:w="3384"/>
          </w:tcPr>
          <w:p>
            <w:pPr>
              <w:spacing w:after="40"/>
            </w:pPr>
            <w:r/>
            <w:r>
              <w:rPr>
                <w:rFonts w:ascii="Times New Roman" w:hAnsi="Times New Roman"/>
                <w:sz w:val="19"/>
              </w:rPr>
              <w:t>Binary flag for automatic payment methods</w:t>
            </w:r>
          </w:p>
        </w:tc>
        <w:tc>
          <w:tcPr>
            <w:tcW w:type="dxa" w:w="3888"/>
          </w:tcPr>
          <w:p>
            <w:pPr>
              <w:spacing w:after="40"/>
            </w:pPr>
            <w:r/>
            <w:r>
              <w:rPr>
                <w:rFonts w:ascii="Times New Roman" w:hAnsi="Times New Roman"/>
                <w:sz w:val="19"/>
              </w:rPr>
              <w:t>Manual payment methods (notably electronic cheque) are associated with materially higher churn</w:t>
            </w:r>
          </w:p>
        </w:tc>
      </w:tr>
    </w:tbl>
    <w:p>
      <w:pPr>
        <w:spacing w:after="80"/>
      </w:pPr>
    </w:p>
    <w:p>
      <w:pPr>
        <w:spacing w:after="120"/>
        <w:jc w:val="both"/>
      </w:pPr>
      <w:r>
        <w:rPr>
          <w:b w:val="0"/>
          <w:i w:val="0"/>
        </w:rPr>
        <w:t>Categorical variables are encoded (one-hot encoding for nominal attributes, ordinal encoding where a natural order exists) and all numerical features are standardised using StandardScaler so that distance-based and regularised algorithms are not dominated by large-magnitude attributes.</w:t>
      </w:r>
    </w:p>
    <w:p>
      <w:pPr>
        <w:pStyle w:val="Heading2"/>
      </w:pPr>
      <w:r>
        <w:t>13.5 Phase 5 — Customer Segmentation</w:t>
      </w:r>
    </w:p>
    <w:p>
      <w:pPr>
        <w:pStyle w:val="ListBullet"/>
        <w:spacing w:after="60"/>
        <w:jc w:val="both"/>
      </w:pPr>
      <w:r>
        <w:t>Construct RFM-style proxies from the available attributes: tenure as a recency/longevity proxy, service count as a frequency/engagement proxy, and monthly charges as the monetary proxy.</w:t>
      </w:r>
    </w:p>
    <w:p>
      <w:pPr>
        <w:pStyle w:val="ListBullet"/>
        <w:spacing w:after="60"/>
        <w:jc w:val="both"/>
      </w:pPr>
      <w:r>
        <w:t>Standardise these three dimensions and apply K-Means clustering.</w:t>
      </w:r>
    </w:p>
    <w:p>
      <w:pPr>
        <w:pStyle w:val="ListBullet"/>
        <w:spacing w:after="60"/>
        <w:jc w:val="both"/>
      </w:pPr>
      <w:r>
        <w:t>Select the optimal number of clusters K using the elbow method on within-cluster sum of squares, confirmed by silhouette score (expected K in the range 3–5).</w:t>
      </w:r>
    </w:p>
    <w:p>
      <w:pPr>
        <w:pStyle w:val="ListBullet"/>
        <w:spacing w:after="60"/>
        <w:jc w:val="both"/>
      </w:pPr>
      <w:r>
        <w:t>Profile each cluster by size, mean tenure, mean monthly charges, service adoption, revenue contribution and observed churn rate.</w:t>
      </w:r>
    </w:p>
    <w:p>
      <w:pPr>
        <w:pStyle w:val="ListBullet"/>
        <w:spacing w:after="60"/>
        <w:jc w:val="both"/>
      </w:pPr>
      <w:r>
        <w:t>Assign business-readable names to the resulting segments, for example: 'High-Value Loyal', 'High-Value At-Risk', 'New &amp; Fragile', and 'Low-Value Price-Sensitive'.</w:t>
      </w:r>
    </w:p>
    <w:p>
      <w:pPr>
        <w:pStyle w:val="ListBullet"/>
        <w:spacing w:after="60"/>
        <w:jc w:val="both"/>
      </w:pPr>
      <w:r>
        <w:t>Append the segment label as an additional feature available to the predictive models and as a filter dimension in the dashboard.</w:t>
      </w:r>
    </w:p>
    <w:p>
      <w:pPr>
        <w:pStyle w:val="Heading2"/>
      </w:pPr>
      <w:r>
        <w:t>13.6 Phase 6 — Model Development</w:t>
      </w:r>
    </w:p>
    <w:tbl>
      <w:tblPr>
        <w:tblStyle w:val="TableGrid"/>
        <w:tblW w:type="auto" w:w="0"/>
        <w:jc w:val="center"/>
        <w:tblLayout w:type="fixed"/>
        <w:tblLook w:firstColumn="1" w:firstRow="1" w:lastColumn="0" w:lastRow="0" w:noHBand="0" w:noVBand="1" w:val="04A0"/>
        <w:tblLayout w:type="fixed"/>
      </w:tblPr>
      <w:tblGrid>
        <w:gridCol w:w="1872"/>
        <w:gridCol w:w="3744"/>
        <w:gridCol w:w="3600"/>
      </w:tblGrid>
      <w:tr>
        <w:tc>
          <w:tcPr>
            <w:tcW w:type="dxa" w:w="1872"/>
            <w:shd w:val="clear" w:color="auto" w:fill="1F3864"/>
          </w:tcPr>
          <w:p>
            <w:pPr>
              <w:spacing w:after="40"/>
            </w:pPr>
            <w:r/>
            <w:r>
              <w:rPr>
                <w:rFonts w:ascii="Calibri" w:hAnsi="Calibri"/>
                <w:b/>
                <w:color w:val="FFFFFF"/>
                <w:sz w:val="19"/>
              </w:rPr>
              <w:t>Model</w:t>
            </w:r>
          </w:p>
        </w:tc>
        <w:tc>
          <w:tcPr>
            <w:tcW w:type="dxa" w:w="3744"/>
            <w:shd w:val="clear" w:color="auto" w:fill="1F3864"/>
          </w:tcPr>
          <w:p>
            <w:pPr>
              <w:spacing w:after="40"/>
            </w:pPr>
            <w:r/>
            <w:r>
              <w:rPr>
                <w:rFonts w:ascii="Calibri" w:hAnsi="Calibri"/>
                <w:b/>
                <w:color w:val="FFFFFF"/>
                <w:sz w:val="19"/>
              </w:rPr>
              <w:t>Configuration</w:t>
            </w:r>
          </w:p>
        </w:tc>
        <w:tc>
          <w:tcPr>
            <w:tcW w:type="dxa" w:w="3600"/>
            <w:shd w:val="clear" w:color="auto" w:fill="1F3864"/>
          </w:tcPr>
          <w:p>
            <w:pPr>
              <w:spacing w:after="40"/>
            </w:pPr>
            <w:r/>
            <w:r>
              <w:rPr>
                <w:rFonts w:ascii="Calibri" w:hAnsi="Calibri"/>
                <w:b/>
                <w:color w:val="FFFFFF"/>
                <w:sz w:val="19"/>
              </w:rPr>
              <w:t>Purpose in the Study</w:t>
            </w:r>
          </w:p>
        </w:tc>
      </w:tr>
      <w:tr>
        <w:tc>
          <w:tcPr>
            <w:tcW w:type="dxa" w:w="1872"/>
          </w:tcPr>
          <w:p>
            <w:pPr>
              <w:spacing w:after="40"/>
            </w:pPr>
            <w:r/>
            <w:r>
              <w:rPr>
                <w:rFonts w:ascii="Times New Roman" w:hAnsi="Times New Roman"/>
                <w:sz w:val="19"/>
              </w:rPr>
              <w:t>Logistic Regression</w:t>
            </w:r>
          </w:p>
        </w:tc>
        <w:tc>
          <w:tcPr>
            <w:tcW w:type="dxa" w:w="3744"/>
          </w:tcPr>
          <w:p>
            <w:pPr>
              <w:spacing w:after="40"/>
            </w:pPr>
            <w:r/>
            <w:r>
              <w:rPr>
                <w:rFonts w:ascii="Times New Roman" w:hAnsi="Times New Roman"/>
                <w:sz w:val="19"/>
              </w:rPr>
              <w:t>L2 regularisation, balanced class weights, liblinear/lbfgs solver</w:t>
            </w:r>
          </w:p>
        </w:tc>
        <w:tc>
          <w:tcPr>
            <w:tcW w:type="dxa" w:w="3600"/>
          </w:tcPr>
          <w:p>
            <w:pPr>
              <w:spacing w:after="40"/>
            </w:pPr>
            <w:r/>
            <w:r>
              <w:rPr>
                <w:rFonts w:ascii="Times New Roman" w:hAnsi="Times New Roman"/>
                <w:sz w:val="19"/>
              </w:rPr>
              <w:t>Interpretable, well-calibrated benchmark; supplies odds-ratio interpretation of each driver</w:t>
            </w:r>
          </w:p>
        </w:tc>
      </w:tr>
      <w:tr>
        <w:tc>
          <w:tcPr>
            <w:tcW w:type="dxa" w:w="1872"/>
            <w:shd w:val="clear" w:color="auto" w:fill="F2F5FA"/>
          </w:tcPr>
          <w:p>
            <w:pPr>
              <w:spacing w:after="40"/>
            </w:pPr>
            <w:r/>
            <w:r>
              <w:rPr>
                <w:rFonts w:ascii="Times New Roman" w:hAnsi="Times New Roman"/>
                <w:sz w:val="19"/>
              </w:rPr>
              <w:t>Random Forest</w:t>
            </w:r>
          </w:p>
        </w:tc>
        <w:tc>
          <w:tcPr>
            <w:tcW w:type="dxa" w:w="3744"/>
            <w:shd w:val="clear" w:color="auto" w:fill="F2F5FA"/>
          </w:tcPr>
          <w:p>
            <w:pPr>
              <w:spacing w:after="40"/>
            </w:pPr>
            <w:r/>
            <w:r>
              <w:rPr>
                <w:rFonts w:ascii="Times New Roman" w:hAnsi="Times New Roman"/>
                <w:sz w:val="19"/>
              </w:rPr>
              <w:t>200 estimators, max depth 10, balanced class weights, fixed random state</w:t>
            </w:r>
          </w:p>
        </w:tc>
        <w:tc>
          <w:tcPr>
            <w:tcW w:type="dxa" w:w="3600"/>
            <w:shd w:val="clear" w:color="auto" w:fill="F2F5FA"/>
          </w:tcPr>
          <w:p>
            <w:pPr>
              <w:spacing w:after="40"/>
            </w:pPr>
            <w:r/>
            <w:r>
              <w:rPr>
                <w:rFonts w:ascii="Times New Roman" w:hAnsi="Times New Roman"/>
                <w:sz w:val="19"/>
              </w:rPr>
              <w:t>Robust bagged ensemble resistant to overfitting; provides impurity-based feature importance</w:t>
            </w:r>
          </w:p>
        </w:tc>
      </w:tr>
      <w:tr>
        <w:tc>
          <w:tcPr>
            <w:tcW w:type="dxa" w:w="1872"/>
          </w:tcPr>
          <w:p>
            <w:pPr>
              <w:spacing w:after="40"/>
            </w:pPr>
            <w:r/>
            <w:r>
              <w:rPr>
                <w:rFonts w:ascii="Times New Roman" w:hAnsi="Times New Roman"/>
                <w:sz w:val="19"/>
              </w:rPr>
              <w:t>XGBoost</w:t>
            </w:r>
          </w:p>
        </w:tc>
        <w:tc>
          <w:tcPr>
            <w:tcW w:type="dxa" w:w="3744"/>
          </w:tcPr>
          <w:p>
            <w:pPr>
              <w:spacing w:after="40"/>
            </w:pPr>
            <w:r/>
            <w:r>
              <w:rPr>
                <w:rFonts w:ascii="Times New Roman" w:hAnsi="Times New Roman"/>
                <w:sz w:val="19"/>
              </w:rPr>
              <w:t>200 estimators, learning rate 0.1, max depth 6, scale_pos_weight for imbalance, logloss evaluation metric</w:t>
            </w:r>
          </w:p>
        </w:tc>
        <w:tc>
          <w:tcPr>
            <w:tcW w:type="dxa" w:w="3600"/>
          </w:tcPr>
          <w:p>
            <w:pPr>
              <w:spacing w:after="40"/>
            </w:pPr>
            <w:r/>
            <w:r>
              <w:rPr>
                <w:rFonts w:ascii="Times New Roman" w:hAnsi="Times New Roman"/>
                <w:sz w:val="19"/>
              </w:rPr>
              <w:t>Gradient-boosted ensemble expected to deliver the highest discriminative performance</w:t>
            </w:r>
          </w:p>
        </w:tc>
      </w:tr>
      <w:tr>
        <w:tc>
          <w:tcPr>
            <w:tcW w:type="dxa" w:w="1872"/>
            <w:shd w:val="clear" w:color="auto" w:fill="F2F5FA"/>
          </w:tcPr>
          <w:p>
            <w:pPr>
              <w:spacing w:after="40"/>
            </w:pPr>
            <w:r/>
            <w:r>
              <w:rPr>
                <w:rFonts w:ascii="Times New Roman" w:hAnsi="Times New Roman"/>
                <w:sz w:val="19"/>
              </w:rPr>
              <w:t>Support Vector Machine</w:t>
            </w:r>
          </w:p>
        </w:tc>
        <w:tc>
          <w:tcPr>
            <w:tcW w:type="dxa" w:w="3744"/>
            <w:shd w:val="clear" w:color="auto" w:fill="F2F5FA"/>
          </w:tcPr>
          <w:p>
            <w:pPr>
              <w:spacing w:after="40"/>
            </w:pPr>
            <w:r/>
            <w:r>
              <w:rPr>
                <w:rFonts w:ascii="Times New Roman" w:hAnsi="Times New Roman"/>
                <w:sz w:val="19"/>
              </w:rPr>
              <w:t>RBF kernel, probability estimation enabled</w:t>
            </w:r>
          </w:p>
        </w:tc>
        <w:tc>
          <w:tcPr>
            <w:tcW w:type="dxa" w:w="3600"/>
            <w:shd w:val="clear" w:color="auto" w:fill="F2F5FA"/>
          </w:tcPr>
          <w:p>
            <w:pPr>
              <w:spacing w:after="40"/>
            </w:pPr>
            <w:r/>
            <w:r>
              <w:rPr>
                <w:rFonts w:ascii="Times New Roman" w:hAnsi="Times New Roman"/>
                <w:sz w:val="19"/>
              </w:rPr>
              <w:t>Margin-based baseline for comparison against tree ensembles</w:t>
            </w:r>
          </w:p>
        </w:tc>
      </w:tr>
    </w:tbl>
    <w:p>
      <w:pPr>
        <w:spacing w:after="80"/>
      </w:pPr>
    </w:p>
    <w:p>
      <w:pPr>
        <w:pStyle w:val="ListBullet"/>
        <w:spacing w:after="60"/>
        <w:jc w:val="both"/>
      </w:pPr>
      <w:r>
        <w:t>Split the data using a stratified 80/20 train–test split to preserve the churn class ratio.</w:t>
      </w:r>
    </w:p>
    <w:p>
      <w:pPr>
        <w:pStyle w:val="ListBullet"/>
        <w:spacing w:after="60"/>
        <w:jc w:val="both"/>
      </w:pPr>
      <w:r>
        <w:t>Apply 5-fold stratified cross-validation on the training set for reliable performance estimation.</w:t>
      </w:r>
    </w:p>
    <w:p>
      <w:pPr>
        <w:pStyle w:val="ListBullet"/>
        <w:spacing w:after="60"/>
        <w:jc w:val="both"/>
      </w:pPr>
      <w:r>
        <w:t>Tune hyperparameters using grid or randomised search optimised for ROC-AUC rather than accuracy.</w:t>
      </w:r>
    </w:p>
    <w:p>
      <w:pPr>
        <w:pStyle w:val="ListBullet"/>
        <w:spacing w:after="60"/>
        <w:jc w:val="both"/>
      </w:pPr>
      <w:r>
        <w:t>Address class imbalance through class weighting and, where beneficial, SMOTE-family resampling applied inside the cross-validation folds to avoid data leakage.</w:t>
      </w:r>
    </w:p>
    <w:p>
      <w:pPr>
        <w:pStyle w:val="Heading2"/>
      </w:pPr>
      <w:r>
        <w:t>13.7 Phase 7 — Model Evaluation and Comparison</w:t>
      </w:r>
    </w:p>
    <w:tbl>
      <w:tblPr>
        <w:tblStyle w:val="TableGrid"/>
        <w:tblW w:type="auto" w:w="0"/>
        <w:jc w:val="center"/>
        <w:tblLayout w:type="fixed"/>
        <w:tblLook w:firstColumn="1" w:firstRow="1" w:lastColumn="0" w:lastRow="0" w:noHBand="0" w:noVBand="1" w:val="04A0"/>
        <w:tblLayout w:type="fixed"/>
      </w:tblPr>
      <w:tblGrid>
        <w:gridCol w:w="1655"/>
        <w:gridCol w:w="3600"/>
        <w:gridCol w:w="3960"/>
      </w:tblGrid>
      <w:tr>
        <w:tc>
          <w:tcPr>
            <w:tcW w:type="dxa" w:w="1656"/>
            <w:shd w:val="clear" w:color="auto" w:fill="1F3864"/>
          </w:tcPr>
          <w:p>
            <w:pPr>
              <w:spacing w:after="40"/>
            </w:pPr>
            <w:r/>
            <w:r>
              <w:rPr>
                <w:rFonts w:ascii="Calibri" w:hAnsi="Calibri"/>
                <w:b/>
                <w:color w:val="FFFFFF"/>
                <w:sz w:val="19"/>
              </w:rPr>
              <w:t>Metric</w:t>
            </w:r>
          </w:p>
        </w:tc>
        <w:tc>
          <w:tcPr>
            <w:tcW w:type="dxa" w:w="3600"/>
            <w:shd w:val="clear" w:color="auto" w:fill="1F3864"/>
          </w:tcPr>
          <w:p>
            <w:pPr>
              <w:spacing w:after="40"/>
            </w:pPr>
            <w:r/>
            <w:r>
              <w:rPr>
                <w:rFonts w:ascii="Calibri" w:hAnsi="Calibri"/>
                <w:b/>
                <w:color w:val="FFFFFF"/>
                <w:sz w:val="19"/>
              </w:rPr>
              <w:t>Definition</w:t>
            </w:r>
          </w:p>
        </w:tc>
        <w:tc>
          <w:tcPr>
            <w:tcW w:type="dxa" w:w="3960"/>
            <w:shd w:val="clear" w:color="auto" w:fill="1F3864"/>
          </w:tcPr>
          <w:p>
            <w:pPr>
              <w:spacing w:after="40"/>
            </w:pPr>
            <w:r/>
            <w:r>
              <w:rPr>
                <w:rFonts w:ascii="Calibri" w:hAnsi="Calibri"/>
                <w:b/>
                <w:color w:val="FFFFFF"/>
                <w:sz w:val="19"/>
              </w:rPr>
              <w:t>Why It Matters for Churn</w:t>
            </w:r>
          </w:p>
        </w:tc>
      </w:tr>
      <w:tr>
        <w:tc>
          <w:tcPr>
            <w:tcW w:type="dxa" w:w="1656"/>
          </w:tcPr>
          <w:p>
            <w:pPr>
              <w:spacing w:after="40"/>
            </w:pPr>
            <w:r/>
            <w:r>
              <w:rPr>
                <w:rFonts w:ascii="Times New Roman" w:hAnsi="Times New Roman"/>
                <w:sz w:val="19"/>
              </w:rPr>
              <w:t>Accuracy</w:t>
            </w:r>
          </w:p>
        </w:tc>
        <w:tc>
          <w:tcPr>
            <w:tcW w:type="dxa" w:w="3600"/>
          </w:tcPr>
          <w:p>
            <w:pPr>
              <w:spacing w:after="40"/>
            </w:pPr>
            <w:r/>
            <w:r>
              <w:rPr>
                <w:rFonts w:ascii="Times New Roman" w:hAnsi="Times New Roman"/>
                <w:sz w:val="19"/>
              </w:rPr>
              <w:t>Proportion of all predictions that are correct</w:t>
            </w:r>
          </w:p>
        </w:tc>
        <w:tc>
          <w:tcPr>
            <w:tcW w:type="dxa" w:w="3960"/>
          </w:tcPr>
          <w:p>
            <w:pPr>
              <w:spacing w:after="40"/>
            </w:pPr>
            <w:r/>
            <w:r>
              <w:rPr>
                <w:rFonts w:ascii="Times New Roman" w:hAnsi="Times New Roman"/>
                <w:sz w:val="19"/>
              </w:rPr>
              <w:t>Headline measure, but misleading on its own under class imbalance</w:t>
            </w:r>
          </w:p>
        </w:tc>
      </w:tr>
      <w:tr>
        <w:tc>
          <w:tcPr>
            <w:tcW w:type="dxa" w:w="1656"/>
            <w:shd w:val="clear" w:color="auto" w:fill="F2F5FA"/>
          </w:tcPr>
          <w:p>
            <w:pPr>
              <w:spacing w:after="40"/>
            </w:pPr>
            <w:r/>
            <w:r>
              <w:rPr>
                <w:rFonts w:ascii="Times New Roman" w:hAnsi="Times New Roman"/>
                <w:sz w:val="19"/>
              </w:rPr>
              <w:t>Precision</w:t>
            </w:r>
          </w:p>
        </w:tc>
        <w:tc>
          <w:tcPr>
            <w:tcW w:type="dxa" w:w="3600"/>
            <w:shd w:val="clear" w:color="auto" w:fill="F2F5FA"/>
          </w:tcPr>
          <w:p>
            <w:pPr>
              <w:spacing w:after="40"/>
            </w:pPr>
            <w:r/>
            <w:r>
              <w:rPr>
                <w:rFonts w:ascii="Times New Roman" w:hAnsi="Times New Roman"/>
                <w:sz w:val="19"/>
              </w:rPr>
              <w:t>Of customers predicted to churn, the fraction that actually churn</w:t>
            </w:r>
          </w:p>
        </w:tc>
        <w:tc>
          <w:tcPr>
            <w:tcW w:type="dxa" w:w="3960"/>
            <w:shd w:val="clear" w:color="auto" w:fill="F2F5FA"/>
          </w:tcPr>
          <w:p>
            <w:pPr>
              <w:spacing w:after="40"/>
            </w:pPr>
            <w:r/>
            <w:r>
              <w:rPr>
                <w:rFonts w:ascii="Times New Roman" w:hAnsi="Times New Roman"/>
                <w:sz w:val="19"/>
              </w:rPr>
              <w:t>Controls wasted retention spend on false alarms</w:t>
            </w:r>
          </w:p>
        </w:tc>
      </w:tr>
      <w:tr>
        <w:tc>
          <w:tcPr>
            <w:tcW w:type="dxa" w:w="1656"/>
          </w:tcPr>
          <w:p>
            <w:pPr>
              <w:spacing w:after="40"/>
            </w:pPr>
            <w:r/>
            <w:r>
              <w:rPr>
                <w:rFonts w:ascii="Times New Roman" w:hAnsi="Times New Roman"/>
                <w:sz w:val="19"/>
              </w:rPr>
              <w:t>Recall (Sensitivity)</w:t>
            </w:r>
          </w:p>
        </w:tc>
        <w:tc>
          <w:tcPr>
            <w:tcW w:type="dxa" w:w="3600"/>
          </w:tcPr>
          <w:p>
            <w:pPr>
              <w:spacing w:after="40"/>
            </w:pPr>
            <w:r/>
            <w:r>
              <w:rPr>
                <w:rFonts w:ascii="Times New Roman" w:hAnsi="Times New Roman"/>
                <w:sz w:val="19"/>
              </w:rPr>
              <w:t>Of customers who actually churn, the fraction correctly identified</w:t>
            </w:r>
          </w:p>
        </w:tc>
        <w:tc>
          <w:tcPr>
            <w:tcW w:type="dxa" w:w="3960"/>
          </w:tcPr>
          <w:p>
            <w:pPr>
              <w:spacing w:after="40"/>
            </w:pPr>
            <w:r/>
            <w:r>
              <w:rPr>
                <w:rFonts w:ascii="Times New Roman" w:hAnsi="Times New Roman"/>
                <w:sz w:val="19"/>
              </w:rPr>
              <w:t>The critical metric — a missed churner is lost revenue</w:t>
            </w:r>
          </w:p>
        </w:tc>
      </w:tr>
      <w:tr>
        <w:tc>
          <w:tcPr>
            <w:tcW w:type="dxa" w:w="1656"/>
            <w:shd w:val="clear" w:color="auto" w:fill="F2F5FA"/>
          </w:tcPr>
          <w:p>
            <w:pPr>
              <w:spacing w:after="40"/>
            </w:pPr>
            <w:r/>
            <w:r>
              <w:rPr>
                <w:rFonts w:ascii="Times New Roman" w:hAnsi="Times New Roman"/>
                <w:sz w:val="19"/>
              </w:rPr>
              <w:t>F1-Score</w:t>
            </w:r>
          </w:p>
        </w:tc>
        <w:tc>
          <w:tcPr>
            <w:tcW w:type="dxa" w:w="3600"/>
            <w:shd w:val="clear" w:color="auto" w:fill="F2F5FA"/>
          </w:tcPr>
          <w:p>
            <w:pPr>
              <w:spacing w:after="40"/>
            </w:pPr>
            <w:r/>
            <w:r>
              <w:rPr>
                <w:rFonts w:ascii="Times New Roman" w:hAnsi="Times New Roman"/>
                <w:sz w:val="19"/>
              </w:rPr>
              <w:t>Harmonic mean of precision and recall</w:t>
            </w:r>
          </w:p>
        </w:tc>
        <w:tc>
          <w:tcPr>
            <w:tcW w:type="dxa" w:w="3960"/>
            <w:shd w:val="clear" w:color="auto" w:fill="F2F5FA"/>
          </w:tcPr>
          <w:p>
            <w:pPr>
              <w:spacing w:after="40"/>
            </w:pPr>
            <w:r/>
            <w:r>
              <w:rPr>
                <w:rFonts w:ascii="Times New Roman" w:hAnsi="Times New Roman"/>
                <w:sz w:val="19"/>
              </w:rPr>
              <w:t>Balances wasted budget against missed churners</w:t>
            </w:r>
          </w:p>
        </w:tc>
      </w:tr>
      <w:tr>
        <w:tc>
          <w:tcPr>
            <w:tcW w:type="dxa" w:w="1656"/>
          </w:tcPr>
          <w:p>
            <w:pPr>
              <w:spacing w:after="40"/>
            </w:pPr>
            <w:r/>
            <w:r>
              <w:rPr>
                <w:rFonts w:ascii="Times New Roman" w:hAnsi="Times New Roman"/>
                <w:sz w:val="19"/>
              </w:rPr>
              <w:t>ROC-AUC</w:t>
            </w:r>
          </w:p>
        </w:tc>
        <w:tc>
          <w:tcPr>
            <w:tcW w:type="dxa" w:w="3600"/>
          </w:tcPr>
          <w:p>
            <w:pPr>
              <w:spacing w:after="40"/>
            </w:pPr>
            <w:r/>
            <w:r>
              <w:rPr>
                <w:rFonts w:ascii="Times New Roman" w:hAnsi="Times New Roman"/>
                <w:sz w:val="19"/>
              </w:rPr>
              <w:t>Area under the receiver operating characteristic curve</w:t>
            </w:r>
          </w:p>
        </w:tc>
        <w:tc>
          <w:tcPr>
            <w:tcW w:type="dxa" w:w="3960"/>
          </w:tcPr>
          <w:p>
            <w:pPr>
              <w:spacing w:after="40"/>
            </w:pPr>
            <w:r/>
            <w:r>
              <w:rPr>
                <w:rFonts w:ascii="Times New Roman" w:hAnsi="Times New Roman"/>
                <w:sz w:val="19"/>
              </w:rPr>
              <w:t>Threshold-independent measure of ranking quality; the primary model-selection criterion</w:t>
            </w:r>
          </w:p>
        </w:tc>
      </w:tr>
      <w:tr>
        <w:tc>
          <w:tcPr>
            <w:tcW w:type="dxa" w:w="1656"/>
            <w:shd w:val="clear" w:color="auto" w:fill="F2F5FA"/>
          </w:tcPr>
          <w:p>
            <w:pPr>
              <w:spacing w:after="40"/>
            </w:pPr>
            <w:r/>
            <w:r>
              <w:rPr>
                <w:rFonts w:ascii="Times New Roman" w:hAnsi="Times New Roman"/>
                <w:sz w:val="19"/>
              </w:rPr>
              <w:t>PR-AUC</w:t>
            </w:r>
          </w:p>
        </w:tc>
        <w:tc>
          <w:tcPr>
            <w:tcW w:type="dxa" w:w="3600"/>
            <w:shd w:val="clear" w:color="auto" w:fill="F2F5FA"/>
          </w:tcPr>
          <w:p>
            <w:pPr>
              <w:spacing w:after="40"/>
            </w:pPr>
            <w:r/>
            <w:r>
              <w:rPr>
                <w:rFonts w:ascii="Times New Roman" w:hAnsi="Times New Roman"/>
                <w:sz w:val="19"/>
              </w:rPr>
              <w:t>Area under the precision–recall curve</w:t>
            </w:r>
          </w:p>
        </w:tc>
        <w:tc>
          <w:tcPr>
            <w:tcW w:type="dxa" w:w="3960"/>
            <w:shd w:val="clear" w:color="auto" w:fill="F2F5FA"/>
          </w:tcPr>
          <w:p>
            <w:pPr>
              <w:spacing w:after="40"/>
            </w:pPr>
            <w:r/>
            <w:r>
              <w:rPr>
                <w:rFonts w:ascii="Times New Roman" w:hAnsi="Times New Roman"/>
                <w:sz w:val="19"/>
              </w:rPr>
              <w:t>More informative than ROC-AUC when the positive class is a minority</w:t>
            </w:r>
          </w:p>
        </w:tc>
      </w:tr>
      <w:tr>
        <w:tc>
          <w:tcPr>
            <w:tcW w:type="dxa" w:w="1656"/>
          </w:tcPr>
          <w:p>
            <w:pPr>
              <w:spacing w:after="40"/>
            </w:pPr>
            <w:r/>
            <w:r>
              <w:rPr>
                <w:rFonts w:ascii="Times New Roman" w:hAnsi="Times New Roman"/>
                <w:sz w:val="19"/>
              </w:rPr>
              <w:t>Confusion Matrix</w:t>
            </w:r>
          </w:p>
        </w:tc>
        <w:tc>
          <w:tcPr>
            <w:tcW w:type="dxa" w:w="3600"/>
          </w:tcPr>
          <w:p>
            <w:pPr>
              <w:spacing w:after="40"/>
            </w:pPr>
            <w:r/>
            <w:r>
              <w:rPr>
                <w:rFonts w:ascii="Times New Roman" w:hAnsi="Times New Roman"/>
                <w:sz w:val="19"/>
              </w:rPr>
              <w:t>Counts of true/false positives and negatives</w:t>
            </w:r>
          </w:p>
        </w:tc>
        <w:tc>
          <w:tcPr>
            <w:tcW w:type="dxa" w:w="3960"/>
          </w:tcPr>
          <w:p>
            <w:pPr>
              <w:spacing w:after="40"/>
            </w:pPr>
            <w:r/>
            <w:r>
              <w:rPr>
                <w:rFonts w:ascii="Times New Roman" w:hAnsi="Times New Roman"/>
                <w:sz w:val="19"/>
              </w:rPr>
              <w:t>Exposes the concrete operational trade-off at the chosen decision threshold</w:t>
            </w:r>
          </w:p>
        </w:tc>
      </w:tr>
    </w:tbl>
    <w:p>
      <w:pPr>
        <w:spacing w:after="80"/>
      </w:pPr>
    </w:p>
    <w:p>
      <w:pPr>
        <w:spacing w:after="120"/>
        <w:jc w:val="both"/>
      </w:pPr>
      <w:r>
        <w:rPr>
          <w:b w:val="0"/>
          <w:i w:val="0"/>
        </w:rPr>
        <w:t>Models are compared on a single consolidated results table and on overlaid ROC and precision–recall curves. The model with the highest ROC-AUC, subject to an accuracy above 85% and acceptable recall on the churn class, is promoted to production. The decision threshold is then tuned explicitly — rather than left at the default 0.5 — to reflect the relative business cost of a missed churner versus a wasted offer.</w:t>
      </w:r>
    </w:p>
    <w:p>
      <w:pPr>
        <w:pStyle w:val="Heading2"/>
      </w:pPr>
      <w:r>
        <w:t>13.8 Phase 8 — Churn Probability Prediction and Explainable AI</w:t>
      </w:r>
    </w:p>
    <w:p>
      <w:pPr>
        <w:pStyle w:val="ListBullet"/>
        <w:spacing w:after="60"/>
        <w:jc w:val="both"/>
      </w:pPr>
      <w:r>
        <w:t>Generate a calibrated churn probability p(churn) for every customer using predict_proba, with probability calibration (Platt scaling or isotonic regression) verified through a calibration curve.</w:t>
      </w:r>
    </w:p>
    <w:p>
      <w:pPr>
        <w:pStyle w:val="ListBullet"/>
        <w:spacing w:after="60"/>
        <w:jc w:val="both"/>
      </w:pPr>
      <w:r>
        <w:t>Band customers into risk tiers: Low (p &lt; 0.35), Medium (0.35 ≤ p ≤ 0.65) and High (p &gt; 0.65).</w:t>
      </w:r>
    </w:p>
    <w:p>
      <w:pPr>
        <w:pStyle w:val="ListBullet"/>
        <w:spacing w:after="60"/>
        <w:jc w:val="both"/>
      </w:pPr>
      <w:r>
        <w:t>Compute global feature importance from the selected model to establish the overall churn drivers across the customer base.</w:t>
      </w:r>
    </w:p>
    <w:p>
      <w:pPr>
        <w:pStyle w:val="ListBullet"/>
        <w:spacing w:after="60"/>
        <w:jc w:val="both"/>
      </w:pPr>
      <w:r>
        <w:t>Apply SHAP (SHapley Additive exPlanations) to obtain local, per-customer attribution values showing how much each attribute pushed that specific customer's probability up or down.</w:t>
      </w:r>
    </w:p>
    <w:p>
      <w:pPr>
        <w:pStyle w:val="ListBullet"/>
        <w:spacing w:after="60"/>
        <w:jc w:val="both"/>
      </w:pPr>
      <w:r>
        <w:t>Translate the top contributing SHAP features into plain-language reason codes such as 'Month-to-month contract (+18% risk)', 'Tenure below 6 months (+12% risk)' or 'No technical support (+7% risk)'.</w:t>
      </w:r>
    </w:p>
    <w:p>
      <w:pPr>
        <w:pStyle w:val="ListBullet"/>
        <w:spacing w:after="60"/>
        <w:jc w:val="both"/>
      </w:pPr>
      <w:r>
        <w:t>Validate that the explanations are consistent with the EDA findings and with the Logistic Regression odds ratios, providing a cross-check on model trustworthiness.</w:t>
      </w:r>
    </w:p>
    <w:p>
      <w:pPr>
        <w:pStyle w:val="Heading2"/>
      </w:pPr>
      <w:r>
        <w:t>13.9 Phase 9 — Business Recommendation and Revenue Impact</w:t>
      </w:r>
    </w:p>
    <w:p>
      <w:pPr>
        <w:spacing w:after="120"/>
        <w:jc w:val="both"/>
      </w:pPr>
      <w:r>
        <w:rPr>
          <w:b w:val="0"/>
          <w:i w:val="0"/>
        </w:rPr>
        <w:t>The final phase converts analytical output into a financial business case. The logic is shown in Figure 3.</w:t>
      </w:r>
    </w:p>
    <w:p>
      <w:pPr>
        <w:spacing w:before="160" w:after="40"/>
        <w:jc w:val="center"/>
      </w:pPr>
      <w:r>
        <w:drawing>
          <wp:inline xmlns:a="http://schemas.openxmlformats.org/drawingml/2006/main" xmlns:pic="http://schemas.openxmlformats.org/drawingml/2006/picture">
            <wp:extent cx="5852160" cy="2413541"/>
            <wp:docPr id="3" name="Picture 3"/>
            <wp:cNvGraphicFramePr>
              <a:graphicFrameLocks noChangeAspect="1"/>
            </wp:cNvGraphicFramePr>
            <a:graphic>
              <a:graphicData uri="http://schemas.openxmlformats.org/drawingml/2006/picture">
                <pic:pic>
                  <pic:nvPicPr>
                    <pic:cNvPr id="0" name="fig3_business_value.png"/>
                    <pic:cNvPicPr/>
                  </pic:nvPicPr>
                  <pic:blipFill>
                    <a:blip r:embed="rId11"/>
                    <a:stretch>
                      <a:fillRect/>
                    </a:stretch>
                  </pic:blipFill>
                  <pic:spPr>
                    <a:xfrm>
                      <a:off x="0" y="0"/>
                      <a:ext cx="5852160" cy="2413541"/>
                    </a:xfrm>
                    <a:prstGeom prst="rect"/>
                  </pic:spPr>
                </pic:pic>
              </a:graphicData>
            </a:graphic>
          </wp:inline>
        </w:drawing>
      </w:r>
    </w:p>
    <w:p>
      <w:pPr>
        <w:spacing w:after="200"/>
        <w:jc w:val="center"/>
      </w:pPr>
      <w:r>
        <w:rPr>
          <w:i/>
          <w:sz w:val="20"/>
        </w:rPr>
        <w:t>Figure 3: Business value chain converting churn probability into quantified revenue impact</w:t>
      </w:r>
    </w:p>
    <w:p>
      <w:pPr>
        <w:pStyle w:val="Heading3"/>
      </w:pPr>
      <w:r>
        <w:t>13.9.1 Recommendation Mapping</w:t>
      </w:r>
    </w:p>
    <w:tbl>
      <w:tblPr>
        <w:tblStyle w:val="TableGrid"/>
        <w:tblW w:type="auto" w:w="0"/>
        <w:jc w:val="center"/>
        <w:tblLayout w:type="fixed"/>
        <w:tblLook w:firstColumn="1" w:firstRow="1" w:lastColumn="0" w:lastRow="0" w:noHBand="0" w:noVBand="1" w:val="04A0"/>
        <w:tblLayout w:type="fixed"/>
      </w:tblPr>
      <w:tblGrid>
        <w:gridCol w:w="2880"/>
        <w:gridCol w:w="3816"/>
        <w:gridCol w:w="2520"/>
      </w:tblGrid>
      <w:tr>
        <w:tc>
          <w:tcPr>
            <w:tcW w:type="dxa" w:w="2880"/>
            <w:shd w:val="clear" w:color="auto" w:fill="1F3864"/>
          </w:tcPr>
          <w:p>
            <w:pPr>
              <w:spacing w:after="40"/>
            </w:pPr>
            <w:r/>
            <w:r>
              <w:rPr>
                <w:rFonts w:ascii="Calibri" w:hAnsi="Calibri"/>
                <w:b/>
                <w:color w:val="FFFFFF"/>
                <w:sz w:val="19"/>
              </w:rPr>
              <w:t>Dominant Risk Driver (from SHAP)</w:t>
            </w:r>
          </w:p>
        </w:tc>
        <w:tc>
          <w:tcPr>
            <w:tcW w:type="dxa" w:w="3816"/>
            <w:shd w:val="clear" w:color="auto" w:fill="1F3864"/>
          </w:tcPr>
          <w:p>
            <w:pPr>
              <w:spacing w:after="40"/>
            </w:pPr>
            <w:r/>
            <w:r>
              <w:rPr>
                <w:rFonts w:ascii="Calibri" w:hAnsi="Calibri"/>
                <w:b/>
                <w:color w:val="FFFFFF"/>
                <w:sz w:val="19"/>
              </w:rPr>
              <w:t>Recommended Retention Action</w:t>
            </w:r>
          </w:p>
        </w:tc>
        <w:tc>
          <w:tcPr>
            <w:tcW w:type="dxa" w:w="2520"/>
            <w:shd w:val="clear" w:color="auto" w:fill="1F3864"/>
          </w:tcPr>
          <w:p>
            <w:pPr>
              <w:spacing w:after="40"/>
            </w:pPr>
            <w:r/>
            <w:r>
              <w:rPr>
                <w:rFonts w:ascii="Calibri" w:hAnsi="Calibri"/>
                <w:b/>
                <w:color w:val="FFFFFF"/>
                <w:sz w:val="19"/>
              </w:rPr>
              <w:t>Target Segment</w:t>
            </w:r>
          </w:p>
        </w:tc>
      </w:tr>
      <w:tr>
        <w:tc>
          <w:tcPr>
            <w:tcW w:type="dxa" w:w="2880"/>
          </w:tcPr>
          <w:p>
            <w:pPr>
              <w:spacing w:after="40"/>
            </w:pPr>
            <w:r/>
            <w:r>
              <w:rPr>
                <w:rFonts w:ascii="Times New Roman" w:hAnsi="Times New Roman"/>
                <w:sz w:val="19"/>
              </w:rPr>
              <w:t>Month-to-month contract</w:t>
            </w:r>
          </w:p>
        </w:tc>
        <w:tc>
          <w:tcPr>
            <w:tcW w:type="dxa" w:w="3816"/>
          </w:tcPr>
          <w:p>
            <w:pPr>
              <w:spacing w:after="40"/>
            </w:pPr>
            <w:r/>
            <w:r>
              <w:rPr>
                <w:rFonts w:ascii="Times New Roman" w:hAnsi="Times New Roman"/>
                <w:sz w:val="19"/>
              </w:rPr>
              <w:t>Offer a discounted 12- or 24-month contract with a loyalty bonus</w:t>
            </w:r>
          </w:p>
        </w:tc>
        <w:tc>
          <w:tcPr>
            <w:tcW w:type="dxa" w:w="2520"/>
          </w:tcPr>
          <w:p>
            <w:pPr>
              <w:spacing w:after="40"/>
            </w:pPr>
            <w:r/>
            <w:r>
              <w:rPr>
                <w:rFonts w:ascii="Times New Roman" w:hAnsi="Times New Roman"/>
                <w:sz w:val="19"/>
              </w:rPr>
              <w:t>All risk tiers; prioritise high-value customers</w:t>
            </w:r>
          </w:p>
        </w:tc>
      </w:tr>
      <w:tr>
        <w:tc>
          <w:tcPr>
            <w:tcW w:type="dxa" w:w="2880"/>
            <w:shd w:val="clear" w:color="auto" w:fill="F2F5FA"/>
          </w:tcPr>
          <w:p>
            <w:pPr>
              <w:spacing w:after="40"/>
            </w:pPr>
            <w:r/>
            <w:r>
              <w:rPr>
                <w:rFonts w:ascii="Times New Roman" w:hAnsi="Times New Roman"/>
                <w:sz w:val="19"/>
              </w:rPr>
              <w:t>Tenure below 6 months</w:t>
            </w:r>
          </w:p>
        </w:tc>
        <w:tc>
          <w:tcPr>
            <w:tcW w:type="dxa" w:w="3816"/>
            <w:shd w:val="clear" w:color="auto" w:fill="F2F5FA"/>
          </w:tcPr>
          <w:p>
            <w:pPr>
              <w:spacing w:after="40"/>
            </w:pPr>
            <w:r/>
            <w:r>
              <w:rPr>
                <w:rFonts w:ascii="Times New Roman" w:hAnsi="Times New Roman"/>
                <w:sz w:val="19"/>
              </w:rPr>
              <w:t>Structured onboarding programme, welcome call and first-90-days offer</w:t>
            </w:r>
          </w:p>
        </w:tc>
        <w:tc>
          <w:tcPr>
            <w:tcW w:type="dxa" w:w="2520"/>
            <w:shd w:val="clear" w:color="auto" w:fill="F2F5FA"/>
          </w:tcPr>
          <w:p>
            <w:pPr>
              <w:spacing w:after="40"/>
            </w:pPr>
            <w:r/>
            <w:r>
              <w:rPr>
                <w:rFonts w:ascii="Times New Roman" w:hAnsi="Times New Roman"/>
                <w:sz w:val="19"/>
              </w:rPr>
              <w:t>New &amp; Fragile segment</w:t>
            </w:r>
          </w:p>
        </w:tc>
      </w:tr>
      <w:tr>
        <w:tc>
          <w:tcPr>
            <w:tcW w:type="dxa" w:w="2880"/>
          </w:tcPr>
          <w:p>
            <w:pPr>
              <w:spacing w:after="40"/>
            </w:pPr>
            <w:r/>
            <w:r>
              <w:rPr>
                <w:rFonts w:ascii="Times New Roman" w:hAnsi="Times New Roman"/>
                <w:sz w:val="19"/>
              </w:rPr>
              <w:t>High monthly charges relative to segment</w:t>
            </w:r>
          </w:p>
        </w:tc>
        <w:tc>
          <w:tcPr>
            <w:tcW w:type="dxa" w:w="3816"/>
          </w:tcPr>
          <w:p>
            <w:pPr>
              <w:spacing w:after="40"/>
            </w:pPr>
            <w:r/>
            <w:r>
              <w:rPr>
                <w:rFonts w:ascii="Times New Roman" w:hAnsi="Times New Roman"/>
                <w:sz w:val="19"/>
              </w:rPr>
              <w:t>Plan right-sizing or a personalised tariff review</w:t>
            </w:r>
          </w:p>
        </w:tc>
        <w:tc>
          <w:tcPr>
            <w:tcW w:type="dxa" w:w="2520"/>
          </w:tcPr>
          <w:p>
            <w:pPr>
              <w:spacing w:after="40"/>
            </w:pPr>
            <w:r/>
            <w:r>
              <w:rPr>
                <w:rFonts w:ascii="Times New Roman" w:hAnsi="Times New Roman"/>
                <w:sz w:val="19"/>
              </w:rPr>
              <w:t>Low-Value Price-Sensitive segment</w:t>
            </w:r>
          </w:p>
        </w:tc>
      </w:tr>
      <w:tr>
        <w:tc>
          <w:tcPr>
            <w:tcW w:type="dxa" w:w="2880"/>
            <w:shd w:val="clear" w:color="auto" w:fill="F2F5FA"/>
          </w:tcPr>
          <w:p>
            <w:pPr>
              <w:spacing w:after="40"/>
            </w:pPr>
            <w:r/>
            <w:r>
              <w:rPr>
                <w:rFonts w:ascii="Times New Roman" w:hAnsi="Times New Roman"/>
                <w:sz w:val="19"/>
              </w:rPr>
              <w:t>No technical support / online security</w:t>
            </w:r>
          </w:p>
        </w:tc>
        <w:tc>
          <w:tcPr>
            <w:tcW w:type="dxa" w:w="3816"/>
            <w:shd w:val="clear" w:color="auto" w:fill="F2F5FA"/>
          </w:tcPr>
          <w:p>
            <w:pPr>
              <w:spacing w:after="40"/>
            </w:pPr>
            <w:r/>
            <w:r>
              <w:rPr>
                <w:rFonts w:ascii="Times New Roman" w:hAnsi="Times New Roman"/>
                <w:sz w:val="19"/>
              </w:rPr>
              <w:t>Complimentary trial of support and security add-ons</w:t>
            </w:r>
          </w:p>
        </w:tc>
        <w:tc>
          <w:tcPr>
            <w:tcW w:type="dxa" w:w="2520"/>
            <w:shd w:val="clear" w:color="auto" w:fill="F2F5FA"/>
          </w:tcPr>
          <w:p>
            <w:pPr>
              <w:spacing w:after="40"/>
            </w:pPr>
            <w:r/>
            <w:r>
              <w:rPr>
                <w:rFonts w:ascii="Times New Roman" w:hAnsi="Times New Roman"/>
                <w:sz w:val="19"/>
              </w:rPr>
              <w:t>High-Value At-Risk segment</w:t>
            </w:r>
          </w:p>
        </w:tc>
      </w:tr>
      <w:tr>
        <w:tc>
          <w:tcPr>
            <w:tcW w:type="dxa" w:w="2880"/>
          </w:tcPr>
          <w:p>
            <w:pPr>
              <w:spacing w:after="40"/>
            </w:pPr>
            <w:r/>
            <w:r>
              <w:rPr>
                <w:rFonts w:ascii="Times New Roman" w:hAnsi="Times New Roman"/>
                <w:sz w:val="19"/>
              </w:rPr>
              <w:t>Electronic cheque / manual payment</w:t>
            </w:r>
          </w:p>
        </w:tc>
        <w:tc>
          <w:tcPr>
            <w:tcW w:type="dxa" w:w="3816"/>
          </w:tcPr>
          <w:p>
            <w:pPr>
              <w:spacing w:after="40"/>
            </w:pPr>
            <w:r/>
            <w:r>
              <w:rPr>
                <w:rFonts w:ascii="Times New Roman" w:hAnsi="Times New Roman"/>
                <w:sz w:val="19"/>
              </w:rPr>
              <w:t>Incentivised migration to auto-pay with a billing discount</w:t>
            </w:r>
          </w:p>
        </w:tc>
        <w:tc>
          <w:tcPr>
            <w:tcW w:type="dxa" w:w="2520"/>
          </w:tcPr>
          <w:p>
            <w:pPr>
              <w:spacing w:after="40"/>
            </w:pPr>
            <w:r/>
            <w:r>
              <w:rPr>
                <w:rFonts w:ascii="Times New Roman" w:hAnsi="Times New Roman"/>
                <w:sz w:val="19"/>
              </w:rPr>
              <w:t>All segments</w:t>
            </w:r>
          </w:p>
        </w:tc>
      </w:tr>
      <w:tr>
        <w:tc>
          <w:tcPr>
            <w:tcW w:type="dxa" w:w="2880"/>
            <w:shd w:val="clear" w:color="auto" w:fill="F2F5FA"/>
          </w:tcPr>
          <w:p>
            <w:pPr>
              <w:spacing w:after="40"/>
            </w:pPr>
            <w:r/>
            <w:r>
              <w:rPr>
                <w:rFonts w:ascii="Times New Roman" w:hAnsi="Times New Roman"/>
                <w:sz w:val="19"/>
              </w:rPr>
              <w:t>Fibre-optic service with high charges</w:t>
            </w:r>
          </w:p>
        </w:tc>
        <w:tc>
          <w:tcPr>
            <w:tcW w:type="dxa" w:w="3816"/>
            <w:shd w:val="clear" w:color="auto" w:fill="F2F5FA"/>
          </w:tcPr>
          <w:p>
            <w:pPr>
              <w:spacing w:after="40"/>
            </w:pPr>
            <w:r/>
            <w:r>
              <w:rPr>
                <w:rFonts w:ascii="Times New Roman" w:hAnsi="Times New Roman"/>
                <w:sz w:val="19"/>
              </w:rPr>
              <w:t>Service-quality audit followed by targeted compensation or a loyalty credit</w:t>
            </w:r>
          </w:p>
        </w:tc>
        <w:tc>
          <w:tcPr>
            <w:tcW w:type="dxa" w:w="2520"/>
            <w:shd w:val="clear" w:color="auto" w:fill="F2F5FA"/>
          </w:tcPr>
          <w:p>
            <w:pPr>
              <w:spacing w:after="40"/>
            </w:pPr>
            <w:r/>
            <w:r>
              <w:rPr>
                <w:rFonts w:ascii="Times New Roman" w:hAnsi="Times New Roman"/>
                <w:sz w:val="19"/>
              </w:rPr>
              <w:t>High-Value At-Risk segment</w:t>
            </w:r>
          </w:p>
        </w:tc>
      </w:tr>
      <w:tr>
        <w:tc>
          <w:tcPr>
            <w:tcW w:type="dxa" w:w="2880"/>
          </w:tcPr>
          <w:p>
            <w:pPr>
              <w:spacing w:after="40"/>
            </w:pPr>
            <w:r/>
            <w:r>
              <w:rPr>
                <w:rFonts w:ascii="Times New Roman" w:hAnsi="Times New Roman"/>
                <w:sz w:val="19"/>
              </w:rPr>
              <w:t>Low service adoption</w:t>
            </w:r>
          </w:p>
        </w:tc>
        <w:tc>
          <w:tcPr>
            <w:tcW w:type="dxa" w:w="3816"/>
          </w:tcPr>
          <w:p>
            <w:pPr>
              <w:spacing w:after="40"/>
            </w:pPr>
            <w:r/>
            <w:r>
              <w:rPr>
                <w:rFonts w:ascii="Times New Roman" w:hAnsi="Times New Roman"/>
                <w:sz w:val="19"/>
              </w:rPr>
              <w:t>Bundled cross-sell offer to increase engagement and switching cost</w:t>
            </w:r>
          </w:p>
        </w:tc>
        <w:tc>
          <w:tcPr>
            <w:tcW w:type="dxa" w:w="2520"/>
          </w:tcPr>
          <w:p>
            <w:pPr>
              <w:spacing w:after="40"/>
            </w:pPr>
            <w:r/>
            <w:r>
              <w:rPr>
                <w:rFonts w:ascii="Times New Roman" w:hAnsi="Times New Roman"/>
                <w:sz w:val="19"/>
              </w:rPr>
              <w:t>Low-engagement customers across segments</w:t>
            </w:r>
          </w:p>
        </w:tc>
      </w:tr>
    </w:tbl>
    <w:p>
      <w:pPr>
        <w:spacing w:after="80"/>
      </w:pPr>
    </w:p>
    <w:p>
      <w:pPr>
        <w:pStyle w:val="Heading3"/>
      </w:pPr>
      <w:r>
        <w:t>13.9.2 Revenue and Retention Impact Model</w:t>
      </w:r>
    </w:p>
    <w:p>
      <w:pPr>
        <w:spacing w:after="120"/>
        <w:jc w:val="both"/>
      </w:pPr>
      <w:r>
        <w:rPr>
          <w:b w:val="0"/>
          <w:i w:val="0"/>
        </w:rPr>
        <w:t>For each customer i, the following quantities are computed:</w:t>
      </w:r>
    </w:p>
    <w:p>
      <w:pPr>
        <w:spacing w:after="80"/>
        <w:ind w:left="576"/>
      </w:pPr>
      <w:r>
        <w:rPr>
          <w:rFonts w:ascii="Consolas" w:hAnsi="Consolas"/>
          <w:b/>
          <w:sz w:val="21"/>
        </w:rPr>
        <w:t>Customer Value (CLV proxy)ᵢ  =  Monthly Chargesᵢ  ×  Expected Remaining Tenure (months)</w:t>
      </w:r>
    </w:p>
    <w:p>
      <w:pPr>
        <w:spacing w:after="80"/>
        <w:ind w:left="576"/>
      </w:pPr>
      <w:r>
        <w:rPr>
          <w:rFonts w:ascii="Consolas" w:hAnsi="Consolas"/>
          <w:b/>
          <w:sz w:val="21"/>
        </w:rPr>
        <w:t>Revenue at Riskᵢ  =  p(churn)ᵢ  ×  Customer Valueᵢ</w:t>
      </w:r>
    </w:p>
    <w:p>
      <w:pPr>
        <w:spacing w:after="80"/>
        <w:ind w:left="576"/>
      </w:pPr>
      <w:r>
        <w:rPr>
          <w:rFonts w:ascii="Consolas" w:hAnsi="Consolas"/>
          <w:b/>
          <w:sz w:val="21"/>
        </w:rPr>
        <w:t>Total Revenue at Risk  =  Σᵢ Revenue at Riskᵢ  (over all high-risk customers)</w:t>
      </w:r>
    </w:p>
    <w:p>
      <w:pPr>
        <w:spacing w:after="80"/>
        <w:ind w:left="576"/>
      </w:pPr>
      <w:r>
        <w:rPr>
          <w:rFonts w:ascii="Consolas" w:hAnsi="Consolas"/>
          <w:b/>
          <w:sz w:val="21"/>
        </w:rPr>
        <w:t>Expected Saved Revenue  =  Total Revenue at Risk  ×  Campaign Success Rate</w:t>
      </w:r>
    </w:p>
    <w:p>
      <w:pPr>
        <w:spacing w:after="80"/>
        <w:ind w:left="576"/>
      </w:pPr>
      <w:r>
        <w:rPr>
          <w:rFonts w:ascii="Consolas" w:hAnsi="Consolas"/>
          <w:b/>
          <w:sz w:val="21"/>
        </w:rPr>
        <w:t>Net Benefit  =  Expected Saved Revenue  −  (Number Targeted  ×  Cost per Retention Offer)</w:t>
      </w:r>
    </w:p>
    <w:p>
      <w:pPr>
        <w:spacing w:after="80"/>
        <w:ind w:left="576"/>
      </w:pPr>
      <w:r>
        <w:rPr>
          <w:rFonts w:ascii="Consolas" w:hAnsi="Consolas"/>
          <w:b/>
          <w:sz w:val="21"/>
        </w:rPr>
        <w:t>Retention ROI (%)  =  (Net Benefit ÷ Campaign Cost)  ×  100</w:t>
      </w:r>
    </w:p>
    <w:p>
      <w:pPr>
        <w:spacing w:after="80"/>
        <w:ind w:left="576"/>
      </w:pPr>
      <w:r>
        <w:rPr>
          <w:rFonts w:ascii="Consolas" w:hAnsi="Consolas"/>
          <w:b/>
          <w:sz w:val="21"/>
        </w:rPr>
        <w:t>Projected Churn Rate  =  Baseline Churn Rate  ×  (1 − Recall × Campaign Success Rate)</w:t>
      </w:r>
    </w:p>
    <w:p>
      <w:pPr>
        <w:spacing w:after="120"/>
        <w:jc w:val="both"/>
      </w:pPr>
      <w:r>
        <w:rPr>
          <w:b w:val="0"/>
          <w:i w:val="0"/>
        </w:rPr>
        <w:t>These quantities are recomputed live in the dashboard as the user adjusts the risk threshold, the assumed campaign success rate and the cost per offer, allowing the retention manager to explore the trade-off between reach and profitability before committing budget.</w:t>
      </w:r>
    </w:p>
    <w:p>
      <w:pPr>
        <w:pStyle w:val="Heading3"/>
      </w:pPr>
      <w:r>
        <w:t>13.9.3 Illustrative Impact Calculation</w:t>
      </w:r>
    </w:p>
    <w:p>
      <w:pPr>
        <w:spacing w:after="120"/>
        <w:jc w:val="both"/>
      </w:pPr>
      <w:r>
        <w:rPr>
          <w:b w:val="0"/>
          <w:i w:val="0"/>
        </w:rPr>
        <w:t>Using the reference dataset as an example (7,043 customers, 26.5% baseline churn, average monthly charge of approximately US$64.76), and assuming a model recall of 0.80 on the churn class and a retention campaign that succeeds with 30% of those contacted at a cost of US$15 per offer:</w:t>
      </w:r>
    </w:p>
    <w:tbl>
      <w:tblPr>
        <w:tblStyle w:val="TableGrid"/>
        <w:tblW w:type="auto" w:w="0"/>
        <w:jc w:val="center"/>
        <w:tblLayout w:type="fixed"/>
        <w:tblLook w:firstColumn="1" w:firstRow="1" w:lastColumn="0" w:lastRow="0" w:noHBand="0" w:noVBand="1" w:val="04A0"/>
        <w:tblLayout w:type="fixed"/>
      </w:tblPr>
      <w:tblGrid>
        <w:gridCol w:w="3024"/>
        <w:gridCol w:w="3168"/>
        <w:gridCol w:w="3024"/>
      </w:tblGrid>
      <w:tr>
        <w:tc>
          <w:tcPr>
            <w:tcW w:type="dxa" w:w="3024"/>
            <w:shd w:val="clear" w:color="auto" w:fill="1F3864"/>
          </w:tcPr>
          <w:p>
            <w:pPr>
              <w:spacing w:after="40"/>
            </w:pPr>
            <w:r/>
            <w:r>
              <w:rPr>
                <w:rFonts w:ascii="Calibri" w:hAnsi="Calibri"/>
                <w:b/>
                <w:color w:val="FFFFFF"/>
                <w:sz w:val="19"/>
              </w:rPr>
              <w:t>Quantity</w:t>
            </w:r>
          </w:p>
        </w:tc>
        <w:tc>
          <w:tcPr>
            <w:tcW w:type="dxa" w:w="3168"/>
            <w:shd w:val="clear" w:color="auto" w:fill="1F3864"/>
          </w:tcPr>
          <w:p>
            <w:pPr>
              <w:spacing w:after="40"/>
            </w:pPr>
            <w:r/>
            <w:r>
              <w:rPr>
                <w:rFonts w:ascii="Calibri" w:hAnsi="Calibri"/>
                <w:b/>
                <w:color w:val="FFFFFF"/>
                <w:sz w:val="19"/>
              </w:rPr>
              <w:t>Calculation</w:t>
            </w:r>
          </w:p>
        </w:tc>
        <w:tc>
          <w:tcPr>
            <w:tcW w:type="dxa" w:w="3024"/>
            <w:shd w:val="clear" w:color="auto" w:fill="1F3864"/>
          </w:tcPr>
          <w:p>
            <w:pPr>
              <w:spacing w:after="40"/>
            </w:pPr>
            <w:r/>
            <w:r>
              <w:rPr>
                <w:rFonts w:ascii="Calibri" w:hAnsi="Calibri"/>
                <w:b/>
                <w:color w:val="FFFFFF"/>
                <w:sz w:val="19"/>
              </w:rPr>
              <w:t>Illustrative Value</w:t>
            </w:r>
          </w:p>
        </w:tc>
      </w:tr>
      <w:tr>
        <w:tc>
          <w:tcPr>
            <w:tcW w:type="dxa" w:w="3024"/>
          </w:tcPr>
          <w:p>
            <w:pPr>
              <w:spacing w:after="40"/>
            </w:pPr>
            <w:r/>
            <w:r>
              <w:rPr>
                <w:rFonts w:ascii="Times New Roman" w:hAnsi="Times New Roman"/>
                <w:sz w:val="19"/>
              </w:rPr>
              <w:t>Customers in the base</w:t>
            </w:r>
          </w:p>
        </w:tc>
        <w:tc>
          <w:tcPr>
            <w:tcW w:type="dxa" w:w="3168"/>
          </w:tcPr>
          <w:p>
            <w:pPr>
              <w:spacing w:after="40"/>
            </w:pPr>
            <w:r/>
            <w:r>
              <w:rPr>
                <w:rFonts w:ascii="Times New Roman" w:hAnsi="Times New Roman"/>
                <w:sz w:val="19"/>
              </w:rPr>
              <w:t>Given</w:t>
            </w:r>
          </w:p>
        </w:tc>
        <w:tc>
          <w:tcPr>
            <w:tcW w:type="dxa" w:w="3024"/>
          </w:tcPr>
          <w:p>
            <w:pPr>
              <w:spacing w:after="40"/>
            </w:pPr>
            <w:r/>
            <w:r>
              <w:rPr>
                <w:rFonts w:ascii="Times New Roman" w:hAnsi="Times New Roman"/>
                <w:sz w:val="19"/>
              </w:rPr>
              <w:t>7,043</w:t>
            </w:r>
          </w:p>
        </w:tc>
      </w:tr>
      <w:tr>
        <w:tc>
          <w:tcPr>
            <w:tcW w:type="dxa" w:w="3024"/>
            <w:shd w:val="clear" w:color="auto" w:fill="F2F5FA"/>
          </w:tcPr>
          <w:p>
            <w:pPr>
              <w:spacing w:after="40"/>
            </w:pPr>
            <w:r/>
            <w:r>
              <w:rPr>
                <w:rFonts w:ascii="Times New Roman" w:hAnsi="Times New Roman"/>
                <w:sz w:val="19"/>
              </w:rPr>
              <w:t>Baseline churners per cycle</w:t>
            </w:r>
          </w:p>
        </w:tc>
        <w:tc>
          <w:tcPr>
            <w:tcW w:type="dxa" w:w="3168"/>
            <w:shd w:val="clear" w:color="auto" w:fill="F2F5FA"/>
          </w:tcPr>
          <w:p>
            <w:pPr>
              <w:spacing w:after="40"/>
            </w:pPr>
            <w:r/>
            <w:r>
              <w:rPr>
                <w:rFonts w:ascii="Times New Roman" w:hAnsi="Times New Roman"/>
                <w:sz w:val="19"/>
              </w:rPr>
              <w:t>7,043 × 0.265</w:t>
            </w:r>
          </w:p>
        </w:tc>
        <w:tc>
          <w:tcPr>
            <w:tcW w:type="dxa" w:w="3024"/>
            <w:shd w:val="clear" w:color="auto" w:fill="F2F5FA"/>
          </w:tcPr>
          <w:p>
            <w:pPr>
              <w:spacing w:after="40"/>
            </w:pPr>
            <w:r/>
            <w:r>
              <w:rPr>
                <w:rFonts w:ascii="Times New Roman" w:hAnsi="Times New Roman"/>
                <w:sz w:val="19"/>
              </w:rPr>
              <w:t>≈ 1,866</w:t>
            </w:r>
          </w:p>
        </w:tc>
      </w:tr>
      <w:tr>
        <w:tc>
          <w:tcPr>
            <w:tcW w:type="dxa" w:w="3024"/>
          </w:tcPr>
          <w:p>
            <w:pPr>
              <w:spacing w:after="40"/>
            </w:pPr>
            <w:r/>
            <w:r>
              <w:rPr>
                <w:rFonts w:ascii="Times New Roman" w:hAnsi="Times New Roman"/>
                <w:sz w:val="19"/>
              </w:rPr>
              <w:t>Churners correctly identified</w:t>
            </w:r>
          </w:p>
        </w:tc>
        <w:tc>
          <w:tcPr>
            <w:tcW w:type="dxa" w:w="3168"/>
          </w:tcPr>
          <w:p>
            <w:pPr>
              <w:spacing w:after="40"/>
            </w:pPr>
            <w:r/>
            <w:r>
              <w:rPr>
                <w:rFonts w:ascii="Times New Roman" w:hAnsi="Times New Roman"/>
                <w:sz w:val="19"/>
              </w:rPr>
              <w:t>1,866 × 0.80 recall</w:t>
            </w:r>
          </w:p>
        </w:tc>
        <w:tc>
          <w:tcPr>
            <w:tcW w:type="dxa" w:w="3024"/>
          </w:tcPr>
          <w:p>
            <w:pPr>
              <w:spacing w:after="40"/>
            </w:pPr>
            <w:r/>
            <w:r>
              <w:rPr>
                <w:rFonts w:ascii="Times New Roman" w:hAnsi="Times New Roman"/>
                <w:sz w:val="19"/>
              </w:rPr>
              <w:t>≈ 1,493</w:t>
            </w:r>
          </w:p>
        </w:tc>
      </w:tr>
      <w:tr>
        <w:tc>
          <w:tcPr>
            <w:tcW w:type="dxa" w:w="3024"/>
            <w:shd w:val="clear" w:color="auto" w:fill="F2F5FA"/>
          </w:tcPr>
          <w:p>
            <w:pPr>
              <w:spacing w:after="40"/>
            </w:pPr>
            <w:r/>
            <w:r>
              <w:rPr>
                <w:rFonts w:ascii="Times New Roman" w:hAnsi="Times New Roman"/>
                <w:sz w:val="19"/>
              </w:rPr>
              <w:t>Average customer value (12-month horizon)</w:t>
            </w:r>
          </w:p>
        </w:tc>
        <w:tc>
          <w:tcPr>
            <w:tcW w:type="dxa" w:w="3168"/>
            <w:shd w:val="clear" w:color="auto" w:fill="F2F5FA"/>
          </w:tcPr>
          <w:p>
            <w:pPr>
              <w:spacing w:after="40"/>
            </w:pPr>
            <w:r/>
            <w:r>
              <w:rPr>
                <w:rFonts w:ascii="Times New Roman" w:hAnsi="Times New Roman"/>
                <w:sz w:val="19"/>
              </w:rPr>
              <w:t>US$64.76 × 12</w:t>
            </w:r>
          </w:p>
        </w:tc>
        <w:tc>
          <w:tcPr>
            <w:tcW w:type="dxa" w:w="3024"/>
            <w:shd w:val="clear" w:color="auto" w:fill="F2F5FA"/>
          </w:tcPr>
          <w:p>
            <w:pPr>
              <w:spacing w:after="40"/>
            </w:pPr>
            <w:r/>
            <w:r>
              <w:rPr>
                <w:rFonts w:ascii="Times New Roman" w:hAnsi="Times New Roman"/>
                <w:sz w:val="19"/>
              </w:rPr>
              <w:t>≈ US$777</w:t>
            </w:r>
          </w:p>
        </w:tc>
      </w:tr>
      <w:tr>
        <w:tc>
          <w:tcPr>
            <w:tcW w:type="dxa" w:w="3024"/>
          </w:tcPr>
          <w:p>
            <w:pPr>
              <w:spacing w:after="40"/>
            </w:pPr>
            <w:r/>
            <w:r>
              <w:rPr>
                <w:rFonts w:ascii="Times New Roman" w:hAnsi="Times New Roman"/>
                <w:sz w:val="19"/>
              </w:rPr>
              <w:t>Revenue at risk among identified churners</w:t>
            </w:r>
          </w:p>
        </w:tc>
        <w:tc>
          <w:tcPr>
            <w:tcW w:type="dxa" w:w="3168"/>
          </w:tcPr>
          <w:p>
            <w:pPr>
              <w:spacing w:after="40"/>
            </w:pPr>
            <w:r/>
            <w:r>
              <w:rPr>
                <w:rFonts w:ascii="Times New Roman" w:hAnsi="Times New Roman"/>
                <w:sz w:val="19"/>
              </w:rPr>
              <w:t>1,493 × US$777</w:t>
            </w:r>
          </w:p>
        </w:tc>
        <w:tc>
          <w:tcPr>
            <w:tcW w:type="dxa" w:w="3024"/>
          </w:tcPr>
          <w:p>
            <w:pPr>
              <w:spacing w:after="40"/>
            </w:pPr>
            <w:r/>
            <w:r>
              <w:rPr>
                <w:rFonts w:ascii="Times New Roman" w:hAnsi="Times New Roman"/>
                <w:sz w:val="19"/>
              </w:rPr>
              <w:t>≈ US$1.16 million</w:t>
            </w:r>
          </w:p>
        </w:tc>
      </w:tr>
      <w:tr>
        <w:tc>
          <w:tcPr>
            <w:tcW w:type="dxa" w:w="3024"/>
            <w:shd w:val="clear" w:color="auto" w:fill="F2F5FA"/>
          </w:tcPr>
          <w:p>
            <w:pPr>
              <w:spacing w:after="40"/>
            </w:pPr>
            <w:r/>
            <w:r>
              <w:rPr>
                <w:rFonts w:ascii="Times New Roman" w:hAnsi="Times New Roman"/>
                <w:sz w:val="19"/>
              </w:rPr>
              <w:t>Customers actually retained</w:t>
            </w:r>
          </w:p>
        </w:tc>
        <w:tc>
          <w:tcPr>
            <w:tcW w:type="dxa" w:w="3168"/>
            <w:shd w:val="clear" w:color="auto" w:fill="F2F5FA"/>
          </w:tcPr>
          <w:p>
            <w:pPr>
              <w:spacing w:after="40"/>
            </w:pPr>
            <w:r/>
            <w:r>
              <w:rPr>
                <w:rFonts w:ascii="Times New Roman" w:hAnsi="Times New Roman"/>
                <w:sz w:val="19"/>
              </w:rPr>
              <w:t>1,493 × 0.30 success rate</w:t>
            </w:r>
          </w:p>
        </w:tc>
        <w:tc>
          <w:tcPr>
            <w:tcW w:type="dxa" w:w="3024"/>
            <w:shd w:val="clear" w:color="auto" w:fill="F2F5FA"/>
          </w:tcPr>
          <w:p>
            <w:pPr>
              <w:spacing w:after="40"/>
            </w:pPr>
            <w:r/>
            <w:r>
              <w:rPr>
                <w:rFonts w:ascii="Times New Roman" w:hAnsi="Times New Roman"/>
                <w:sz w:val="19"/>
              </w:rPr>
              <w:t>≈ 448</w:t>
            </w:r>
          </w:p>
        </w:tc>
      </w:tr>
      <w:tr>
        <w:tc>
          <w:tcPr>
            <w:tcW w:type="dxa" w:w="3024"/>
          </w:tcPr>
          <w:p>
            <w:pPr>
              <w:spacing w:after="40"/>
            </w:pPr>
            <w:r/>
            <w:r>
              <w:rPr>
                <w:rFonts w:ascii="Times New Roman" w:hAnsi="Times New Roman"/>
                <w:sz w:val="19"/>
              </w:rPr>
              <w:t>Gross revenue saved</w:t>
            </w:r>
          </w:p>
        </w:tc>
        <w:tc>
          <w:tcPr>
            <w:tcW w:type="dxa" w:w="3168"/>
          </w:tcPr>
          <w:p>
            <w:pPr>
              <w:spacing w:after="40"/>
            </w:pPr>
            <w:r/>
            <w:r>
              <w:rPr>
                <w:rFonts w:ascii="Times New Roman" w:hAnsi="Times New Roman"/>
                <w:sz w:val="19"/>
              </w:rPr>
              <w:t>448 × US$777</w:t>
            </w:r>
          </w:p>
        </w:tc>
        <w:tc>
          <w:tcPr>
            <w:tcW w:type="dxa" w:w="3024"/>
          </w:tcPr>
          <w:p>
            <w:pPr>
              <w:spacing w:after="40"/>
            </w:pPr>
            <w:r/>
            <w:r>
              <w:rPr>
                <w:rFonts w:ascii="Times New Roman" w:hAnsi="Times New Roman"/>
                <w:sz w:val="19"/>
              </w:rPr>
              <w:t>≈ US$348,000</w:t>
            </w:r>
          </w:p>
        </w:tc>
      </w:tr>
      <w:tr>
        <w:tc>
          <w:tcPr>
            <w:tcW w:type="dxa" w:w="3024"/>
            <w:shd w:val="clear" w:color="auto" w:fill="F2F5FA"/>
          </w:tcPr>
          <w:p>
            <w:pPr>
              <w:spacing w:after="40"/>
            </w:pPr>
            <w:r/>
            <w:r>
              <w:rPr>
                <w:rFonts w:ascii="Times New Roman" w:hAnsi="Times New Roman"/>
                <w:sz w:val="19"/>
              </w:rPr>
              <w:t>Campaign cost</w:t>
            </w:r>
          </w:p>
        </w:tc>
        <w:tc>
          <w:tcPr>
            <w:tcW w:type="dxa" w:w="3168"/>
            <w:shd w:val="clear" w:color="auto" w:fill="F2F5FA"/>
          </w:tcPr>
          <w:p>
            <w:pPr>
              <w:spacing w:after="40"/>
            </w:pPr>
            <w:r/>
            <w:r>
              <w:rPr>
                <w:rFonts w:ascii="Times New Roman" w:hAnsi="Times New Roman"/>
                <w:sz w:val="19"/>
              </w:rPr>
              <w:t>1,493 × US$15</w:t>
            </w:r>
          </w:p>
        </w:tc>
        <w:tc>
          <w:tcPr>
            <w:tcW w:type="dxa" w:w="3024"/>
            <w:shd w:val="clear" w:color="auto" w:fill="F2F5FA"/>
          </w:tcPr>
          <w:p>
            <w:pPr>
              <w:spacing w:after="40"/>
            </w:pPr>
            <w:r/>
            <w:r>
              <w:rPr>
                <w:rFonts w:ascii="Times New Roman" w:hAnsi="Times New Roman"/>
                <w:sz w:val="19"/>
              </w:rPr>
              <w:t>≈ US$22,400</w:t>
            </w:r>
          </w:p>
        </w:tc>
      </w:tr>
      <w:tr>
        <w:tc>
          <w:tcPr>
            <w:tcW w:type="dxa" w:w="3024"/>
          </w:tcPr>
          <w:p>
            <w:pPr>
              <w:spacing w:after="40"/>
            </w:pPr>
            <w:r/>
            <w:r>
              <w:rPr>
                <w:rFonts w:ascii="Times New Roman" w:hAnsi="Times New Roman"/>
                <w:sz w:val="19"/>
              </w:rPr>
              <w:t>Net benefit</w:t>
            </w:r>
          </w:p>
        </w:tc>
        <w:tc>
          <w:tcPr>
            <w:tcW w:type="dxa" w:w="3168"/>
          </w:tcPr>
          <w:p>
            <w:pPr>
              <w:spacing w:after="40"/>
            </w:pPr>
            <w:r/>
            <w:r>
              <w:rPr>
                <w:rFonts w:ascii="Times New Roman" w:hAnsi="Times New Roman"/>
                <w:sz w:val="19"/>
              </w:rPr>
              <w:t>US$348,000 − US$22,400</w:t>
            </w:r>
          </w:p>
        </w:tc>
        <w:tc>
          <w:tcPr>
            <w:tcW w:type="dxa" w:w="3024"/>
          </w:tcPr>
          <w:p>
            <w:pPr>
              <w:spacing w:after="40"/>
            </w:pPr>
            <w:r/>
            <w:r>
              <w:rPr>
                <w:rFonts w:ascii="Times New Roman" w:hAnsi="Times New Roman"/>
                <w:sz w:val="19"/>
              </w:rPr>
              <w:t>≈ US$325,600</w:t>
            </w:r>
          </w:p>
        </w:tc>
      </w:tr>
      <w:tr>
        <w:tc>
          <w:tcPr>
            <w:tcW w:type="dxa" w:w="3024"/>
            <w:shd w:val="clear" w:color="auto" w:fill="F2F5FA"/>
          </w:tcPr>
          <w:p>
            <w:pPr>
              <w:spacing w:after="40"/>
            </w:pPr>
            <w:r/>
            <w:r>
              <w:rPr>
                <w:rFonts w:ascii="Times New Roman" w:hAnsi="Times New Roman"/>
                <w:sz w:val="19"/>
              </w:rPr>
              <w:t>Retention ROI</w:t>
            </w:r>
          </w:p>
        </w:tc>
        <w:tc>
          <w:tcPr>
            <w:tcW w:type="dxa" w:w="3168"/>
            <w:shd w:val="clear" w:color="auto" w:fill="F2F5FA"/>
          </w:tcPr>
          <w:p>
            <w:pPr>
              <w:spacing w:after="40"/>
            </w:pPr>
            <w:r/>
            <w:r>
              <w:rPr>
                <w:rFonts w:ascii="Times New Roman" w:hAnsi="Times New Roman"/>
                <w:sz w:val="19"/>
              </w:rPr>
              <w:t>(325,600 ÷ 22,400) × 100</w:t>
            </w:r>
          </w:p>
        </w:tc>
        <w:tc>
          <w:tcPr>
            <w:tcW w:type="dxa" w:w="3024"/>
            <w:shd w:val="clear" w:color="auto" w:fill="F2F5FA"/>
          </w:tcPr>
          <w:p>
            <w:pPr>
              <w:spacing w:after="40"/>
            </w:pPr>
            <w:r/>
            <w:r>
              <w:rPr>
                <w:rFonts w:ascii="Times New Roman" w:hAnsi="Times New Roman"/>
                <w:sz w:val="19"/>
              </w:rPr>
              <w:t>≈ 1,453%</w:t>
            </w:r>
          </w:p>
        </w:tc>
      </w:tr>
      <w:tr>
        <w:tc>
          <w:tcPr>
            <w:tcW w:type="dxa" w:w="3024"/>
          </w:tcPr>
          <w:p>
            <w:pPr>
              <w:spacing w:after="40"/>
            </w:pPr>
            <w:r/>
            <w:r>
              <w:rPr>
                <w:rFonts w:ascii="Times New Roman" w:hAnsi="Times New Roman"/>
                <w:sz w:val="19"/>
              </w:rPr>
              <w:t>Projected churn rate</w:t>
            </w:r>
          </w:p>
        </w:tc>
        <w:tc>
          <w:tcPr>
            <w:tcW w:type="dxa" w:w="3168"/>
          </w:tcPr>
          <w:p>
            <w:pPr>
              <w:spacing w:after="40"/>
            </w:pPr>
            <w:r/>
            <w:r>
              <w:rPr>
                <w:rFonts w:ascii="Times New Roman" w:hAnsi="Times New Roman"/>
                <w:sz w:val="19"/>
              </w:rPr>
              <w:t>26.5% × (1 − 0.80 × 0.30)</w:t>
            </w:r>
          </w:p>
        </w:tc>
        <w:tc>
          <w:tcPr>
            <w:tcW w:type="dxa" w:w="3024"/>
          </w:tcPr>
          <w:p>
            <w:pPr>
              <w:spacing w:after="40"/>
            </w:pPr>
            <w:r/>
            <w:r>
              <w:rPr>
                <w:rFonts w:ascii="Times New Roman" w:hAnsi="Times New Roman"/>
                <w:sz w:val="19"/>
              </w:rPr>
              <w:t>≈ 20.1%</w:t>
            </w:r>
          </w:p>
        </w:tc>
      </w:tr>
    </w:tbl>
    <w:p>
      <w:pPr>
        <w:spacing w:after="80"/>
      </w:pPr>
    </w:p>
    <w:p>
      <w:pPr>
        <w:spacing w:after="120"/>
        <w:jc w:val="both"/>
      </w:pPr>
      <w:r>
        <w:rPr>
          <w:b w:val="0"/>
          <w:i/>
          <w:sz w:val="20"/>
        </w:rPr>
        <w:t>Note: the figures above are illustrative and are computed from stated assumptions; actual values will be produced by the deployed system from the live dataset and from campaign parameters supplied by the business.</w:t>
      </w:r>
    </w:p>
    <w:p>
      <w:pPr>
        <w:pStyle w:val="Heading2"/>
      </w:pPr>
      <w:r>
        <w:t>13.10 Phase 10 — Deployment</w:t>
      </w:r>
    </w:p>
    <w:p>
      <w:pPr>
        <w:pStyle w:val="ListBullet"/>
        <w:spacing w:after="60"/>
        <w:jc w:val="both"/>
      </w:pPr>
      <w:r>
        <w:t>Serialise the selected model, the fitted scaler and the encoders as .pkl artefacts so that inference reproduces the exact training-time transformations.</w:t>
      </w:r>
    </w:p>
    <w:p>
      <w:pPr>
        <w:pStyle w:val="ListBullet"/>
        <w:spacing w:after="60"/>
        <w:jc w:val="both"/>
      </w:pPr>
      <w:r>
        <w:t>Build the Streamlit application with distinct pages: Overview KPIs, Exploratory Analysis, Segmentation, Model Comparison, High-Risk Customers, Explainability, and Business Impact.</w:t>
      </w:r>
    </w:p>
    <w:p>
      <w:pPr>
        <w:pStyle w:val="ListBullet"/>
        <w:spacing w:after="60"/>
        <w:jc w:val="both"/>
      </w:pPr>
      <w:r>
        <w:t>Support two prediction modes: batch scoring of an uploaded customer file, and single-customer what-if prediction through an input form.</w:t>
      </w:r>
    </w:p>
    <w:p>
      <w:pPr>
        <w:pStyle w:val="ListBullet"/>
        <w:spacing w:after="60"/>
        <w:jc w:val="both"/>
      </w:pPr>
      <w:r>
        <w:t>Provide CSV export of the prioritised high-risk target list, including risk band, segment, reason codes and recommended action for each customer.</w:t>
      </w:r>
    </w:p>
    <w:p>
      <w:pPr>
        <w:pStyle w:val="ListBullet"/>
        <w:spacing w:after="60"/>
        <w:jc w:val="both"/>
      </w:pPr>
      <w:r>
        <w:t>Validate the deployed application on a held-out sample and document the run instructions in the project README.</w:t>
      </w:r>
    </w:p>
    <w:p>
      <w:r>
        <w:br w:type="page"/>
      </w:r>
    </w:p>
    <w:p>
      <w:pPr>
        <w:pStyle w:val="Heading1"/>
      </w:pPr>
      <w:r>
        <w:t>14. Dataset Description</w:t>
      </w:r>
    </w:p>
    <w:p>
      <w:pPr>
        <w:spacing w:after="120"/>
        <w:jc w:val="both"/>
      </w:pPr>
      <w:r>
        <w:rPr>
          <w:b w:val="0"/>
          <w:i w:val="0"/>
        </w:rPr>
        <w:t>The primary dataset used in this study is the publicly available Customer Churn Prediction dataset hosted on Kaggle. It is a cross-sectional, structured dataset of service subscribers containing demographic, account, service and billing attributes together with a binary churn label, and it is widely used as a benchmark in the churn-prediction literature.</w:t>
      </w:r>
    </w:p>
    <w:p>
      <w:pPr>
        <w:spacing w:after="160"/>
      </w:pPr>
      <w:r>
        <w:rPr>
          <w:b/>
        </w:rPr>
        <w:t xml:space="preserve">Dataset source: </w:t>
      </w:r>
      <w:r>
        <w:t>https://www.kaggle.com/datasets/deaneshtakkallapati/customer-churn-prediction/data</w:t>
      </w:r>
    </w:p>
    <w:tbl>
      <w:tblPr>
        <w:tblStyle w:val="TableGrid"/>
        <w:tblW w:type="auto" w:w="0"/>
        <w:jc w:val="center"/>
        <w:tblLayout w:type="fixed"/>
        <w:tblLook w:firstColumn="1" w:firstRow="1" w:lastColumn="0" w:lastRow="0" w:noHBand="0" w:noVBand="1" w:val="04A0"/>
        <w:tblLayout w:type="fixed"/>
      </w:tblPr>
      <w:tblGrid>
        <w:gridCol w:w="2160"/>
        <w:gridCol w:w="4752"/>
        <w:gridCol w:w="2304"/>
      </w:tblGrid>
      <w:tr>
        <w:tc>
          <w:tcPr>
            <w:tcW w:type="dxa" w:w="2160"/>
            <w:shd w:val="clear" w:color="auto" w:fill="1F3864"/>
          </w:tcPr>
          <w:p>
            <w:pPr>
              <w:spacing w:after="40"/>
            </w:pPr>
            <w:r/>
            <w:r>
              <w:rPr>
                <w:rFonts w:ascii="Calibri" w:hAnsi="Calibri"/>
                <w:b/>
                <w:color w:val="FFFFFF"/>
                <w:sz w:val="19"/>
              </w:rPr>
              <w:t>Attribute Group</w:t>
            </w:r>
          </w:p>
        </w:tc>
        <w:tc>
          <w:tcPr>
            <w:tcW w:type="dxa" w:w="4752"/>
            <w:shd w:val="clear" w:color="auto" w:fill="1F3864"/>
          </w:tcPr>
          <w:p>
            <w:pPr>
              <w:spacing w:after="40"/>
            </w:pPr>
            <w:r/>
            <w:r>
              <w:rPr>
                <w:rFonts w:ascii="Calibri" w:hAnsi="Calibri"/>
                <w:b/>
                <w:color w:val="FFFFFF"/>
                <w:sz w:val="19"/>
              </w:rPr>
              <w:t>Representative Fields</w:t>
            </w:r>
          </w:p>
        </w:tc>
        <w:tc>
          <w:tcPr>
            <w:tcW w:type="dxa" w:w="2304"/>
            <w:shd w:val="clear" w:color="auto" w:fill="1F3864"/>
          </w:tcPr>
          <w:p>
            <w:pPr>
              <w:spacing w:after="40"/>
            </w:pPr>
            <w:r/>
            <w:r>
              <w:rPr>
                <w:rFonts w:ascii="Calibri" w:hAnsi="Calibri"/>
                <w:b/>
                <w:color w:val="FFFFFF"/>
                <w:sz w:val="19"/>
              </w:rPr>
              <w:t>Type</w:t>
            </w:r>
          </w:p>
        </w:tc>
      </w:tr>
      <w:tr>
        <w:tc>
          <w:tcPr>
            <w:tcW w:type="dxa" w:w="2160"/>
          </w:tcPr>
          <w:p>
            <w:pPr>
              <w:spacing w:after="40"/>
            </w:pPr>
            <w:r/>
            <w:r>
              <w:rPr>
                <w:rFonts w:ascii="Times New Roman" w:hAnsi="Times New Roman"/>
                <w:sz w:val="19"/>
              </w:rPr>
              <w:t>Customer identity</w:t>
            </w:r>
          </w:p>
        </w:tc>
        <w:tc>
          <w:tcPr>
            <w:tcW w:type="dxa" w:w="4752"/>
          </w:tcPr>
          <w:p>
            <w:pPr>
              <w:spacing w:after="40"/>
            </w:pPr>
            <w:r/>
            <w:r>
              <w:rPr>
                <w:rFonts w:ascii="Times New Roman" w:hAnsi="Times New Roman"/>
                <w:sz w:val="19"/>
              </w:rPr>
              <w:t>customerID</w:t>
            </w:r>
          </w:p>
        </w:tc>
        <w:tc>
          <w:tcPr>
            <w:tcW w:type="dxa" w:w="2304"/>
          </w:tcPr>
          <w:p>
            <w:pPr>
              <w:spacing w:after="40"/>
            </w:pPr>
            <w:r/>
            <w:r>
              <w:rPr>
                <w:rFonts w:ascii="Times New Roman" w:hAnsi="Times New Roman"/>
                <w:sz w:val="19"/>
              </w:rPr>
              <w:t>Identifier (excluded from modelling)</w:t>
            </w:r>
          </w:p>
        </w:tc>
      </w:tr>
      <w:tr>
        <w:tc>
          <w:tcPr>
            <w:tcW w:type="dxa" w:w="2160"/>
            <w:shd w:val="clear" w:color="auto" w:fill="F2F5FA"/>
          </w:tcPr>
          <w:p>
            <w:pPr>
              <w:spacing w:after="40"/>
            </w:pPr>
            <w:r/>
            <w:r>
              <w:rPr>
                <w:rFonts w:ascii="Times New Roman" w:hAnsi="Times New Roman"/>
                <w:sz w:val="19"/>
              </w:rPr>
              <w:t>Demographics</w:t>
            </w:r>
          </w:p>
        </w:tc>
        <w:tc>
          <w:tcPr>
            <w:tcW w:type="dxa" w:w="4752"/>
            <w:shd w:val="clear" w:color="auto" w:fill="F2F5FA"/>
          </w:tcPr>
          <w:p>
            <w:pPr>
              <w:spacing w:after="40"/>
            </w:pPr>
            <w:r/>
            <w:r>
              <w:rPr>
                <w:rFonts w:ascii="Times New Roman" w:hAnsi="Times New Roman"/>
                <w:sz w:val="19"/>
              </w:rPr>
              <w:t>gender, SeniorCitizen, Partner, Dependents</w:t>
            </w:r>
          </w:p>
        </w:tc>
        <w:tc>
          <w:tcPr>
            <w:tcW w:type="dxa" w:w="2304"/>
            <w:shd w:val="clear" w:color="auto" w:fill="F2F5FA"/>
          </w:tcPr>
          <w:p>
            <w:pPr>
              <w:spacing w:after="40"/>
            </w:pPr>
            <w:r/>
            <w:r>
              <w:rPr>
                <w:rFonts w:ascii="Times New Roman" w:hAnsi="Times New Roman"/>
                <w:sz w:val="19"/>
              </w:rPr>
              <w:t>Categorical / binary</w:t>
            </w:r>
          </w:p>
        </w:tc>
      </w:tr>
      <w:tr>
        <w:tc>
          <w:tcPr>
            <w:tcW w:type="dxa" w:w="2160"/>
          </w:tcPr>
          <w:p>
            <w:pPr>
              <w:spacing w:after="40"/>
            </w:pPr>
            <w:r/>
            <w:r>
              <w:rPr>
                <w:rFonts w:ascii="Times New Roman" w:hAnsi="Times New Roman"/>
                <w:sz w:val="19"/>
              </w:rPr>
              <w:t>Account information</w:t>
            </w:r>
          </w:p>
        </w:tc>
        <w:tc>
          <w:tcPr>
            <w:tcW w:type="dxa" w:w="4752"/>
          </w:tcPr>
          <w:p>
            <w:pPr>
              <w:spacing w:after="40"/>
            </w:pPr>
            <w:r/>
            <w:r>
              <w:rPr>
                <w:rFonts w:ascii="Times New Roman" w:hAnsi="Times New Roman"/>
                <w:sz w:val="19"/>
              </w:rPr>
              <w:t>tenure, Contract, PaperlessBilling, PaymentMethod</w:t>
            </w:r>
          </w:p>
        </w:tc>
        <w:tc>
          <w:tcPr>
            <w:tcW w:type="dxa" w:w="2304"/>
          </w:tcPr>
          <w:p>
            <w:pPr>
              <w:spacing w:after="40"/>
            </w:pPr>
            <w:r/>
            <w:r>
              <w:rPr>
                <w:rFonts w:ascii="Times New Roman" w:hAnsi="Times New Roman"/>
                <w:sz w:val="19"/>
              </w:rPr>
              <w:t>Numerical &amp; categorical</w:t>
            </w:r>
          </w:p>
        </w:tc>
      </w:tr>
      <w:tr>
        <w:tc>
          <w:tcPr>
            <w:tcW w:type="dxa" w:w="2160"/>
            <w:shd w:val="clear" w:color="auto" w:fill="F2F5FA"/>
          </w:tcPr>
          <w:p>
            <w:pPr>
              <w:spacing w:after="40"/>
            </w:pPr>
            <w:r/>
            <w:r>
              <w:rPr>
                <w:rFonts w:ascii="Times New Roman" w:hAnsi="Times New Roman"/>
                <w:sz w:val="19"/>
              </w:rPr>
              <w:t>Services subscribed</w:t>
            </w:r>
          </w:p>
        </w:tc>
        <w:tc>
          <w:tcPr>
            <w:tcW w:type="dxa" w:w="4752"/>
            <w:shd w:val="clear" w:color="auto" w:fill="F2F5FA"/>
          </w:tcPr>
          <w:p>
            <w:pPr>
              <w:spacing w:after="40"/>
            </w:pPr>
            <w:r/>
            <w:r>
              <w:rPr>
                <w:rFonts w:ascii="Times New Roman" w:hAnsi="Times New Roman"/>
                <w:sz w:val="19"/>
              </w:rPr>
              <w:t>PhoneService, MultipleLines, InternetService, OnlineSecurity, OnlineBackup, DeviceProtection, TechSupport, StreamingTV, StreamingMovies</w:t>
            </w:r>
          </w:p>
        </w:tc>
        <w:tc>
          <w:tcPr>
            <w:tcW w:type="dxa" w:w="2304"/>
            <w:shd w:val="clear" w:color="auto" w:fill="F2F5FA"/>
          </w:tcPr>
          <w:p>
            <w:pPr>
              <w:spacing w:after="40"/>
            </w:pPr>
            <w:r/>
            <w:r>
              <w:rPr>
                <w:rFonts w:ascii="Times New Roman" w:hAnsi="Times New Roman"/>
                <w:sz w:val="19"/>
              </w:rPr>
              <w:t>Categorical</w:t>
            </w:r>
          </w:p>
        </w:tc>
      </w:tr>
      <w:tr>
        <w:tc>
          <w:tcPr>
            <w:tcW w:type="dxa" w:w="2160"/>
          </w:tcPr>
          <w:p>
            <w:pPr>
              <w:spacing w:after="40"/>
            </w:pPr>
            <w:r/>
            <w:r>
              <w:rPr>
                <w:rFonts w:ascii="Times New Roman" w:hAnsi="Times New Roman"/>
                <w:sz w:val="19"/>
              </w:rPr>
              <w:t>Billing</w:t>
            </w:r>
          </w:p>
        </w:tc>
        <w:tc>
          <w:tcPr>
            <w:tcW w:type="dxa" w:w="4752"/>
          </w:tcPr>
          <w:p>
            <w:pPr>
              <w:spacing w:after="40"/>
            </w:pPr>
            <w:r/>
            <w:r>
              <w:rPr>
                <w:rFonts w:ascii="Times New Roman" w:hAnsi="Times New Roman"/>
                <w:sz w:val="19"/>
              </w:rPr>
              <w:t>MonthlyCharges, TotalCharges</w:t>
            </w:r>
          </w:p>
        </w:tc>
        <w:tc>
          <w:tcPr>
            <w:tcW w:type="dxa" w:w="2304"/>
          </w:tcPr>
          <w:p>
            <w:pPr>
              <w:spacing w:after="40"/>
            </w:pPr>
            <w:r/>
            <w:r>
              <w:rPr>
                <w:rFonts w:ascii="Times New Roman" w:hAnsi="Times New Roman"/>
                <w:sz w:val="19"/>
              </w:rPr>
              <w:t>Numerical (TotalCharges requires type correction)</w:t>
            </w:r>
          </w:p>
        </w:tc>
      </w:tr>
      <w:tr>
        <w:tc>
          <w:tcPr>
            <w:tcW w:type="dxa" w:w="2160"/>
            <w:shd w:val="clear" w:color="auto" w:fill="F2F5FA"/>
          </w:tcPr>
          <w:p>
            <w:pPr>
              <w:spacing w:after="40"/>
            </w:pPr>
            <w:r/>
            <w:r>
              <w:rPr>
                <w:rFonts w:ascii="Times New Roman" w:hAnsi="Times New Roman"/>
                <w:sz w:val="19"/>
              </w:rPr>
              <w:t>Target</w:t>
            </w:r>
          </w:p>
        </w:tc>
        <w:tc>
          <w:tcPr>
            <w:tcW w:type="dxa" w:w="4752"/>
            <w:shd w:val="clear" w:color="auto" w:fill="F2F5FA"/>
          </w:tcPr>
          <w:p>
            <w:pPr>
              <w:spacing w:after="40"/>
            </w:pPr>
            <w:r/>
            <w:r>
              <w:rPr>
                <w:rFonts w:ascii="Times New Roman" w:hAnsi="Times New Roman"/>
                <w:sz w:val="19"/>
              </w:rPr>
              <w:t>Churn (Yes / No)</w:t>
            </w:r>
          </w:p>
        </w:tc>
        <w:tc>
          <w:tcPr>
            <w:tcW w:type="dxa" w:w="2304"/>
            <w:shd w:val="clear" w:color="auto" w:fill="F2F5FA"/>
          </w:tcPr>
          <w:p>
            <w:pPr>
              <w:spacing w:after="40"/>
            </w:pPr>
            <w:r/>
            <w:r>
              <w:rPr>
                <w:rFonts w:ascii="Times New Roman" w:hAnsi="Times New Roman"/>
                <w:sz w:val="19"/>
              </w:rPr>
              <w:t>Binary categorical → encoded to 1 / 0</w:t>
            </w:r>
          </w:p>
        </w:tc>
      </w:tr>
    </w:tbl>
    <w:p>
      <w:pPr>
        <w:spacing w:after="80"/>
      </w:pPr>
    </w:p>
    <w:p>
      <w:pPr>
        <w:pStyle w:val="Heading2"/>
      </w:pPr>
      <w:r>
        <w:t>14.1 Known Data Characteristics</w:t>
      </w:r>
    </w:p>
    <w:p>
      <w:pPr>
        <w:pStyle w:val="ListBullet"/>
        <w:spacing w:after="60"/>
        <w:jc w:val="both"/>
      </w:pPr>
      <w:r>
        <w:t>Approximately 7,000 customer records with more than 20 attributes.</w:t>
      </w:r>
    </w:p>
    <w:p>
      <w:pPr>
        <w:pStyle w:val="ListBullet"/>
        <w:spacing w:after="60"/>
        <w:jc w:val="both"/>
      </w:pPr>
      <w:r>
        <w:t>Baseline churn rate of roughly 26.5%, giving a moderately imbalanced classification problem.</w:t>
      </w:r>
    </w:p>
    <w:p>
      <w:pPr>
        <w:pStyle w:val="ListBullet"/>
        <w:spacing w:after="60"/>
        <w:jc w:val="both"/>
      </w:pPr>
      <w:r>
        <w:t>TotalCharges is stored as text and contains blank entries for customers with zero tenure, requiring explicit cleaning.</w:t>
      </w:r>
    </w:p>
    <w:p>
      <w:pPr>
        <w:pStyle w:val="ListBullet"/>
        <w:spacing w:after="60"/>
        <w:jc w:val="both"/>
      </w:pPr>
      <w:r>
        <w:t>Tenure and TotalCharges are strongly correlated, so multicollinearity must be considered for the Logistic Regression model.</w:t>
      </w:r>
    </w:p>
    <w:p>
      <w:pPr>
        <w:pStyle w:val="ListBullet"/>
        <w:spacing w:after="60"/>
        <w:jc w:val="both"/>
      </w:pPr>
      <w:r>
        <w:t>The dataset is anonymised and contains no personally identifiable information, so no additional privacy treatment is required for academic use.</w:t>
      </w:r>
    </w:p>
    <w:p>
      <w:pPr>
        <w:pStyle w:val="Heading1"/>
      </w:pPr>
      <w:r>
        <w:t>15. Hardware and Software Requirements</w:t>
      </w:r>
    </w:p>
    <w:p>
      <w:pPr>
        <w:pStyle w:val="Heading2"/>
      </w:pPr>
      <w:r>
        <w:t>15.1 Hardware Requirements</w:t>
      </w:r>
    </w:p>
    <w:tbl>
      <w:tblPr>
        <w:tblStyle w:val="TableGrid"/>
        <w:tblW w:type="auto" w:w="0"/>
        <w:jc w:val="center"/>
        <w:tblLayout w:type="fixed"/>
        <w:tblLook w:firstColumn="1" w:firstRow="1" w:lastColumn="0" w:lastRow="0" w:noHBand="0" w:noVBand="1" w:val="04A0"/>
        <w:tblLayout w:type="fixed"/>
      </w:tblPr>
      <w:tblGrid>
        <w:gridCol w:w="1872"/>
        <w:gridCol w:w="3744"/>
        <w:gridCol w:w="3600"/>
      </w:tblGrid>
      <w:tr>
        <w:tc>
          <w:tcPr>
            <w:tcW w:type="dxa" w:w="1872"/>
            <w:shd w:val="clear" w:color="auto" w:fill="1F3864"/>
          </w:tcPr>
          <w:p>
            <w:pPr>
              <w:spacing w:after="40"/>
            </w:pPr>
            <w:r/>
            <w:r>
              <w:rPr>
                <w:rFonts w:ascii="Calibri" w:hAnsi="Calibri"/>
                <w:b/>
                <w:color w:val="FFFFFF"/>
                <w:sz w:val="19"/>
              </w:rPr>
              <w:t>Component</w:t>
            </w:r>
          </w:p>
        </w:tc>
        <w:tc>
          <w:tcPr>
            <w:tcW w:type="dxa" w:w="3744"/>
            <w:shd w:val="clear" w:color="auto" w:fill="1F3864"/>
          </w:tcPr>
          <w:p>
            <w:pPr>
              <w:spacing w:after="40"/>
            </w:pPr>
            <w:r/>
            <w:r>
              <w:rPr>
                <w:rFonts w:ascii="Calibri" w:hAnsi="Calibri"/>
                <w:b/>
                <w:color w:val="FFFFFF"/>
                <w:sz w:val="19"/>
              </w:rPr>
              <w:t>Minimum Specification</w:t>
            </w:r>
          </w:p>
        </w:tc>
        <w:tc>
          <w:tcPr>
            <w:tcW w:type="dxa" w:w="3600"/>
            <w:shd w:val="clear" w:color="auto" w:fill="1F3864"/>
          </w:tcPr>
          <w:p>
            <w:pPr>
              <w:spacing w:after="40"/>
            </w:pPr>
            <w:r/>
            <w:r>
              <w:rPr>
                <w:rFonts w:ascii="Calibri" w:hAnsi="Calibri"/>
                <w:b/>
                <w:color w:val="FFFFFF"/>
                <w:sz w:val="19"/>
              </w:rPr>
              <w:t>Recommended Specification</w:t>
            </w:r>
          </w:p>
        </w:tc>
      </w:tr>
      <w:tr>
        <w:tc>
          <w:tcPr>
            <w:tcW w:type="dxa" w:w="1872"/>
          </w:tcPr>
          <w:p>
            <w:pPr>
              <w:spacing w:after="40"/>
            </w:pPr>
            <w:r/>
            <w:r>
              <w:rPr>
                <w:rFonts w:ascii="Times New Roman" w:hAnsi="Times New Roman"/>
                <w:sz w:val="19"/>
              </w:rPr>
              <w:t>Processor</w:t>
            </w:r>
          </w:p>
        </w:tc>
        <w:tc>
          <w:tcPr>
            <w:tcW w:type="dxa" w:w="3744"/>
          </w:tcPr>
          <w:p>
            <w:pPr>
              <w:spacing w:after="40"/>
            </w:pPr>
            <w:r/>
            <w:r>
              <w:rPr>
                <w:rFonts w:ascii="Times New Roman" w:hAnsi="Times New Roman"/>
                <w:sz w:val="19"/>
              </w:rPr>
              <w:t>Intel Core i5 (8th generation) or AMD Ryzen 5</w:t>
            </w:r>
          </w:p>
        </w:tc>
        <w:tc>
          <w:tcPr>
            <w:tcW w:type="dxa" w:w="3600"/>
          </w:tcPr>
          <w:p>
            <w:pPr>
              <w:spacing w:after="40"/>
            </w:pPr>
            <w:r/>
            <w:r>
              <w:rPr>
                <w:rFonts w:ascii="Times New Roman" w:hAnsi="Times New Roman"/>
                <w:sz w:val="19"/>
              </w:rPr>
              <w:t>Intel Core i7 / Ryzen 7 or higher</w:t>
            </w:r>
          </w:p>
        </w:tc>
      </w:tr>
      <w:tr>
        <w:tc>
          <w:tcPr>
            <w:tcW w:type="dxa" w:w="1872"/>
            <w:shd w:val="clear" w:color="auto" w:fill="F2F5FA"/>
          </w:tcPr>
          <w:p>
            <w:pPr>
              <w:spacing w:after="40"/>
            </w:pPr>
            <w:r/>
            <w:r>
              <w:rPr>
                <w:rFonts w:ascii="Times New Roman" w:hAnsi="Times New Roman"/>
                <w:sz w:val="19"/>
              </w:rPr>
              <w:t>RAM</w:t>
            </w:r>
          </w:p>
        </w:tc>
        <w:tc>
          <w:tcPr>
            <w:tcW w:type="dxa" w:w="3744"/>
            <w:shd w:val="clear" w:color="auto" w:fill="F2F5FA"/>
          </w:tcPr>
          <w:p>
            <w:pPr>
              <w:spacing w:after="40"/>
            </w:pPr>
            <w:r/>
            <w:r>
              <w:rPr>
                <w:rFonts w:ascii="Times New Roman" w:hAnsi="Times New Roman"/>
                <w:sz w:val="19"/>
              </w:rPr>
              <w:t>8 GB</w:t>
            </w:r>
          </w:p>
        </w:tc>
        <w:tc>
          <w:tcPr>
            <w:tcW w:type="dxa" w:w="3600"/>
            <w:shd w:val="clear" w:color="auto" w:fill="F2F5FA"/>
          </w:tcPr>
          <w:p>
            <w:pPr>
              <w:spacing w:after="40"/>
            </w:pPr>
            <w:r/>
            <w:r>
              <w:rPr>
                <w:rFonts w:ascii="Times New Roman" w:hAnsi="Times New Roman"/>
                <w:sz w:val="19"/>
              </w:rPr>
              <w:t>16 GB</w:t>
            </w:r>
          </w:p>
        </w:tc>
      </w:tr>
      <w:tr>
        <w:tc>
          <w:tcPr>
            <w:tcW w:type="dxa" w:w="1872"/>
          </w:tcPr>
          <w:p>
            <w:pPr>
              <w:spacing w:after="40"/>
            </w:pPr>
            <w:r/>
            <w:r>
              <w:rPr>
                <w:rFonts w:ascii="Times New Roman" w:hAnsi="Times New Roman"/>
                <w:sz w:val="19"/>
              </w:rPr>
              <w:t>Storage</w:t>
            </w:r>
          </w:p>
        </w:tc>
        <w:tc>
          <w:tcPr>
            <w:tcW w:type="dxa" w:w="3744"/>
          </w:tcPr>
          <w:p>
            <w:pPr>
              <w:spacing w:after="40"/>
            </w:pPr>
            <w:r/>
            <w:r>
              <w:rPr>
                <w:rFonts w:ascii="Times New Roman" w:hAnsi="Times New Roman"/>
                <w:sz w:val="19"/>
              </w:rPr>
              <w:t>10 GB free disk space</w:t>
            </w:r>
          </w:p>
        </w:tc>
        <w:tc>
          <w:tcPr>
            <w:tcW w:type="dxa" w:w="3600"/>
          </w:tcPr>
          <w:p>
            <w:pPr>
              <w:spacing w:after="40"/>
            </w:pPr>
            <w:r/>
            <w:r>
              <w:rPr>
                <w:rFonts w:ascii="Times New Roman" w:hAnsi="Times New Roman"/>
                <w:sz w:val="19"/>
              </w:rPr>
              <w:t>20 GB free SSD space</w:t>
            </w:r>
          </w:p>
        </w:tc>
      </w:tr>
      <w:tr>
        <w:tc>
          <w:tcPr>
            <w:tcW w:type="dxa" w:w="1872"/>
            <w:shd w:val="clear" w:color="auto" w:fill="F2F5FA"/>
          </w:tcPr>
          <w:p>
            <w:pPr>
              <w:spacing w:after="40"/>
            </w:pPr>
            <w:r/>
            <w:r>
              <w:rPr>
                <w:rFonts w:ascii="Times New Roman" w:hAnsi="Times New Roman"/>
                <w:sz w:val="19"/>
              </w:rPr>
              <w:t>Display</w:t>
            </w:r>
          </w:p>
        </w:tc>
        <w:tc>
          <w:tcPr>
            <w:tcW w:type="dxa" w:w="3744"/>
            <w:shd w:val="clear" w:color="auto" w:fill="F2F5FA"/>
          </w:tcPr>
          <w:p>
            <w:pPr>
              <w:spacing w:after="40"/>
            </w:pPr>
            <w:r/>
            <w:r>
              <w:rPr>
                <w:rFonts w:ascii="Times New Roman" w:hAnsi="Times New Roman"/>
                <w:sz w:val="19"/>
              </w:rPr>
              <w:t>1366 × 768</w:t>
            </w:r>
          </w:p>
        </w:tc>
        <w:tc>
          <w:tcPr>
            <w:tcW w:type="dxa" w:w="3600"/>
            <w:shd w:val="clear" w:color="auto" w:fill="F2F5FA"/>
          </w:tcPr>
          <w:p>
            <w:pPr>
              <w:spacing w:after="40"/>
            </w:pPr>
            <w:r/>
            <w:r>
              <w:rPr>
                <w:rFonts w:ascii="Times New Roman" w:hAnsi="Times New Roman"/>
                <w:sz w:val="19"/>
              </w:rPr>
              <w:t>1920 × 1080 or higher (for dashboard readability)</w:t>
            </w:r>
          </w:p>
        </w:tc>
      </w:tr>
      <w:tr>
        <w:tc>
          <w:tcPr>
            <w:tcW w:type="dxa" w:w="1872"/>
          </w:tcPr>
          <w:p>
            <w:pPr>
              <w:spacing w:after="40"/>
            </w:pPr>
            <w:r/>
            <w:r>
              <w:rPr>
                <w:rFonts w:ascii="Times New Roman" w:hAnsi="Times New Roman"/>
                <w:sz w:val="19"/>
              </w:rPr>
              <w:t>GPU</w:t>
            </w:r>
          </w:p>
        </w:tc>
        <w:tc>
          <w:tcPr>
            <w:tcW w:type="dxa" w:w="3744"/>
          </w:tcPr>
          <w:p>
            <w:pPr>
              <w:spacing w:after="40"/>
            </w:pPr>
            <w:r/>
            <w:r>
              <w:rPr>
                <w:rFonts w:ascii="Times New Roman" w:hAnsi="Times New Roman"/>
                <w:sz w:val="19"/>
              </w:rPr>
              <w:t>Not required (classical ML on tabular data)</w:t>
            </w:r>
          </w:p>
        </w:tc>
        <w:tc>
          <w:tcPr>
            <w:tcW w:type="dxa" w:w="3600"/>
          </w:tcPr>
          <w:p>
            <w:pPr>
              <w:spacing w:after="40"/>
            </w:pPr>
            <w:r/>
            <w:r>
              <w:rPr>
                <w:rFonts w:ascii="Times New Roman" w:hAnsi="Times New Roman"/>
                <w:sz w:val="19"/>
              </w:rPr>
              <w:t>Optional; useful only for future deep-learning extensions</w:t>
            </w:r>
          </w:p>
        </w:tc>
      </w:tr>
      <w:tr>
        <w:tc>
          <w:tcPr>
            <w:tcW w:type="dxa" w:w="1872"/>
            <w:shd w:val="clear" w:color="auto" w:fill="F2F5FA"/>
          </w:tcPr>
          <w:p>
            <w:pPr>
              <w:spacing w:after="40"/>
            </w:pPr>
            <w:r/>
            <w:r>
              <w:rPr>
                <w:rFonts w:ascii="Times New Roman" w:hAnsi="Times New Roman"/>
                <w:sz w:val="19"/>
              </w:rPr>
              <w:t>Network</w:t>
            </w:r>
          </w:p>
        </w:tc>
        <w:tc>
          <w:tcPr>
            <w:tcW w:type="dxa" w:w="3744"/>
            <w:shd w:val="clear" w:color="auto" w:fill="F2F5FA"/>
          </w:tcPr>
          <w:p>
            <w:pPr>
              <w:spacing w:after="40"/>
            </w:pPr>
            <w:r/>
            <w:r>
              <w:rPr>
                <w:rFonts w:ascii="Times New Roman" w:hAnsi="Times New Roman"/>
                <w:sz w:val="19"/>
              </w:rPr>
              <w:t>Stable internet connection for package installation and dataset download</w:t>
            </w:r>
          </w:p>
        </w:tc>
        <w:tc>
          <w:tcPr>
            <w:tcW w:type="dxa" w:w="3600"/>
            <w:shd w:val="clear" w:color="auto" w:fill="F2F5FA"/>
          </w:tcPr>
          <w:p>
            <w:pPr>
              <w:spacing w:after="40"/>
            </w:pPr>
            <w:r/>
            <w:r>
              <w:rPr>
                <w:rFonts w:ascii="Times New Roman" w:hAnsi="Times New Roman"/>
                <w:sz w:val="19"/>
              </w:rPr>
              <w:t>Broadband connection; required if the dashboard is hosted remotely</w:t>
            </w:r>
          </w:p>
        </w:tc>
      </w:tr>
    </w:tbl>
    <w:p>
      <w:pPr>
        <w:spacing w:after="80"/>
      </w:pPr>
    </w:p>
    <w:p>
      <w:pPr>
        <w:pStyle w:val="Heading2"/>
      </w:pPr>
      <w:r>
        <w:t>15.2 Software Requirements</w:t>
      </w:r>
    </w:p>
    <w:tbl>
      <w:tblPr>
        <w:tblStyle w:val="TableGrid"/>
        <w:tblW w:type="auto" w:w="0"/>
        <w:jc w:val="center"/>
        <w:tblLayout w:type="fixed"/>
        <w:tblLook w:firstColumn="1" w:firstRow="1" w:lastColumn="0" w:lastRow="0" w:noHBand="0" w:noVBand="1" w:val="04A0"/>
        <w:tblLayout w:type="fixed"/>
      </w:tblPr>
      <w:tblGrid>
        <w:gridCol w:w="1800"/>
        <w:gridCol w:w="2520"/>
        <w:gridCol w:w="1512"/>
        <w:gridCol w:w="3384"/>
      </w:tblGrid>
      <w:tr>
        <w:tc>
          <w:tcPr>
            <w:tcW w:type="dxa" w:w="1800"/>
            <w:shd w:val="clear" w:color="auto" w:fill="1F3864"/>
          </w:tcPr>
          <w:p>
            <w:pPr>
              <w:spacing w:after="40"/>
            </w:pPr>
            <w:r/>
            <w:r>
              <w:rPr>
                <w:rFonts w:ascii="Calibri" w:hAnsi="Calibri"/>
                <w:b/>
                <w:color w:val="FFFFFF"/>
                <w:sz w:val="18"/>
              </w:rPr>
              <w:t>Category</w:t>
            </w:r>
          </w:p>
        </w:tc>
        <w:tc>
          <w:tcPr>
            <w:tcW w:type="dxa" w:w="2520"/>
            <w:shd w:val="clear" w:color="auto" w:fill="1F3864"/>
          </w:tcPr>
          <w:p>
            <w:pPr>
              <w:spacing w:after="40"/>
            </w:pPr>
            <w:r/>
            <w:r>
              <w:rPr>
                <w:rFonts w:ascii="Calibri" w:hAnsi="Calibri"/>
                <w:b/>
                <w:color w:val="FFFFFF"/>
                <w:sz w:val="18"/>
              </w:rPr>
              <w:t>Software / Library</w:t>
            </w:r>
          </w:p>
        </w:tc>
        <w:tc>
          <w:tcPr>
            <w:tcW w:type="dxa" w:w="1512"/>
            <w:shd w:val="clear" w:color="auto" w:fill="1F3864"/>
          </w:tcPr>
          <w:p>
            <w:pPr>
              <w:spacing w:after="40"/>
            </w:pPr>
            <w:r/>
            <w:r>
              <w:rPr>
                <w:rFonts w:ascii="Calibri" w:hAnsi="Calibri"/>
                <w:b/>
                <w:color w:val="FFFFFF"/>
                <w:sz w:val="18"/>
              </w:rPr>
              <w:t>Version</w:t>
            </w:r>
          </w:p>
        </w:tc>
        <w:tc>
          <w:tcPr>
            <w:tcW w:type="dxa" w:w="3384"/>
            <w:shd w:val="clear" w:color="auto" w:fill="1F3864"/>
          </w:tcPr>
          <w:p>
            <w:pPr>
              <w:spacing w:after="40"/>
            </w:pPr>
            <w:r/>
            <w:r>
              <w:rPr>
                <w:rFonts w:ascii="Calibri" w:hAnsi="Calibri"/>
                <w:b/>
                <w:color w:val="FFFFFF"/>
                <w:sz w:val="18"/>
              </w:rPr>
              <w:t>Purpose</w:t>
            </w:r>
          </w:p>
        </w:tc>
      </w:tr>
      <w:tr>
        <w:tc>
          <w:tcPr>
            <w:tcW w:type="dxa" w:w="1800"/>
          </w:tcPr>
          <w:p>
            <w:pPr>
              <w:spacing w:after="40"/>
            </w:pPr>
            <w:r/>
            <w:r>
              <w:rPr>
                <w:rFonts w:ascii="Times New Roman" w:hAnsi="Times New Roman"/>
                <w:sz w:val="18"/>
              </w:rPr>
              <w:t>Operating System</w:t>
            </w:r>
          </w:p>
        </w:tc>
        <w:tc>
          <w:tcPr>
            <w:tcW w:type="dxa" w:w="2520"/>
          </w:tcPr>
          <w:p>
            <w:pPr>
              <w:spacing w:after="40"/>
            </w:pPr>
            <w:r/>
            <w:r>
              <w:rPr>
                <w:rFonts w:ascii="Times New Roman" w:hAnsi="Times New Roman"/>
                <w:sz w:val="18"/>
              </w:rPr>
              <w:t>Windows 10/11, Ubuntu 20.04+ or macOS</w:t>
            </w:r>
          </w:p>
        </w:tc>
        <w:tc>
          <w:tcPr>
            <w:tcW w:type="dxa" w:w="1512"/>
          </w:tcPr>
          <w:p>
            <w:pPr>
              <w:spacing w:after="40"/>
            </w:pPr>
            <w:r/>
            <w:r>
              <w:rPr>
                <w:rFonts w:ascii="Times New Roman" w:hAnsi="Times New Roman"/>
                <w:sz w:val="18"/>
              </w:rPr>
              <w:t>—</w:t>
            </w:r>
          </w:p>
        </w:tc>
        <w:tc>
          <w:tcPr>
            <w:tcW w:type="dxa" w:w="3384"/>
          </w:tcPr>
          <w:p>
            <w:pPr>
              <w:spacing w:after="40"/>
            </w:pPr>
            <w:r/>
            <w:r>
              <w:rPr>
                <w:rFonts w:ascii="Times New Roman" w:hAnsi="Times New Roman"/>
                <w:sz w:val="18"/>
              </w:rPr>
              <w:t>Development and deployment platform</w:t>
            </w:r>
          </w:p>
        </w:tc>
      </w:tr>
      <w:tr>
        <w:tc>
          <w:tcPr>
            <w:tcW w:type="dxa" w:w="1800"/>
            <w:shd w:val="clear" w:color="auto" w:fill="F2F5FA"/>
          </w:tcPr>
          <w:p>
            <w:pPr>
              <w:spacing w:after="40"/>
            </w:pPr>
            <w:r/>
            <w:r>
              <w:rPr>
                <w:rFonts w:ascii="Times New Roman" w:hAnsi="Times New Roman"/>
                <w:sz w:val="18"/>
              </w:rPr>
              <w:t>Language</w:t>
            </w:r>
          </w:p>
        </w:tc>
        <w:tc>
          <w:tcPr>
            <w:tcW w:type="dxa" w:w="2520"/>
            <w:shd w:val="clear" w:color="auto" w:fill="F2F5FA"/>
          </w:tcPr>
          <w:p>
            <w:pPr>
              <w:spacing w:after="40"/>
            </w:pPr>
            <w:r/>
            <w:r>
              <w:rPr>
                <w:rFonts w:ascii="Times New Roman" w:hAnsi="Times New Roman"/>
                <w:sz w:val="18"/>
              </w:rPr>
              <w:t>Python</w:t>
            </w:r>
          </w:p>
        </w:tc>
        <w:tc>
          <w:tcPr>
            <w:tcW w:type="dxa" w:w="1512"/>
            <w:shd w:val="clear" w:color="auto" w:fill="F2F5FA"/>
          </w:tcPr>
          <w:p>
            <w:pPr>
              <w:spacing w:after="40"/>
            </w:pPr>
            <w:r/>
            <w:r>
              <w:rPr>
                <w:rFonts w:ascii="Times New Roman" w:hAnsi="Times New Roman"/>
                <w:sz w:val="18"/>
              </w:rPr>
              <w:t>3.8 or higher</w:t>
            </w:r>
          </w:p>
        </w:tc>
        <w:tc>
          <w:tcPr>
            <w:tcW w:type="dxa" w:w="3384"/>
            <w:shd w:val="clear" w:color="auto" w:fill="F2F5FA"/>
          </w:tcPr>
          <w:p>
            <w:pPr>
              <w:spacing w:after="40"/>
            </w:pPr>
            <w:r/>
            <w:r>
              <w:rPr>
                <w:rFonts w:ascii="Times New Roman" w:hAnsi="Times New Roman"/>
                <w:sz w:val="18"/>
              </w:rPr>
              <w:t>Core implementation language</w:t>
            </w:r>
          </w:p>
        </w:tc>
      </w:tr>
      <w:tr>
        <w:tc>
          <w:tcPr>
            <w:tcW w:type="dxa" w:w="1800"/>
          </w:tcPr>
          <w:p>
            <w:pPr>
              <w:spacing w:after="40"/>
            </w:pPr>
            <w:r/>
            <w:r>
              <w:rPr>
                <w:rFonts w:ascii="Times New Roman" w:hAnsi="Times New Roman"/>
                <w:sz w:val="18"/>
              </w:rPr>
              <w:t>IDE / Environment</w:t>
            </w:r>
          </w:p>
        </w:tc>
        <w:tc>
          <w:tcPr>
            <w:tcW w:type="dxa" w:w="2520"/>
          </w:tcPr>
          <w:p>
            <w:pPr>
              <w:spacing w:after="40"/>
            </w:pPr>
            <w:r/>
            <w:r>
              <w:rPr>
                <w:rFonts w:ascii="Times New Roman" w:hAnsi="Times New Roman"/>
                <w:sz w:val="18"/>
              </w:rPr>
              <w:t>Jupyter Notebook, VS Code, Google Colab</w:t>
            </w:r>
          </w:p>
        </w:tc>
        <w:tc>
          <w:tcPr>
            <w:tcW w:type="dxa" w:w="1512"/>
          </w:tcPr>
          <w:p>
            <w:pPr>
              <w:spacing w:after="40"/>
            </w:pPr>
            <w:r/>
            <w:r>
              <w:rPr>
                <w:rFonts w:ascii="Times New Roman" w:hAnsi="Times New Roman"/>
                <w:sz w:val="18"/>
              </w:rPr>
              <w:t>Latest</w:t>
            </w:r>
          </w:p>
        </w:tc>
        <w:tc>
          <w:tcPr>
            <w:tcW w:type="dxa" w:w="3384"/>
          </w:tcPr>
          <w:p>
            <w:pPr>
              <w:spacing w:after="40"/>
            </w:pPr>
            <w:r/>
            <w:r>
              <w:rPr>
                <w:rFonts w:ascii="Times New Roman" w:hAnsi="Times New Roman"/>
                <w:sz w:val="18"/>
              </w:rPr>
              <w:t>Development, experimentation and documentation</w:t>
            </w:r>
          </w:p>
        </w:tc>
      </w:tr>
      <w:tr>
        <w:tc>
          <w:tcPr>
            <w:tcW w:type="dxa" w:w="1800"/>
            <w:shd w:val="clear" w:color="auto" w:fill="F2F5FA"/>
          </w:tcPr>
          <w:p>
            <w:pPr>
              <w:spacing w:after="40"/>
            </w:pPr>
            <w:r/>
            <w:r>
              <w:rPr>
                <w:rFonts w:ascii="Times New Roman" w:hAnsi="Times New Roman"/>
                <w:sz w:val="18"/>
              </w:rPr>
              <w:t>Data handling</w:t>
            </w:r>
          </w:p>
        </w:tc>
        <w:tc>
          <w:tcPr>
            <w:tcW w:type="dxa" w:w="2520"/>
            <w:shd w:val="clear" w:color="auto" w:fill="F2F5FA"/>
          </w:tcPr>
          <w:p>
            <w:pPr>
              <w:spacing w:after="40"/>
            </w:pPr>
            <w:r/>
            <w:r>
              <w:rPr>
                <w:rFonts w:ascii="Times New Roman" w:hAnsi="Times New Roman"/>
                <w:sz w:val="18"/>
              </w:rPr>
              <w:t>NumPy, Pandas</w:t>
            </w:r>
          </w:p>
        </w:tc>
        <w:tc>
          <w:tcPr>
            <w:tcW w:type="dxa" w:w="1512"/>
            <w:shd w:val="clear" w:color="auto" w:fill="F2F5FA"/>
          </w:tcPr>
          <w:p>
            <w:pPr>
              <w:spacing w:after="40"/>
            </w:pPr>
            <w:r/>
            <w:r>
              <w:rPr>
                <w:rFonts w:ascii="Times New Roman" w:hAnsi="Times New Roman"/>
                <w:sz w:val="18"/>
              </w:rPr>
              <w:t>Latest stable</w:t>
            </w:r>
          </w:p>
        </w:tc>
        <w:tc>
          <w:tcPr>
            <w:tcW w:type="dxa" w:w="3384"/>
            <w:shd w:val="clear" w:color="auto" w:fill="F2F5FA"/>
          </w:tcPr>
          <w:p>
            <w:pPr>
              <w:spacing w:after="40"/>
            </w:pPr>
            <w:r/>
            <w:r>
              <w:rPr>
                <w:rFonts w:ascii="Times New Roman" w:hAnsi="Times New Roman"/>
                <w:sz w:val="18"/>
              </w:rPr>
              <w:t>Numerical computation and data manipulation</w:t>
            </w:r>
          </w:p>
        </w:tc>
      </w:tr>
      <w:tr>
        <w:tc>
          <w:tcPr>
            <w:tcW w:type="dxa" w:w="1800"/>
          </w:tcPr>
          <w:p>
            <w:pPr>
              <w:spacing w:after="40"/>
            </w:pPr>
            <w:r/>
            <w:r>
              <w:rPr>
                <w:rFonts w:ascii="Times New Roman" w:hAnsi="Times New Roman"/>
                <w:sz w:val="18"/>
              </w:rPr>
              <w:t>Machine learning</w:t>
            </w:r>
          </w:p>
        </w:tc>
        <w:tc>
          <w:tcPr>
            <w:tcW w:type="dxa" w:w="2520"/>
          </w:tcPr>
          <w:p>
            <w:pPr>
              <w:spacing w:after="40"/>
            </w:pPr>
            <w:r/>
            <w:r>
              <w:rPr>
                <w:rFonts w:ascii="Times New Roman" w:hAnsi="Times New Roman"/>
                <w:sz w:val="18"/>
              </w:rPr>
              <w:t>Scikit-learn</w:t>
            </w:r>
          </w:p>
        </w:tc>
        <w:tc>
          <w:tcPr>
            <w:tcW w:type="dxa" w:w="1512"/>
          </w:tcPr>
          <w:p>
            <w:pPr>
              <w:spacing w:after="40"/>
            </w:pPr>
            <w:r/>
            <w:r>
              <w:rPr>
                <w:rFonts w:ascii="Times New Roman" w:hAnsi="Times New Roman"/>
                <w:sz w:val="18"/>
              </w:rPr>
              <w:t>1.0+</w:t>
            </w:r>
          </w:p>
        </w:tc>
        <w:tc>
          <w:tcPr>
            <w:tcW w:type="dxa" w:w="3384"/>
          </w:tcPr>
          <w:p>
            <w:pPr>
              <w:spacing w:after="40"/>
            </w:pPr>
            <w:r/>
            <w:r>
              <w:rPr>
                <w:rFonts w:ascii="Times New Roman" w:hAnsi="Times New Roman"/>
                <w:sz w:val="18"/>
              </w:rPr>
              <w:t>Preprocessing, Logistic Regression, Random Forest, SVM, K-Means, metrics</w:t>
            </w:r>
          </w:p>
        </w:tc>
      </w:tr>
      <w:tr>
        <w:tc>
          <w:tcPr>
            <w:tcW w:type="dxa" w:w="1800"/>
            <w:shd w:val="clear" w:color="auto" w:fill="F2F5FA"/>
          </w:tcPr>
          <w:p>
            <w:pPr>
              <w:spacing w:after="40"/>
            </w:pPr>
            <w:r/>
            <w:r>
              <w:rPr>
                <w:rFonts w:ascii="Times New Roman" w:hAnsi="Times New Roman"/>
                <w:sz w:val="18"/>
              </w:rPr>
              <w:t>Gradient boosting</w:t>
            </w:r>
          </w:p>
        </w:tc>
        <w:tc>
          <w:tcPr>
            <w:tcW w:type="dxa" w:w="2520"/>
            <w:shd w:val="clear" w:color="auto" w:fill="F2F5FA"/>
          </w:tcPr>
          <w:p>
            <w:pPr>
              <w:spacing w:after="40"/>
            </w:pPr>
            <w:r/>
            <w:r>
              <w:rPr>
                <w:rFonts w:ascii="Times New Roman" w:hAnsi="Times New Roman"/>
                <w:sz w:val="18"/>
              </w:rPr>
              <w:t>XGBoost</w:t>
            </w:r>
          </w:p>
        </w:tc>
        <w:tc>
          <w:tcPr>
            <w:tcW w:type="dxa" w:w="1512"/>
            <w:shd w:val="clear" w:color="auto" w:fill="F2F5FA"/>
          </w:tcPr>
          <w:p>
            <w:pPr>
              <w:spacing w:after="40"/>
            </w:pPr>
            <w:r/>
            <w:r>
              <w:rPr>
                <w:rFonts w:ascii="Times New Roman" w:hAnsi="Times New Roman"/>
                <w:sz w:val="18"/>
              </w:rPr>
              <w:t>1.6+</w:t>
            </w:r>
          </w:p>
        </w:tc>
        <w:tc>
          <w:tcPr>
            <w:tcW w:type="dxa" w:w="3384"/>
            <w:shd w:val="clear" w:color="auto" w:fill="F2F5FA"/>
          </w:tcPr>
          <w:p>
            <w:pPr>
              <w:spacing w:after="40"/>
            </w:pPr>
            <w:r/>
            <w:r>
              <w:rPr>
                <w:rFonts w:ascii="Times New Roman" w:hAnsi="Times New Roman"/>
                <w:sz w:val="18"/>
              </w:rPr>
              <w:t>Gradient-boosted tree classifier</w:t>
            </w:r>
          </w:p>
        </w:tc>
      </w:tr>
      <w:tr>
        <w:tc>
          <w:tcPr>
            <w:tcW w:type="dxa" w:w="1800"/>
          </w:tcPr>
          <w:p>
            <w:pPr>
              <w:spacing w:after="40"/>
            </w:pPr>
            <w:r/>
            <w:r>
              <w:rPr>
                <w:rFonts w:ascii="Times New Roman" w:hAnsi="Times New Roman"/>
                <w:sz w:val="18"/>
              </w:rPr>
              <w:t>Imbalance handling</w:t>
            </w:r>
          </w:p>
        </w:tc>
        <w:tc>
          <w:tcPr>
            <w:tcW w:type="dxa" w:w="2520"/>
          </w:tcPr>
          <w:p>
            <w:pPr>
              <w:spacing w:after="40"/>
            </w:pPr>
            <w:r/>
            <w:r>
              <w:rPr>
                <w:rFonts w:ascii="Times New Roman" w:hAnsi="Times New Roman"/>
                <w:sz w:val="18"/>
              </w:rPr>
              <w:t>Imbalanced-learn (imblearn)</w:t>
            </w:r>
          </w:p>
        </w:tc>
        <w:tc>
          <w:tcPr>
            <w:tcW w:type="dxa" w:w="1512"/>
          </w:tcPr>
          <w:p>
            <w:pPr>
              <w:spacing w:after="40"/>
            </w:pPr>
            <w:r/>
            <w:r>
              <w:rPr>
                <w:rFonts w:ascii="Times New Roman" w:hAnsi="Times New Roman"/>
                <w:sz w:val="18"/>
              </w:rPr>
              <w:t>Latest stable</w:t>
            </w:r>
          </w:p>
        </w:tc>
        <w:tc>
          <w:tcPr>
            <w:tcW w:type="dxa" w:w="3384"/>
          </w:tcPr>
          <w:p>
            <w:pPr>
              <w:spacing w:after="40"/>
            </w:pPr>
            <w:r/>
            <w:r>
              <w:rPr>
                <w:rFonts w:ascii="Times New Roman" w:hAnsi="Times New Roman"/>
                <w:sz w:val="18"/>
              </w:rPr>
              <w:t>SMOTE / SMOTE-ENN resampling for the minority churn class</w:t>
            </w:r>
          </w:p>
        </w:tc>
      </w:tr>
      <w:tr>
        <w:tc>
          <w:tcPr>
            <w:tcW w:type="dxa" w:w="1800"/>
            <w:shd w:val="clear" w:color="auto" w:fill="F2F5FA"/>
          </w:tcPr>
          <w:p>
            <w:pPr>
              <w:spacing w:after="40"/>
            </w:pPr>
            <w:r/>
            <w:r>
              <w:rPr>
                <w:rFonts w:ascii="Times New Roman" w:hAnsi="Times New Roman"/>
                <w:sz w:val="18"/>
              </w:rPr>
              <w:t>Explainable AI</w:t>
            </w:r>
          </w:p>
        </w:tc>
        <w:tc>
          <w:tcPr>
            <w:tcW w:type="dxa" w:w="2520"/>
            <w:shd w:val="clear" w:color="auto" w:fill="F2F5FA"/>
          </w:tcPr>
          <w:p>
            <w:pPr>
              <w:spacing w:after="40"/>
            </w:pPr>
            <w:r/>
            <w:r>
              <w:rPr>
                <w:rFonts w:ascii="Times New Roman" w:hAnsi="Times New Roman"/>
                <w:sz w:val="18"/>
              </w:rPr>
              <w:t>SHAP</w:t>
            </w:r>
          </w:p>
        </w:tc>
        <w:tc>
          <w:tcPr>
            <w:tcW w:type="dxa" w:w="1512"/>
            <w:shd w:val="clear" w:color="auto" w:fill="F2F5FA"/>
          </w:tcPr>
          <w:p>
            <w:pPr>
              <w:spacing w:after="40"/>
            </w:pPr>
            <w:r/>
            <w:r>
              <w:rPr>
                <w:rFonts w:ascii="Times New Roman" w:hAnsi="Times New Roman"/>
                <w:sz w:val="18"/>
              </w:rPr>
              <w:t>0.41+</w:t>
            </w:r>
          </w:p>
        </w:tc>
        <w:tc>
          <w:tcPr>
            <w:tcW w:type="dxa" w:w="3384"/>
            <w:shd w:val="clear" w:color="auto" w:fill="F2F5FA"/>
          </w:tcPr>
          <w:p>
            <w:pPr>
              <w:spacing w:after="40"/>
            </w:pPr>
            <w:r/>
            <w:r>
              <w:rPr>
                <w:rFonts w:ascii="Times New Roman" w:hAnsi="Times New Roman"/>
                <w:sz w:val="18"/>
              </w:rPr>
              <w:t>Global and local model explanation and reason-code generation</w:t>
            </w:r>
          </w:p>
        </w:tc>
      </w:tr>
      <w:tr>
        <w:tc>
          <w:tcPr>
            <w:tcW w:type="dxa" w:w="1800"/>
          </w:tcPr>
          <w:p>
            <w:pPr>
              <w:spacing w:after="40"/>
            </w:pPr>
            <w:r/>
            <w:r>
              <w:rPr>
                <w:rFonts w:ascii="Times New Roman" w:hAnsi="Times New Roman"/>
                <w:sz w:val="18"/>
              </w:rPr>
              <w:t>Visualisation</w:t>
            </w:r>
          </w:p>
        </w:tc>
        <w:tc>
          <w:tcPr>
            <w:tcW w:type="dxa" w:w="2520"/>
          </w:tcPr>
          <w:p>
            <w:pPr>
              <w:spacing w:after="40"/>
            </w:pPr>
            <w:r/>
            <w:r>
              <w:rPr>
                <w:rFonts w:ascii="Times New Roman" w:hAnsi="Times New Roman"/>
                <w:sz w:val="18"/>
              </w:rPr>
              <w:t>Matplotlib, Seaborn, Plotly</w:t>
            </w:r>
          </w:p>
        </w:tc>
        <w:tc>
          <w:tcPr>
            <w:tcW w:type="dxa" w:w="1512"/>
          </w:tcPr>
          <w:p>
            <w:pPr>
              <w:spacing w:after="40"/>
            </w:pPr>
            <w:r/>
            <w:r>
              <w:rPr>
                <w:rFonts w:ascii="Times New Roman" w:hAnsi="Times New Roman"/>
                <w:sz w:val="18"/>
              </w:rPr>
              <w:t>Latest stable</w:t>
            </w:r>
          </w:p>
        </w:tc>
        <w:tc>
          <w:tcPr>
            <w:tcW w:type="dxa" w:w="3384"/>
          </w:tcPr>
          <w:p>
            <w:pPr>
              <w:spacing w:after="40"/>
            </w:pPr>
            <w:r/>
            <w:r>
              <w:rPr>
                <w:rFonts w:ascii="Times New Roman" w:hAnsi="Times New Roman"/>
                <w:sz w:val="18"/>
              </w:rPr>
              <w:t>EDA charts, evaluation curves and interactive dashboard visuals</w:t>
            </w:r>
          </w:p>
        </w:tc>
      </w:tr>
      <w:tr>
        <w:tc>
          <w:tcPr>
            <w:tcW w:type="dxa" w:w="1800"/>
            <w:shd w:val="clear" w:color="auto" w:fill="F2F5FA"/>
          </w:tcPr>
          <w:p>
            <w:pPr>
              <w:spacing w:after="40"/>
            </w:pPr>
            <w:r/>
            <w:r>
              <w:rPr>
                <w:rFonts w:ascii="Times New Roman" w:hAnsi="Times New Roman"/>
                <w:sz w:val="18"/>
              </w:rPr>
              <w:t>Web application</w:t>
            </w:r>
          </w:p>
        </w:tc>
        <w:tc>
          <w:tcPr>
            <w:tcW w:type="dxa" w:w="2520"/>
            <w:shd w:val="clear" w:color="auto" w:fill="F2F5FA"/>
          </w:tcPr>
          <w:p>
            <w:pPr>
              <w:spacing w:after="40"/>
            </w:pPr>
            <w:r/>
            <w:r>
              <w:rPr>
                <w:rFonts w:ascii="Times New Roman" w:hAnsi="Times New Roman"/>
                <w:sz w:val="18"/>
              </w:rPr>
              <w:t>Streamlit</w:t>
            </w:r>
          </w:p>
        </w:tc>
        <w:tc>
          <w:tcPr>
            <w:tcW w:type="dxa" w:w="1512"/>
            <w:shd w:val="clear" w:color="auto" w:fill="F2F5FA"/>
          </w:tcPr>
          <w:p>
            <w:pPr>
              <w:spacing w:after="40"/>
            </w:pPr>
            <w:r/>
            <w:r>
              <w:rPr>
                <w:rFonts w:ascii="Times New Roman" w:hAnsi="Times New Roman"/>
                <w:sz w:val="18"/>
              </w:rPr>
              <w:t>1.20+</w:t>
            </w:r>
          </w:p>
        </w:tc>
        <w:tc>
          <w:tcPr>
            <w:tcW w:type="dxa" w:w="3384"/>
            <w:shd w:val="clear" w:color="auto" w:fill="F2F5FA"/>
          </w:tcPr>
          <w:p>
            <w:pPr>
              <w:spacing w:after="40"/>
            </w:pPr>
            <w:r/>
            <w:r>
              <w:rPr>
                <w:rFonts w:ascii="Times New Roman" w:hAnsi="Times New Roman"/>
                <w:sz w:val="18"/>
              </w:rPr>
              <w:t>Interactive analytics dashboard and deployment layer</w:t>
            </w:r>
          </w:p>
        </w:tc>
      </w:tr>
      <w:tr>
        <w:tc>
          <w:tcPr>
            <w:tcW w:type="dxa" w:w="1800"/>
          </w:tcPr>
          <w:p>
            <w:pPr>
              <w:spacing w:after="40"/>
            </w:pPr>
            <w:r/>
            <w:r>
              <w:rPr>
                <w:rFonts w:ascii="Times New Roman" w:hAnsi="Times New Roman"/>
                <w:sz w:val="18"/>
              </w:rPr>
              <w:t>Model persistence</w:t>
            </w:r>
          </w:p>
        </w:tc>
        <w:tc>
          <w:tcPr>
            <w:tcW w:type="dxa" w:w="2520"/>
          </w:tcPr>
          <w:p>
            <w:pPr>
              <w:spacing w:after="40"/>
            </w:pPr>
            <w:r/>
            <w:r>
              <w:rPr>
                <w:rFonts w:ascii="Times New Roman" w:hAnsi="Times New Roman"/>
                <w:sz w:val="18"/>
              </w:rPr>
              <w:t>Pickle / Joblib</w:t>
            </w:r>
          </w:p>
        </w:tc>
        <w:tc>
          <w:tcPr>
            <w:tcW w:type="dxa" w:w="1512"/>
          </w:tcPr>
          <w:p>
            <w:pPr>
              <w:spacing w:after="40"/>
            </w:pPr>
            <w:r/>
            <w:r>
              <w:rPr>
                <w:rFonts w:ascii="Times New Roman" w:hAnsi="Times New Roman"/>
                <w:sz w:val="18"/>
              </w:rPr>
              <w:t>Standard library / latest</w:t>
            </w:r>
          </w:p>
        </w:tc>
        <w:tc>
          <w:tcPr>
            <w:tcW w:type="dxa" w:w="3384"/>
          </w:tcPr>
          <w:p>
            <w:pPr>
              <w:spacing w:after="40"/>
            </w:pPr>
            <w:r/>
            <w:r>
              <w:rPr>
                <w:rFonts w:ascii="Times New Roman" w:hAnsi="Times New Roman"/>
                <w:sz w:val="18"/>
              </w:rPr>
              <w:t>Serialisation of the model, scaler and encoders</w:t>
            </w:r>
          </w:p>
        </w:tc>
      </w:tr>
      <w:tr>
        <w:tc>
          <w:tcPr>
            <w:tcW w:type="dxa" w:w="1800"/>
            <w:shd w:val="clear" w:color="auto" w:fill="F2F5FA"/>
          </w:tcPr>
          <w:p>
            <w:pPr>
              <w:spacing w:after="40"/>
            </w:pPr>
            <w:r/>
            <w:r>
              <w:rPr>
                <w:rFonts w:ascii="Times New Roman" w:hAnsi="Times New Roman"/>
                <w:sz w:val="18"/>
              </w:rPr>
              <w:t>Version control</w:t>
            </w:r>
          </w:p>
        </w:tc>
        <w:tc>
          <w:tcPr>
            <w:tcW w:type="dxa" w:w="2520"/>
            <w:shd w:val="clear" w:color="auto" w:fill="F2F5FA"/>
          </w:tcPr>
          <w:p>
            <w:pPr>
              <w:spacing w:after="40"/>
            </w:pPr>
            <w:r/>
            <w:r>
              <w:rPr>
                <w:rFonts w:ascii="Times New Roman" w:hAnsi="Times New Roman"/>
                <w:sz w:val="18"/>
              </w:rPr>
              <w:t>Git / GitHub</w:t>
            </w:r>
          </w:p>
        </w:tc>
        <w:tc>
          <w:tcPr>
            <w:tcW w:type="dxa" w:w="1512"/>
            <w:shd w:val="clear" w:color="auto" w:fill="F2F5FA"/>
          </w:tcPr>
          <w:p>
            <w:pPr>
              <w:spacing w:after="40"/>
            </w:pPr>
            <w:r/>
            <w:r>
              <w:rPr>
                <w:rFonts w:ascii="Times New Roman" w:hAnsi="Times New Roman"/>
                <w:sz w:val="18"/>
              </w:rPr>
              <w:t>Latest</w:t>
            </w:r>
          </w:p>
        </w:tc>
        <w:tc>
          <w:tcPr>
            <w:tcW w:type="dxa" w:w="3384"/>
            <w:shd w:val="clear" w:color="auto" w:fill="F2F5FA"/>
          </w:tcPr>
          <w:p>
            <w:pPr>
              <w:spacing w:after="40"/>
            </w:pPr>
            <w:r/>
            <w:r>
              <w:rPr>
                <w:rFonts w:ascii="Times New Roman" w:hAnsi="Times New Roman"/>
                <w:sz w:val="18"/>
              </w:rPr>
              <w:t>Source-code management and project submission</w:t>
            </w:r>
          </w:p>
        </w:tc>
      </w:tr>
    </w:tbl>
    <w:p>
      <w:pPr>
        <w:spacing w:after="80"/>
      </w:pPr>
    </w:p>
    <w:p>
      <w:pPr>
        <w:pStyle w:val="Heading2"/>
      </w:pPr>
      <w:r>
        <w:t>15.3 Functional and Non-Functional Requirements</w:t>
      </w:r>
    </w:p>
    <w:tbl>
      <w:tblPr>
        <w:tblStyle w:val="TableGrid"/>
        <w:tblW w:type="auto" w:w="0"/>
        <w:jc w:val="center"/>
        <w:tblLayout w:type="fixed"/>
        <w:tblLook w:firstColumn="1" w:firstRow="1" w:lastColumn="0" w:lastRow="0" w:noHBand="0" w:noVBand="1" w:val="04A0"/>
        <w:tblLayout w:type="fixed"/>
      </w:tblPr>
      <w:tblGrid>
        <w:gridCol w:w="1655"/>
        <w:gridCol w:w="7560"/>
      </w:tblGrid>
      <w:tr>
        <w:tc>
          <w:tcPr>
            <w:tcW w:type="dxa" w:w="1656"/>
            <w:shd w:val="clear" w:color="auto" w:fill="1F3864"/>
          </w:tcPr>
          <w:p>
            <w:pPr>
              <w:spacing w:after="40"/>
            </w:pPr>
            <w:r/>
            <w:r>
              <w:rPr>
                <w:rFonts w:ascii="Calibri" w:hAnsi="Calibri"/>
                <w:b/>
                <w:color w:val="FFFFFF"/>
                <w:sz w:val="19"/>
              </w:rPr>
              <w:t>Type</w:t>
            </w:r>
          </w:p>
        </w:tc>
        <w:tc>
          <w:tcPr>
            <w:tcW w:type="dxa" w:w="7560"/>
            <w:shd w:val="clear" w:color="auto" w:fill="1F3864"/>
          </w:tcPr>
          <w:p>
            <w:pPr>
              <w:spacing w:after="40"/>
            </w:pPr>
            <w:r/>
            <w:r>
              <w:rPr>
                <w:rFonts w:ascii="Calibri" w:hAnsi="Calibri"/>
                <w:b/>
                <w:color w:val="FFFFFF"/>
                <w:sz w:val="19"/>
              </w:rPr>
              <w:t>Requirement</w:t>
            </w:r>
          </w:p>
        </w:tc>
      </w:tr>
      <w:tr>
        <w:tc>
          <w:tcPr>
            <w:tcW w:type="dxa" w:w="1656"/>
          </w:tcPr>
          <w:p>
            <w:pPr>
              <w:spacing w:after="40"/>
            </w:pPr>
            <w:r/>
            <w:r>
              <w:rPr>
                <w:rFonts w:ascii="Times New Roman" w:hAnsi="Times New Roman"/>
                <w:sz w:val="19"/>
              </w:rPr>
              <w:t>Functional</w:t>
            </w:r>
          </w:p>
        </w:tc>
        <w:tc>
          <w:tcPr>
            <w:tcW w:type="dxa" w:w="7560"/>
          </w:tcPr>
          <w:p>
            <w:pPr>
              <w:spacing w:after="40"/>
            </w:pPr>
            <w:r/>
            <w:r>
              <w:rPr>
                <w:rFonts w:ascii="Times New Roman" w:hAnsi="Times New Roman"/>
                <w:sz w:val="19"/>
              </w:rPr>
              <w:t>The system shall accept a customer dataset in CSV format through the dashboard.</w:t>
            </w:r>
          </w:p>
        </w:tc>
      </w:tr>
      <w:tr>
        <w:tc>
          <w:tcPr>
            <w:tcW w:type="dxa" w:w="1656"/>
            <w:shd w:val="clear" w:color="auto" w:fill="F2F5FA"/>
          </w:tcPr>
          <w:p>
            <w:pPr>
              <w:spacing w:after="40"/>
            </w:pPr>
            <w:r/>
            <w:r>
              <w:rPr>
                <w:rFonts w:ascii="Times New Roman" w:hAnsi="Times New Roman"/>
                <w:sz w:val="19"/>
              </w:rPr>
              <w:t>Functional</w:t>
            </w:r>
          </w:p>
        </w:tc>
        <w:tc>
          <w:tcPr>
            <w:tcW w:type="dxa" w:w="7560"/>
            <w:shd w:val="clear" w:color="auto" w:fill="F2F5FA"/>
          </w:tcPr>
          <w:p>
            <w:pPr>
              <w:spacing w:after="40"/>
            </w:pPr>
            <w:r/>
            <w:r>
              <w:rPr>
                <w:rFonts w:ascii="Times New Roman" w:hAnsi="Times New Roman"/>
                <w:sz w:val="19"/>
              </w:rPr>
              <w:t>The system shall clean, encode and scale the uploaded data using the stored training-time transformations.</w:t>
            </w:r>
          </w:p>
        </w:tc>
      </w:tr>
      <w:tr>
        <w:tc>
          <w:tcPr>
            <w:tcW w:type="dxa" w:w="1656"/>
          </w:tcPr>
          <w:p>
            <w:pPr>
              <w:spacing w:after="40"/>
            </w:pPr>
            <w:r/>
            <w:r>
              <w:rPr>
                <w:rFonts w:ascii="Times New Roman" w:hAnsi="Times New Roman"/>
                <w:sz w:val="19"/>
              </w:rPr>
              <w:t>Functional</w:t>
            </w:r>
          </w:p>
        </w:tc>
        <w:tc>
          <w:tcPr>
            <w:tcW w:type="dxa" w:w="7560"/>
          </w:tcPr>
          <w:p>
            <w:pPr>
              <w:spacing w:after="40"/>
            </w:pPr>
            <w:r/>
            <w:r>
              <w:rPr>
                <w:rFonts w:ascii="Times New Roman" w:hAnsi="Times New Roman"/>
                <w:sz w:val="19"/>
              </w:rPr>
              <w:t>The system shall assign each customer to a behavioural segment.</w:t>
            </w:r>
          </w:p>
        </w:tc>
      </w:tr>
      <w:tr>
        <w:tc>
          <w:tcPr>
            <w:tcW w:type="dxa" w:w="1656"/>
            <w:shd w:val="clear" w:color="auto" w:fill="F2F5FA"/>
          </w:tcPr>
          <w:p>
            <w:pPr>
              <w:spacing w:after="40"/>
            </w:pPr>
            <w:r/>
            <w:r>
              <w:rPr>
                <w:rFonts w:ascii="Times New Roman" w:hAnsi="Times New Roman"/>
                <w:sz w:val="19"/>
              </w:rPr>
              <w:t>Functional</w:t>
            </w:r>
          </w:p>
        </w:tc>
        <w:tc>
          <w:tcPr>
            <w:tcW w:type="dxa" w:w="7560"/>
            <w:shd w:val="clear" w:color="auto" w:fill="F2F5FA"/>
          </w:tcPr>
          <w:p>
            <w:pPr>
              <w:spacing w:after="40"/>
            </w:pPr>
            <w:r/>
            <w:r>
              <w:rPr>
                <w:rFonts w:ascii="Times New Roman" w:hAnsi="Times New Roman"/>
                <w:sz w:val="19"/>
              </w:rPr>
              <w:t>The system shall output a churn probability and a risk band for every customer.</w:t>
            </w:r>
          </w:p>
        </w:tc>
      </w:tr>
      <w:tr>
        <w:tc>
          <w:tcPr>
            <w:tcW w:type="dxa" w:w="1656"/>
          </w:tcPr>
          <w:p>
            <w:pPr>
              <w:spacing w:after="40"/>
            </w:pPr>
            <w:r/>
            <w:r>
              <w:rPr>
                <w:rFonts w:ascii="Times New Roman" w:hAnsi="Times New Roman"/>
                <w:sz w:val="19"/>
              </w:rPr>
              <w:t>Functional</w:t>
            </w:r>
          </w:p>
        </w:tc>
        <w:tc>
          <w:tcPr>
            <w:tcW w:type="dxa" w:w="7560"/>
          </w:tcPr>
          <w:p>
            <w:pPr>
              <w:spacing w:after="40"/>
            </w:pPr>
            <w:r/>
            <w:r>
              <w:rPr>
                <w:rFonts w:ascii="Times New Roman" w:hAnsi="Times New Roman"/>
                <w:sz w:val="19"/>
              </w:rPr>
              <w:t>The system shall display the top N high-risk customers ranked by revenue at risk.</w:t>
            </w:r>
          </w:p>
        </w:tc>
      </w:tr>
      <w:tr>
        <w:tc>
          <w:tcPr>
            <w:tcW w:type="dxa" w:w="1656"/>
            <w:shd w:val="clear" w:color="auto" w:fill="F2F5FA"/>
          </w:tcPr>
          <w:p>
            <w:pPr>
              <w:spacing w:after="40"/>
            </w:pPr>
            <w:r/>
            <w:r>
              <w:rPr>
                <w:rFonts w:ascii="Times New Roman" w:hAnsi="Times New Roman"/>
                <w:sz w:val="19"/>
              </w:rPr>
              <w:t>Functional</w:t>
            </w:r>
          </w:p>
        </w:tc>
        <w:tc>
          <w:tcPr>
            <w:tcW w:type="dxa" w:w="7560"/>
            <w:shd w:val="clear" w:color="auto" w:fill="F2F5FA"/>
          </w:tcPr>
          <w:p>
            <w:pPr>
              <w:spacing w:after="40"/>
            </w:pPr>
            <w:r/>
            <w:r>
              <w:rPr>
                <w:rFonts w:ascii="Times New Roman" w:hAnsi="Times New Roman"/>
                <w:sz w:val="19"/>
              </w:rPr>
              <w:t>The system shall display per-customer reason codes explaining each prediction.</w:t>
            </w:r>
          </w:p>
        </w:tc>
      </w:tr>
      <w:tr>
        <w:tc>
          <w:tcPr>
            <w:tcW w:type="dxa" w:w="1656"/>
          </w:tcPr>
          <w:p>
            <w:pPr>
              <w:spacing w:after="40"/>
            </w:pPr>
            <w:r/>
            <w:r>
              <w:rPr>
                <w:rFonts w:ascii="Times New Roman" w:hAnsi="Times New Roman"/>
                <w:sz w:val="19"/>
              </w:rPr>
              <w:t>Functional</w:t>
            </w:r>
          </w:p>
        </w:tc>
        <w:tc>
          <w:tcPr>
            <w:tcW w:type="dxa" w:w="7560"/>
          </w:tcPr>
          <w:p>
            <w:pPr>
              <w:spacing w:after="40"/>
            </w:pPr>
            <w:r/>
            <w:r>
              <w:rPr>
                <w:rFonts w:ascii="Times New Roman" w:hAnsi="Times New Roman"/>
                <w:sz w:val="19"/>
              </w:rPr>
              <w:t>The system shall recommend a retention action for each high-risk customer.</w:t>
            </w:r>
          </w:p>
        </w:tc>
      </w:tr>
      <w:tr>
        <w:tc>
          <w:tcPr>
            <w:tcW w:type="dxa" w:w="1656"/>
            <w:shd w:val="clear" w:color="auto" w:fill="F2F5FA"/>
          </w:tcPr>
          <w:p>
            <w:pPr>
              <w:spacing w:after="40"/>
            </w:pPr>
            <w:r/>
            <w:r>
              <w:rPr>
                <w:rFonts w:ascii="Times New Roman" w:hAnsi="Times New Roman"/>
                <w:sz w:val="19"/>
              </w:rPr>
              <w:t>Functional</w:t>
            </w:r>
          </w:p>
        </w:tc>
        <w:tc>
          <w:tcPr>
            <w:tcW w:type="dxa" w:w="7560"/>
            <w:shd w:val="clear" w:color="auto" w:fill="F2F5FA"/>
          </w:tcPr>
          <w:p>
            <w:pPr>
              <w:spacing w:after="40"/>
            </w:pPr>
            <w:r/>
            <w:r>
              <w:rPr>
                <w:rFonts w:ascii="Times New Roman" w:hAnsi="Times New Roman"/>
                <w:sz w:val="19"/>
              </w:rPr>
              <w:t>The system shall compute revenue at risk, expected saved revenue and campaign ROI.</w:t>
            </w:r>
          </w:p>
        </w:tc>
      </w:tr>
      <w:tr>
        <w:tc>
          <w:tcPr>
            <w:tcW w:type="dxa" w:w="1656"/>
          </w:tcPr>
          <w:p>
            <w:pPr>
              <w:spacing w:after="40"/>
            </w:pPr>
            <w:r/>
            <w:r>
              <w:rPr>
                <w:rFonts w:ascii="Times New Roman" w:hAnsi="Times New Roman"/>
                <w:sz w:val="19"/>
              </w:rPr>
              <w:t>Functional</w:t>
            </w:r>
          </w:p>
        </w:tc>
        <w:tc>
          <w:tcPr>
            <w:tcW w:type="dxa" w:w="7560"/>
          </w:tcPr>
          <w:p>
            <w:pPr>
              <w:spacing w:after="40"/>
            </w:pPr>
            <w:r/>
            <w:r>
              <w:rPr>
                <w:rFonts w:ascii="Times New Roman" w:hAnsi="Times New Roman"/>
                <w:sz w:val="19"/>
              </w:rPr>
              <w:t>The system shall allow export of the prioritised target list as a CSV file.</w:t>
            </w:r>
          </w:p>
        </w:tc>
      </w:tr>
      <w:tr>
        <w:tc>
          <w:tcPr>
            <w:tcW w:type="dxa" w:w="1656"/>
            <w:shd w:val="clear" w:color="auto" w:fill="F2F5FA"/>
          </w:tcPr>
          <w:p>
            <w:pPr>
              <w:spacing w:after="40"/>
            </w:pPr>
            <w:r/>
            <w:r>
              <w:rPr>
                <w:rFonts w:ascii="Times New Roman" w:hAnsi="Times New Roman"/>
                <w:sz w:val="19"/>
              </w:rPr>
              <w:t>Non-Functional</w:t>
            </w:r>
          </w:p>
        </w:tc>
        <w:tc>
          <w:tcPr>
            <w:tcW w:type="dxa" w:w="7560"/>
            <w:shd w:val="clear" w:color="auto" w:fill="F2F5FA"/>
          </w:tcPr>
          <w:p>
            <w:pPr>
              <w:spacing w:after="40"/>
            </w:pPr>
            <w:r/>
            <w:r>
              <w:rPr>
                <w:rFonts w:ascii="Times New Roman" w:hAnsi="Times New Roman"/>
                <w:sz w:val="19"/>
              </w:rPr>
              <w:t>Model accuracy shall exceed 85% with ROC-AUC above 0.85 on the held-out test set.</w:t>
            </w:r>
          </w:p>
        </w:tc>
      </w:tr>
      <w:tr>
        <w:tc>
          <w:tcPr>
            <w:tcW w:type="dxa" w:w="1656"/>
          </w:tcPr>
          <w:p>
            <w:pPr>
              <w:spacing w:after="40"/>
            </w:pPr>
            <w:r/>
            <w:r>
              <w:rPr>
                <w:rFonts w:ascii="Times New Roman" w:hAnsi="Times New Roman"/>
                <w:sz w:val="19"/>
              </w:rPr>
              <w:t>Non-Functional</w:t>
            </w:r>
          </w:p>
        </w:tc>
        <w:tc>
          <w:tcPr>
            <w:tcW w:type="dxa" w:w="7560"/>
          </w:tcPr>
          <w:p>
            <w:pPr>
              <w:spacing w:after="40"/>
            </w:pPr>
            <w:r/>
            <w:r>
              <w:rPr>
                <w:rFonts w:ascii="Times New Roman" w:hAnsi="Times New Roman"/>
                <w:sz w:val="19"/>
              </w:rPr>
              <w:t>Batch scoring of 10,000 customer records shall complete within 30 seconds on the recommended hardware.</w:t>
            </w:r>
          </w:p>
        </w:tc>
      </w:tr>
      <w:tr>
        <w:tc>
          <w:tcPr>
            <w:tcW w:type="dxa" w:w="1656"/>
            <w:shd w:val="clear" w:color="auto" w:fill="F2F5FA"/>
          </w:tcPr>
          <w:p>
            <w:pPr>
              <w:spacing w:after="40"/>
            </w:pPr>
            <w:r/>
            <w:r>
              <w:rPr>
                <w:rFonts w:ascii="Times New Roman" w:hAnsi="Times New Roman"/>
                <w:sz w:val="19"/>
              </w:rPr>
              <w:t>Non-Functional</w:t>
            </w:r>
          </w:p>
        </w:tc>
        <w:tc>
          <w:tcPr>
            <w:tcW w:type="dxa" w:w="7560"/>
            <w:shd w:val="clear" w:color="auto" w:fill="F2F5FA"/>
          </w:tcPr>
          <w:p>
            <w:pPr>
              <w:spacing w:after="40"/>
            </w:pPr>
            <w:r/>
            <w:r>
              <w:rPr>
                <w:rFonts w:ascii="Times New Roman" w:hAnsi="Times New Roman"/>
                <w:sz w:val="19"/>
              </w:rPr>
              <w:t>The dashboard shall be usable by a business analyst with no programming knowledge.</w:t>
            </w:r>
          </w:p>
        </w:tc>
      </w:tr>
      <w:tr>
        <w:tc>
          <w:tcPr>
            <w:tcW w:type="dxa" w:w="1656"/>
          </w:tcPr>
          <w:p>
            <w:pPr>
              <w:spacing w:after="40"/>
            </w:pPr>
            <w:r/>
            <w:r>
              <w:rPr>
                <w:rFonts w:ascii="Times New Roman" w:hAnsi="Times New Roman"/>
                <w:sz w:val="19"/>
              </w:rPr>
              <w:t>Non-Functional</w:t>
            </w:r>
          </w:p>
        </w:tc>
        <w:tc>
          <w:tcPr>
            <w:tcW w:type="dxa" w:w="7560"/>
          </w:tcPr>
          <w:p>
            <w:pPr>
              <w:spacing w:after="40"/>
            </w:pPr>
            <w:r/>
            <w:r>
              <w:rPr>
                <w:rFonts w:ascii="Times New Roman" w:hAnsi="Times New Roman"/>
                <w:sz w:val="19"/>
              </w:rPr>
              <w:t>Every prediction shall be accompanied by an explanation (no unexplained black-box output).</w:t>
            </w:r>
          </w:p>
        </w:tc>
      </w:tr>
      <w:tr>
        <w:tc>
          <w:tcPr>
            <w:tcW w:type="dxa" w:w="1656"/>
            <w:shd w:val="clear" w:color="auto" w:fill="F2F5FA"/>
          </w:tcPr>
          <w:p>
            <w:pPr>
              <w:spacing w:after="40"/>
            </w:pPr>
            <w:r/>
            <w:r>
              <w:rPr>
                <w:rFonts w:ascii="Times New Roman" w:hAnsi="Times New Roman"/>
                <w:sz w:val="19"/>
              </w:rPr>
              <w:t>Non-Functional</w:t>
            </w:r>
          </w:p>
        </w:tc>
        <w:tc>
          <w:tcPr>
            <w:tcW w:type="dxa" w:w="7560"/>
            <w:shd w:val="clear" w:color="auto" w:fill="F2F5FA"/>
          </w:tcPr>
          <w:p>
            <w:pPr>
              <w:spacing w:after="40"/>
            </w:pPr>
            <w:r/>
            <w:r>
              <w:rPr>
                <w:rFonts w:ascii="Times New Roman" w:hAnsi="Times New Roman"/>
                <w:sz w:val="19"/>
              </w:rPr>
              <w:t>The pipeline shall be reproducible through fixed random seeds and serialised artefacts.</w:t>
            </w:r>
          </w:p>
        </w:tc>
      </w:tr>
    </w:tbl>
    <w:p>
      <w:pPr>
        <w:spacing w:after="80"/>
      </w:pPr>
    </w:p>
    <w:p>
      <w:r>
        <w:br w:type="page"/>
      </w:r>
    </w:p>
    <w:p>
      <w:pPr>
        <w:pStyle w:val="Heading1"/>
      </w:pPr>
      <w:r>
        <w:t>16. Applications</w:t>
      </w:r>
    </w:p>
    <w:tbl>
      <w:tblPr>
        <w:tblStyle w:val="TableGrid"/>
        <w:tblW w:type="auto" w:w="0"/>
        <w:jc w:val="center"/>
        <w:tblLayout w:type="fixed"/>
        <w:tblLook w:firstColumn="1" w:firstRow="1" w:lastColumn="0" w:lastRow="0" w:noHBand="0" w:noVBand="1" w:val="04A0"/>
        <w:tblLayout w:type="fixed"/>
      </w:tblPr>
      <w:tblGrid>
        <w:gridCol w:w="1944"/>
        <w:gridCol w:w="3960"/>
        <w:gridCol w:w="3311"/>
      </w:tblGrid>
      <w:tr>
        <w:tc>
          <w:tcPr>
            <w:tcW w:type="dxa" w:w="1944"/>
            <w:shd w:val="clear" w:color="auto" w:fill="1F3864"/>
          </w:tcPr>
          <w:p>
            <w:pPr>
              <w:spacing w:after="40"/>
            </w:pPr>
            <w:r/>
            <w:r>
              <w:rPr>
                <w:rFonts w:ascii="Calibri" w:hAnsi="Calibri"/>
                <w:b/>
                <w:color w:val="FFFFFF"/>
                <w:sz w:val="19"/>
              </w:rPr>
              <w:t>Sector</w:t>
            </w:r>
          </w:p>
        </w:tc>
        <w:tc>
          <w:tcPr>
            <w:tcW w:type="dxa" w:w="3960"/>
            <w:shd w:val="clear" w:color="auto" w:fill="1F3864"/>
          </w:tcPr>
          <w:p>
            <w:pPr>
              <w:spacing w:after="40"/>
            </w:pPr>
            <w:r/>
            <w:r>
              <w:rPr>
                <w:rFonts w:ascii="Calibri" w:hAnsi="Calibri"/>
                <w:b/>
                <w:color w:val="FFFFFF"/>
                <w:sz w:val="19"/>
              </w:rPr>
              <w:t>Application of the System</w:t>
            </w:r>
          </w:p>
        </w:tc>
        <w:tc>
          <w:tcPr>
            <w:tcW w:type="dxa" w:w="3312"/>
            <w:shd w:val="clear" w:color="auto" w:fill="1F3864"/>
          </w:tcPr>
          <w:p>
            <w:pPr>
              <w:spacing w:after="40"/>
            </w:pPr>
            <w:r/>
            <w:r>
              <w:rPr>
                <w:rFonts w:ascii="Calibri" w:hAnsi="Calibri"/>
                <w:b/>
                <w:color w:val="FFFFFF"/>
                <w:sz w:val="19"/>
              </w:rPr>
              <w:t>Business Benefit</w:t>
            </w:r>
          </w:p>
        </w:tc>
      </w:tr>
      <w:tr>
        <w:tc>
          <w:tcPr>
            <w:tcW w:type="dxa" w:w="1944"/>
          </w:tcPr>
          <w:p>
            <w:pPr>
              <w:spacing w:after="40"/>
            </w:pPr>
            <w:r/>
            <w:r>
              <w:rPr>
                <w:rFonts w:ascii="Times New Roman" w:hAnsi="Times New Roman"/>
                <w:sz w:val="19"/>
              </w:rPr>
              <w:t>Telecommunications</w:t>
            </w:r>
          </w:p>
        </w:tc>
        <w:tc>
          <w:tcPr>
            <w:tcW w:type="dxa" w:w="3960"/>
          </w:tcPr>
          <w:p>
            <w:pPr>
              <w:spacing w:after="40"/>
            </w:pPr>
            <w:r/>
            <w:r>
              <w:rPr>
                <w:rFonts w:ascii="Times New Roman" w:hAnsi="Times New Roman"/>
                <w:sz w:val="19"/>
              </w:rPr>
              <w:t>Predicting subscriber churn across prepaid and postpaid plans; identifying at-risk high-ARPU subscribers before contract renewal</w:t>
            </w:r>
          </w:p>
        </w:tc>
        <w:tc>
          <w:tcPr>
            <w:tcW w:type="dxa" w:w="3312"/>
          </w:tcPr>
          <w:p>
            <w:pPr>
              <w:spacing w:after="40"/>
            </w:pPr>
            <w:r/>
            <w:r>
              <w:rPr>
                <w:rFonts w:ascii="Times New Roman" w:hAnsi="Times New Roman"/>
                <w:sz w:val="19"/>
              </w:rPr>
              <w:t>Protects recurring subscription revenue in a saturated, price-competitive market</w:t>
            </w:r>
          </w:p>
        </w:tc>
      </w:tr>
      <w:tr>
        <w:tc>
          <w:tcPr>
            <w:tcW w:type="dxa" w:w="1944"/>
            <w:shd w:val="clear" w:color="auto" w:fill="F2F5FA"/>
          </w:tcPr>
          <w:p>
            <w:pPr>
              <w:spacing w:after="40"/>
            </w:pPr>
            <w:r/>
            <w:r>
              <w:rPr>
                <w:rFonts w:ascii="Times New Roman" w:hAnsi="Times New Roman"/>
                <w:sz w:val="19"/>
              </w:rPr>
              <w:t>Banking &amp; Financial Services</w:t>
            </w:r>
          </w:p>
        </w:tc>
        <w:tc>
          <w:tcPr>
            <w:tcW w:type="dxa" w:w="3960"/>
            <w:shd w:val="clear" w:color="auto" w:fill="F2F5FA"/>
          </w:tcPr>
          <w:p>
            <w:pPr>
              <w:spacing w:after="40"/>
            </w:pPr>
            <w:r/>
            <w:r>
              <w:rPr>
                <w:rFonts w:ascii="Times New Roman" w:hAnsi="Times New Roman"/>
                <w:sz w:val="19"/>
              </w:rPr>
              <w:t>Detecting attrition among savings, credit-card and loan customers; flagging accounts trending towards dormancy</w:t>
            </w:r>
          </w:p>
        </w:tc>
        <w:tc>
          <w:tcPr>
            <w:tcW w:type="dxa" w:w="3312"/>
            <w:shd w:val="clear" w:color="auto" w:fill="F2F5FA"/>
          </w:tcPr>
          <w:p>
            <w:pPr>
              <w:spacing w:after="40"/>
            </w:pPr>
            <w:r/>
            <w:r>
              <w:rPr>
                <w:rFonts w:ascii="Times New Roman" w:hAnsi="Times New Roman"/>
                <w:sz w:val="19"/>
              </w:rPr>
              <w:t>Preserves deposit balances, fee income and cross-sell opportunity</w:t>
            </w:r>
          </w:p>
        </w:tc>
      </w:tr>
      <w:tr>
        <w:tc>
          <w:tcPr>
            <w:tcW w:type="dxa" w:w="1944"/>
          </w:tcPr>
          <w:p>
            <w:pPr>
              <w:spacing w:after="40"/>
            </w:pPr>
            <w:r/>
            <w:r>
              <w:rPr>
                <w:rFonts w:ascii="Times New Roman" w:hAnsi="Times New Roman"/>
                <w:sz w:val="19"/>
              </w:rPr>
              <w:t>Insurance</w:t>
            </w:r>
          </w:p>
        </w:tc>
        <w:tc>
          <w:tcPr>
            <w:tcW w:type="dxa" w:w="3960"/>
          </w:tcPr>
          <w:p>
            <w:pPr>
              <w:spacing w:after="40"/>
            </w:pPr>
            <w:r/>
            <w:r>
              <w:rPr>
                <w:rFonts w:ascii="Times New Roman" w:hAnsi="Times New Roman"/>
                <w:sz w:val="19"/>
              </w:rPr>
              <w:t>Predicting non-renewal of motor, health and home policies ahead of the renewal window</w:t>
            </w:r>
          </w:p>
        </w:tc>
        <w:tc>
          <w:tcPr>
            <w:tcW w:type="dxa" w:w="3312"/>
          </w:tcPr>
          <w:p>
            <w:pPr>
              <w:spacing w:after="40"/>
            </w:pPr>
            <w:r/>
            <w:r>
              <w:rPr>
                <w:rFonts w:ascii="Times New Roman" w:hAnsi="Times New Roman"/>
                <w:sz w:val="19"/>
              </w:rPr>
              <w:t>Increases renewal rates and stabilises the underwriting book</w:t>
            </w:r>
          </w:p>
        </w:tc>
      </w:tr>
      <w:tr>
        <w:tc>
          <w:tcPr>
            <w:tcW w:type="dxa" w:w="1944"/>
            <w:shd w:val="clear" w:color="auto" w:fill="F2F5FA"/>
          </w:tcPr>
          <w:p>
            <w:pPr>
              <w:spacing w:after="40"/>
            </w:pPr>
            <w:r/>
            <w:r>
              <w:rPr>
                <w:rFonts w:ascii="Times New Roman" w:hAnsi="Times New Roman"/>
                <w:sz w:val="19"/>
              </w:rPr>
              <w:t>SaaS &amp; Subscription Software</w:t>
            </w:r>
          </w:p>
        </w:tc>
        <w:tc>
          <w:tcPr>
            <w:tcW w:type="dxa" w:w="3960"/>
            <w:shd w:val="clear" w:color="auto" w:fill="F2F5FA"/>
          </w:tcPr>
          <w:p>
            <w:pPr>
              <w:spacing w:after="40"/>
            </w:pPr>
            <w:r/>
            <w:r>
              <w:rPr>
                <w:rFonts w:ascii="Times New Roman" w:hAnsi="Times New Roman"/>
                <w:sz w:val="19"/>
              </w:rPr>
              <w:t>Identifying accounts with declining engagement and predicting non-renewal at seat or account level</w:t>
            </w:r>
          </w:p>
        </w:tc>
        <w:tc>
          <w:tcPr>
            <w:tcW w:type="dxa" w:w="3312"/>
            <w:shd w:val="clear" w:color="auto" w:fill="F2F5FA"/>
          </w:tcPr>
          <w:p>
            <w:pPr>
              <w:spacing w:after="40"/>
            </w:pPr>
            <w:r/>
            <w:r>
              <w:rPr>
                <w:rFonts w:ascii="Times New Roman" w:hAnsi="Times New Roman"/>
                <w:sz w:val="19"/>
              </w:rPr>
              <w:t>Improves net revenue retention, a primary SaaS valuation driver</w:t>
            </w:r>
          </w:p>
        </w:tc>
      </w:tr>
      <w:tr>
        <w:tc>
          <w:tcPr>
            <w:tcW w:type="dxa" w:w="1944"/>
          </w:tcPr>
          <w:p>
            <w:pPr>
              <w:spacing w:after="40"/>
            </w:pPr>
            <w:r/>
            <w:r>
              <w:rPr>
                <w:rFonts w:ascii="Times New Roman" w:hAnsi="Times New Roman"/>
                <w:sz w:val="19"/>
              </w:rPr>
              <w:t>OTT / Streaming Media</w:t>
            </w:r>
          </w:p>
        </w:tc>
        <w:tc>
          <w:tcPr>
            <w:tcW w:type="dxa" w:w="3960"/>
          </w:tcPr>
          <w:p>
            <w:pPr>
              <w:spacing w:after="40"/>
            </w:pPr>
            <w:r/>
            <w:r>
              <w:rPr>
                <w:rFonts w:ascii="Times New Roman" w:hAnsi="Times New Roman"/>
                <w:sz w:val="19"/>
              </w:rPr>
              <w:t>Forecasting subscription cancellations after content cycles or price changes</w:t>
            </w:r>
          </w:p>
        </w:tc>
        <w:tc>
          <w:tcPr>
            <w:tcW w:type="dxa" w:w="3312"/>
          </w:tcPr>
          <w:p>
            <w:pPr>
              <w:spacing w:after="40"/>
            </w:pPr>
            <w:r/>
            <w:r>
              <w:rPr>
                <w:rFonts w:ascii="Times New Roman" w:hAnsi="Times New Roman"/>
                <w:sz w:val="19"/>
              </w:rPr>
              <w:t>Enables targeted content and pricing interventions before cancellation</w:t>
            </w:r>
          </w:p>
        </w:tc>
      </w:tr>
      <w:tr>
        <w:tc>
          <w:tcPr>
            <w:tcW w:type="dxa" w:w="1944"/>
            <w:shd w:val="clear" w:color="auto" w:fill="F2F5FA"/>
          </w:tcPr>
          <w:p>
            <w:pPr>
              <w:spacing w:after="40"/>
            </w:pPr>
            <w:r/>
            <w:r>
              <w:rPr>
                <w:rFonts w:ascii="Times New Roman" w:hAnsi="Times New Roman"/>
                <w:sz w:val="19"/>
              </w:rPr>
              <w:t>E-Commerce &amp; Retail</w:t>
            </w:r>
          </w:p>
        </w:tc>
        <w:tc>
          <w:tcPr>
            <w:tcW w:type="dxa" w:w="3960"/>
            <w:shd w:val="clear" w:color="auto" w:fill="F2F5FA"/>
          </w:tcPr>
          <w:p>
            <w:pPr>
              <w:spacing w:after="40"/>
            </w:pPr>
            <w:r/>
            <w:r>
              <w:rPr>
                <w:rFonts w:ascii="Times New Roman" w:hAnsi="Times New Roman"/>
                <w:sz w:val="19"/>
              </w:rPr>
              <w:t>Detecting lapsing customers in loyalty programmes using recency and frequency behaviour</w:t>
            </w:r>
          </w:p>
        </w:tc>
        <w:tc>
          <w:tcPr>
            <w:tcW w:type="dxa" w:w="3312"/>
            <w:shd w:val="clear" w:color="auto" w:fill="F2F5FA"/>
          </w:tcPr>
          <w:p>
            <w:pPr>
              <w:spacing w:after="40"/>
            </w:pPr>
            <w:r/>
            <w:r>
              <w:rPr>
                <w:rFonts w:ascii="Times New Roman" w:hAnsi="Times New Roman"/>
                <w:sz w:val="19"/>
              </w:rPr>
              <w:t>Supports reactivation campaigns and protects repeat-purchase revenue</w:t>
            </w:r>
          </w:p>
        </w:tc>
      </w:tr>
      <w:tr>
        <w:tc>
          <w:tcPr>
            <w:tcW w:type="dxa" w:w="1944"/>
          </w:tcPr>
          <w:p>
            <w:pPr>
              <w:spacing w:after="40"/>
            </w:pPr>
            <w:r/>
            <w:r>
              <w:rPr>
                <w:rFonts w:ascii="Times New Roman" w:hAnsi="Times New Roman"/>
                <w:sz w:val="19"/>
              </w:rPr>
              <w:t>Utilities &amp; Energy Retail</w:t>
            </w:r>
          </w:p>
        </w:tc>
        <w:tc>
          <w:tcPr>
            <w:tcW w:type="dxa" w:w="3960"/>
          </w:tcPr>
          <w:p>
            <w:pPr>
              <w:spacing w:after="40"/>
            </w:pPr>
            <w:r/>
            <w:r>
              <w:rPr>
                <w:rFonts w:ascii="Times New Roman" w:hAnsi="Times New Roman"/>
                <w:sz w:val="19"/>
              </w:rPr>
              <w:t>Predicting switching in deregulated electricity and gas markets</w:t>
            </w:r>
          </w:p>
        </w:tc>
        <w:tc>
          <w:tcPr>
            <w:tcW w:type="dxa" w:w="3312"/>
          </w:tcPr>
          <w:p>
            <w:pPr>
              <w:spacing w:after="40"/>
            </w:pPr>
            <w:r/>
            <w:r>
              <w:rPr>
                <w:rFonts w:ascii="Times New Roman" w:hAnsi="Times New Roman"/>
                <w:sz w:val="19"/>
              </w:rPr>
              <w:t>Reduces customer switching losses and acquisition re-spend</w:t>
            </w:r>
          </w:p>
        </w:tc>
      </w:tr>
      <w:tr>
        <w:tc>
          <w:tcPr>
            <w:tcW w:type="dxa" w:w="1944"/>
            <w:shd w:val="clear" w:color="auto" w:fill="F2F5FA"/>
          </w:tcPr>
          <w:p>
            <w:pPr>
              <w:spacing w:after="40"/>
            </w:pPr>
            <w:r/>
            <w:r>
              <w:rPr>
                <w:rFonts w:ascii="Times New Roman" w:hAnsi="Times New Roman"/>
                <w:sz w:val="19"/>
              </w:rPr>
              <w:t>Healthcare &amp; Fitness</w:t>
            </w:r>
          </w:p>
        </w:tc>
        <w:tc>
          <w:tcPr>
            <w:tcW w:type="dxa" w:w="3960"/>
            <w:shd w:val="clear" w:color="auto" w:fill="F2F5FA"/>
          </w:tcPr>
          <w:p>
            <w:pPr>
              <w:spacing w:after="40"/>
            </w:pPr>
            <w:r/>
            <w:r>
              <w:rPr>
                <w:rFonts w:ascii="Times New Roman" w:hAnsi="Times New Roman"/>
                <w:sz w:val="19"/>
              </w:rPr>
              <w:t>Predicting membership lapse in gyms, clinics and wellness subscriptions</w:t>
            </w:r>
          </w:p>
        </w:tc>
        <w:tc>
          <w:tcPr>
            <w:tcW w:type="dxa" w:w="3312"/>
            <w:shd w:val="clear" w:color="auto" w:fill="F2F5FA"/>
          </w:tcPr>
          <w:p>
            <w:pPr>
              <w:spacing w:after="40"/>
            </w:pPr>
            <w:r/>
            <w:r>
              <w:rPr>
                <w:rFonts w:ascii="Times New Roman" w:hAnsi="Times New Roman"/>
                <w:sz w:val="19"/>
              </w:rPr>
              <w:t>Improves membership continuity and facility utilisation</w:t>
            </w:r>
          </w:p>
        </w:tc>
      </w:tr>
      <w:tr>
        <w:tc>
          <w:tcPr>
            <w:tcW w:type="dxa" w:w="1944"/>
          </w:tcPr>
          <w:p>
            <w:pPr>
              <w:spacing w:after="40"/>
            </w:pPr>
            <w:r/>
            <w:r>
              <w:rPr>
                <w:rFonts w:ascii="Times New Roman" w:hAnsi="Times New Roman"/>
                <w:sz w:val="19"/>
              </w:rPr>
              <w:t>EdTech</w:t>
            </w:r>
          </w:p>
        </w:tc>
        <w:tc>
          <w:tcPr>
            <w:tcW w:type="dxa" w:w="3960"/>
          </w:tcPr>
          <w:p>
            <w:pPr>
              <w:spacing w:after="40"/>
            </w:pPr>
            <w:r/>
            <w:r>
              <w:rPr>
                <w:rFonts w:ascii="Times New Roman" w:hAnsi="Times New Roman"/>
                <w:sz w:val="19"/>
              </w:rPr>
              <w:t>Predicting course drop-off and non-renewal of learning subscriptions</w:t>
            </w:r>
          </w:p>
        </w:tc>
        <w:tc>
          <w:tcPr>
            <w:tcW w:type="dxa" w:w="3312"/>
          </w:tcPr>
          <w:p>
            <w:pPr>
              <w:spacing w:after="40"/>
            </w:pPr>
            <w:r/>
            <w:r>
              <w:rPr>
                <w:rFonts w:ascii="Times New Roman" w:hAnsi="Times New Roman"/>
                <w:sz w:val="19"/>
              </w:rPr>
              <w:t>Enables timely learner intervention and improves completion rates</w:t>
            </w:r>
          </w:p>
        </w:tc>
      </w:tr>
      <w:tr>
        <w:tc>
          <w:tcPr>
            <w:tcW w:type="dxa" w:w="1944"/>
            <w:shd w:val="clear" w:color="auto" w:fill="F2F5FA"/>
          </w:tcPr>
          <w:p>
            <w:pPr>
              <w:spacing w:after="40"/>
            </w:pPr>
            <w:r/>
            <w:r>
              <w:rPr>
                <w:rFonts w:ascii="Times New Roman" w:hAnsi="Times New Roman"/>
                <w:sz w:val="19"/>
              </w:rPr>
              <w:t>B2B Services</w:t>
            </w:r>
          </w:p>
        </w:tc>
        <w:tc>
          <w:tcPr>
            <w:tcW w:type="dxa" w:w="3960"/>
            <w:shd w:val="clear" w:color="auto" w:fill="F2F5FA"/>
          </w:tcPr>
          <w:p>
            <w:pPr>
              <w:spacing w:after="40"/>
            </w:pPr>
            <w:r/>
            <w:r>
              <w:rPr>
                <w:rFonts w:ascii="Times New Roman" w:hAnsi="Times New Roman"/>
                <w:sz w:val="19"/>
              </w:rPr>
              <w:t>Predicting contract non-renewal for managed-service and maintenance agreements</w:t>
            </w:r>
          </w:p>
        </w:tc>
        <w:tc>
          <w:tcPr>
            <w:tcW w:type="dxa" w:w="3312"/>
            <w:shd w:val="clear" w:color="auto" w:fill="F2F5FA"/>
          </w:tcPr>
          <w:p>
            <w:pPr>
              <w:spacing w:after="40"/>
            </w:pPr>
            <w:r/>
            <w:r>
              <w:rPr>
                <w:rFonts w:ascii="Times New Roman" w:hAnsi="Times New Roman"/>
                <w:sz w:val="19"/>
              </w:rPr>
              <w:t>Protects high-value annual contracts through early account management</w:t>
            </w:r>
          </w:p>
        </w:tc>
      </w:tr>
    </w:tbl>
    <w:p>
      <w:pPr>
        <w:spacing w:after="80"/>
      </w:pPr>
    </w:p>
    <w:p>
      <w:pPr>
        <w:pStyle w:val="Heading1"/>
      </w:pPr>
      <w:r>
        <w:t>17. Expected Output</w:t>
      </w:r>
    </w:p>
    <w:p>
      <w:pPr>
        <w:pStyle w:val="Heading2"/>
      </w:pPr>
      <w:r>
        <w:t>17.1 Analytical Outputs</w:t>
      </w:r>
    </w:p>
    <w:p>
      <w:pPr>
        <w:pStyle w:val="ListBullet"/>
        <w:spacing w:after="60"/>
        <w:jc w:val="both"/>
      </w:pPr>
      <w:r>
        <w:t>A cleaned, feature-engineered and segmented customer dataset ready for analysis.</w:t>
      </w:r>
    </w:p>
    <w:p>
      <w:pPr>
        <w:pStyle w:val="ListBullet"/>
        <w:spacing w:after="60"/>
        <w:jc w:val="both"/>
      </w:pPr>
      <w:r>
        <w:t>A complete EDA report covering churn distribution, correlation structure, churn rate by contract, payment method and tenure band, and the tenure-versus-charges risk map.</w:t>
      </w:r>
    </w:p>
    <w:p>
      <w:pPr>
        <w:pStyle w:val="ListBullet"/>
        <w:spacing w:after="60"/>
        <w:jc w:val="both"/>
      </w:pPr>
      <w:r>
        <w:t>Customer segment profiles (expected 3–5 segments) with size, average tenure, average monthly charges, revenue contribution and churn rate per segment.</w:t>
      </w:r>
    </w:p>
    <w:p>
      <w:pPr>
        <w:pStyle w:val="ListBullet"/>
        <w:spacing w:after="60"/>
        <w:jc w:val="both"/>
      </w:pPr>
      <w:r>
        <w:t>A consolidated model comparison table reporting accuracy, precision, recall, F1-score, ROC-AUC and PR-AUC for Logistic Regression, Random Forest, XGBoost and SVM.</w:t>
      </w:r>
    </w:p>
    <w:p>
      <w:pPr>
        <w:pStyle w:val="ListBullet"/>
        <w:spacing w:after="60"/>
        <w:jc w:val="both"/>
      </w:pPr>
      <w:r>
        <w:t>Confusion matrices, overlaid ROC curves and precision–recall curves for all four models.</w:t>
      </w:r>
    </w:p>
    <w:p>
      <w:pPr>
        <w:pStyle w:val="ListBullet"/>
        <w:spacing w:after="60"/>
        <w:jc w:val="both"/>
      </w:pPr>
      <w:r>
        <w:t>A documented best-model selection with justification, targeting accuracy above 85% and ROC-AUC above 0.85 (XGBoost or Random Forest expected to lead based on the literature).</w:t>
      </w:r>
    </w:p>
    <w:p>
      <w:pPr>
        <w:pStyle w:val="ListBullet"/>
        <w:spacing w:after="60"/>
        <w:jc w:val="both"/>
      </w:pPr>
      <w:r>
        <w:t>A global feature-importance ranking and SHAP summary plot identifying the dominant churn drivers, expected to include contract type, tenure, monthly charges, payment method and tech-support status.</w:t>
      </w:r>
    </w:p>
    <w:p>
      <w:pPr>
        <w:pStyle w:val="Heading2"/>
      </w:pPr>
      <w:r>
        <w:t>17.2 Predictive Outputs</w:t>
      </w:r>
    </w:p>
    <w:p>
      <w:pPr>
        <w:pStyle w:val="ListBullet"/>
        <w:spacing w:after="60"/>
        <w:jc w:val="both"/>
      </w:pPr>
      <w:r>
        <w:t>A calibrated churn probability between 0 and 1 for every customer in the dataset.</w:t>
      </w:r>
    </w:p>
    <w:p>
      <w:pPr>
        <w:pStyle w:val="ListBullet"/>
        <w:spacing w:after="60"/>
        <w:jc w:val="both"/>
      </w:pPr>
      <w:r>
        <w:t>Risk banding of the entire customer base into Low, Medium and High risk tiers.</w:t>
      </w:r>
    </w:p>
    <w:p>
      <w:pPr>
        <w:pStyle w:val="ListBullet"/>
        <w:spacing w:after="60"/>
        <w:jc w:val="both"/>
      </w:pPr>
      <w:r>
        <w:t>A ranked high-risk customer table sorted by revenue at risk rather than by probability alone.</w:t>
      </w:r>
    </w:p>
    <w:p>
      <w:pPr>
        <w:pStyle w:val="ListBullet"/>
        <w:spacing w:after="60"/>
        <w:jc w:val="both"/>
      </w:pPr>
      <w:r>
        <w:t>Per-customer SHAP reason codes stating the top three factors driving that customer's risk.</w:t>
      </w:r>
    </w:p>
    <w:p>
      <w:pPr>
        <w:pStyle w:val="ListBullet"/>
        <w:spacing w:after="60"/>
        <w:jc w:val="both"/>
      </w:pPr>
      <w:r>
        <w:t>Single-customer what-if prediction allowing a user to alter an attribute (for example, contract type) and observe the resulting change in churn probability.</w:t>
      </w:r>
    </w:p>
    <w:p>
      <w:pPr>
        <w:pStyle w:val="Heading2"/>
      </w:pPr>
      <w:r>
        <w:t>17.3 Business Outputs</w:t>
      </w:r>
    </w:p>
    <w:p>
      <w:pPr>
        <w:pStyle w:val="ListBullet"/>
        <w:spacing w:after="60"/>
        <w:jc w:val="both"/>
      </w:pPr>
      <w:r>
        <w:t>An interactive Streamlit dashboard with KPI tiles (total customers, baseline churn rate, high-risk count, total revenue at risk), segment charts, model comparison plots and a drill-down explanation panel.</w:t>
      </w:r>
    </w:p>
    <w:p>
      <w:pPr>
        <w:pStyle w:val="ListBullet"/>
        <w:spacing w:after="60"/>
        <w:jc w:val="both"/>
      </w:pPr>
      <w:r>
        <w:t>A prescribed retention action for each high-risk customer, derived from that customer's own dominant risk drivers and segment.</w:t>
      </w:r>
    </w:p>
    <w:p>
      <w:pPr>
        <w:pStyle w:val="ListBullet"/>
        <w:spacing w:after="60"/>
        <w:jc w:val="both"/>
      </w:pPr>
      <w:r>
        <w:t>A quantified financial summary: total revenue at risk, expected saved revenue, campaign cost, net benefit and retention ROI.</w:t>
      </w:r>
    </w:p>
    <w:p>
      <w:pPr>
        <w:pStyle w:val="ListBullet"/>
        <w:spacing w:after="60"/>
        <w:jc w:val="both"/>
      </w:pPr>
      <w:r>
        <w:t>A projected reduction in the overall churn rate (illustratively from approximately 26.5% to approximately 20–22% under the stated assumptions).</w:t>
      </w:r>
    </w:p>
    <w:p>
      <w:pPr>
        <w:pStyle w:val="ListBullet"/>
        <w:spacing w:after="60"/>
        <w:jc w:val="both"/>
      </w:pPr>
      <w:r>
        <w:t>An exportable CSV target list ready to be handed to the retention or customer-success team.</w:t>
      </w:r>
    </w:p>
    <w:p>
      <w:pPr>
        <w:pStyle w:val="Heading2"/>
      </w:pPr>
      <w:r>
        <w:t>17.4 Project Deliverables</w:t>
      </w:r>
    </w:p>
    <w:p>
      <w:pPr>
        <w:pStyle w:val="ListBullet"/>
        <w:spacing w:after="60"/>
        <w:jc w:val="both"/>
      </w:pPr>
      <w:r>
        <w:t>Modular, documented Python source code (data loading, preprocessing, EDA, segmentation, feature engineering, model training, evaluation, explainability, prediction and business-impact modules).</w:t>
      </w:r>
    </w:p>
    <w:p>
      <w:pPr>
        <w:pStyle w:val="ListBullet"/>
        <w:spacing w:after="60"/>
        <w:jc w:val="both"/>
      </w:pPr>
      <w:r>
        <w:t>Serialised model artefacts: best_model.pkl, scaler.pkl and label_encoder.pkl.</w:t>
      </w:r>
    </w:p>
    <w:p>
      <w:pPr>
        <w:pStyle w:val="ListBullet"/>
        <w:spacing w:after="60"/>
        <w:jc w:val="both"/>
      </w:pPr>
      <w:r>
        <w:t>The deployed Streamlit application together with run instructions.</w:t>
      </w:r>
    </w:p>
    <w:p>
      <w:pPr>
        <w:pStyle w:val="ListBullet"/>
        <w:spacing w:after="60"/>
        <w:jc w:val="both"/>
      </w:pPr>
      <w:r>
        <w:t>This project report, a presentation deck and a README file.</w:t>
      </w:r>
    </w:p>
    <w:p>
      <w:pPr>
        <w:pStyle w:val="Heading1"/>
      </w:pPr>
      <w:r>
        <w:t>18. Advantages</w:t>
      </w:r>
    </w:p>
    <w:tbl>
      <w:tblPr>
        <w:tblStyle w:val="TableGrid"/>
        <w:tblW w:type="auto" w:w="0"/>
        <w:jc w:val="center"/>
        <w:tblLayout w:type="fixed"/>
        <w:tblLook w:firstColumn="1" w:firstRow="1" w:lastColumn="0" w:lastRow="0" w:noHBand="0" w:noVBand="1" w:val="04A0"/>
        <w:tblLayout w:type="fixed"/>
      </w:tblPr>
      <w:tblGrid>
        <w:gridCol w:w="2520"/>
        <w:gridCol w:w="6696"/>
      </w:tblGrid>
      <w:tr>
        <w:tc>
          <w:tcPr>
            <w:tcW w:type="dxa" w:w="2520"/>
            <w:shd w:val="clear" w:color="auto" w:fill="1F3864"/>
          </w:tcPr>
          <w:p>
            <w:pPr>
              <w:spacing w:after="40"/>
            </w:pPr>
            <w:r/>
            <w:r>
              <w:rPr>
                <w:rFonts w:ascii="Calibri" w:hAnsi="Calibri"/>
                <w:b/>
                <w:color w:val="FFFFFF"/>
                <w:sz w:val="19"/>
              </w:rPr>
              <w:t>Advantage</w:t>
            </w:r>
          </w:p>
        </w:tc>
        <w:tc>
          <w:tcPr>
            <w:tcW w:type="dxa" w:w="6696"/>
            <w:shd w:val="clear" w:color="auto" w:fill="1F3864"/>
          </w:tcPr>
          <w:p>
            <w:pPr>
              <w:spacing w:after="40"/>
            </w:pPr>
            <w:r/>
            <w:r>
              <w:rPr>
                <w:rFonts w:ascii="Calibri" w:hAnsi="Calibri"/>
                <w:b/>
                <w:color w:val="FFFFFF"/>
                <w:sz w:val="19"/>
              </w:rPr>
              <w:t>Description</w:t>
            </w:r>
          </w:p>
        </w:tc>
      </w:tr>
      <w:tr>
        <w:tc>
          <w:tcPr>
            <w:tcW w:type="dxa" w:w="2520"/>
          </w:tcPr>
          <w:p>
            <w:pPr>
              <w:spacing w:after="40"/>
            </w:pPr>
            <w:r/>
            <w:r>
              <w:rPr>
                <w:rFonts w:ascii="Times New Roman" w:hAnsi="Times New Roman"/>
                <w:sz w:val="19"/>
              </w:rPr>
              <w:t>High predictive accuracy</w:t>
            </w:r>
          </w:p>
        </w:tc>
        <w:tc>
          <w:tcPr>
            <w:tcW w:type="dxa" w:w="6696"/>
          </w:tcPr>
          <w:p>
            <w:pPr>
              <w:spacing w:after="40"/>
            </w:pPr>
            <w:r/>
            <w:r>
              <w:rPr>
                <w:rFonts w:ascii="Times New Roman" w:hAnsi="Times New Roman"/>
                <w:sz w:val="19"/>
              </w:rPr>
              <w:t>Benchmarked ensemble models target accuracy above 85% and ROC-AUC above 0.85, substantially outperforming rule-based and single-classifier approaches.</w:t>
            </w:r>
          </w:p>
        </w:tc>
      </w:tr>
      <w:tr>
        <w:tc>
          <w:tcPr>
            <w:tcW w:type="dxa" w:w="2520"/>
            <w:shd w:val="clear" w:color="auto" w:fill="F2F5FA"/>
          </w:tcPr>
          <w:p>
            <w:pPr>
              <w:spacing w:after="40"/>
            </w:pPr>
            <w:r/>
            <w:r>
              <w:rPr>
                <w:rFonts w:ascii="Times New Roman" w:hAnsi="Times New Roman"/>
                <w:sz w:val="19"/>
              </w:rPr>
              <w:t>Proactive rather than reactive</w:t>
            </w:r>
          </w:p>
        </w:tc>
        <w:tc>
          <w:tcPr>
            <w:tcW w:type="dxa" w:w="6696"/>
            <w:shd w:val="clear" w:color="auto" w:fill="F2F5FA"/>
          </w:tcPr>
          <w:p>
            <w:pPr>
              <w:spacing w:after="40"/>
            </w:pPr>
            <w:r/>
            <w:r>
              <w:rPr>
                <w:rFonts w:ascii="Times New Roman" w:hAnsi="Times New Roman"/>
                <w:sz w:val="19"/>
              </w:rPr>
              <w:t>Customers are identified before they leave, converting churn management from post-mortem reporting into preventive action.</w:t>
            </w:r>
          </w:p>
        </w:tc>
      </w:tr>
      <w:tr>
        <w:tc>
          <w:tcPr>
            <w:tcW w:type="dxa" w:w="2520"/>
          </w:tcPr>
          <w:p>
            <w:pPr>
              <w:spacing w:after="40"/>
            </w:pPr>
            <w:r/>
            <w:r>
              <w:rPr>
                <w:rFonts w:ascii="Times New Roman" w:hAnsi="Times New Roman"/>
                <w:sz w:val="19"/>
              </w:rPr>
              <w:t>Probability-based prioritisation</w:t>
            </w:r>
          </w:p>
        </w:tc>
        <w:tc>
          <w:tcPr>
            <w:tcW w:type="dxa" w:w="6696"/>
          </w:tcPr>
          <w:p>
            <w:pPr>
              <w:spacing w:after="40"/>
            </w:pPr>
            <w:r/>
            <w:r>
              <w:rPr>
                <w:rFonts w:ascii="Times New Roman" w:hAnsi="Times New Roman"/>
                <w:sz w:val="19"/>
              </w:rPr>
              <w:t>Continuous risk scores allow a limited retention team to work the highest-risk customers first instead of an undifferentiated flagged list.</w:t>
            </w:r>
          </w:p>
        </w:tc>
      </w:tr>
      <w:tr>
        <w:tc>
          <w:tcPr>
            <w:tcW w:type="dxa" w:w="2520"/>
            <w:shd w:val="clear" w:color="auto" w:fill="F2F5FA"/>
          </w:tcPr>
          <w:p>
            <w:pPr>
              <w:spacing w:after="40"/>
            </w:pPr>
            <w:r/>
            <w:r>
              <w:rPr>
                <w:rFonts w:ascii="Times New Roman" w:hAnsi="Times New Roman"/>
                <w:sz w:val="19"/>
              </w:rPr>
              <w:t>Value-weighted targeting</w:t>
            </w:r>
          </w:p>
        </w:tc>
        <w:tc>
          <w:tcPr>
            <w:tcW w:type="dxa" w:w="6696"/>
            <w:shd w:val="clear" w:color="auto" w:fill="F2F5FA"/>
          </w:tcPr>
          <w:p>
            <w:pPr>
              <w:spacing w:after="40"/>
            </w:pPr>
            <w:r/>
            <w:r>
              <w:rPr>
                <w:rFonts w:ascii="Times New Roman" w:hAnsi="Times New Roman"/>
                <w:sz w:val="19"/>
              </w:rPr>
              <w:t>Combining churn probability with customer value directs retention budget to the customers whose loss would cost the most.</w:t>
            </w:r>
          </w:p>
        </w:tc>
      </w:tr>
      <w:tr>
        <w:tc>
          <w:tcPr>
            <w:tcW w:type="dxa" w:w="2520"/>
          </w:tcPr>
          <w:p>
            <w:pPr>
              <w:spacing w:after="40"/>
            </w:pPr>
            <w:r/>
            <w:r>
              <w:rPr>
                <w:rFonts w:ascii="Times New Roman" w:hAnsi="Times New Roman"/>
                <w:sz w:val="19"/>
              </w:rPr>
              <w:t>Full transparency</w:t>
            </w:r>
          </w:p>
        </w:tc>
        <w:tc>
          <w:tcPr>
            <w:tcW w:type="dxa" w:w="6696"/>
          </w:tcPr>
          <w:p>
            <w:pPr>
              <w:spacing w:after="40"/>
            </w:pPr>
            <w:r/>
            <w:r>
              <w:rPr>
                <w:rFonts w:ascii="Times New Roman" w:hAnsi="Times New Roman"/>
                <w:sz w:val="19"/>
              </w:rPr>
              <w:t>SHAP-based reason codes mean no prediction is a black box; every flag can be justified to a manager, an auditor or the customer-facing agent.</w:t>
            </w:r>
          </w:p>
        </w:tc>
      </w:tr>
      <w:tr>
        <w:tc>
          <w:tcPr>
            <w:tcW w:type="dxa" w:w="2520"/>
            <w:shd w:val="clear" w:color="auto" w:fill="F2F5FA"/>
          </w:tcPr>
          <w:p>
            <w:pPr>
              <w:spacing w:after="40"/>
            </w:pPr>
            <w:r/>
            <w:r>
              <w:rPr>
                <w:rFonts w:ascii="Times New Roman" w:hAnsi="Times New Roman"/>
                <w:sz w:val="19"/>
              </w:rPr>
              <w:t>Prescriptive, not merely predictive</w:t>
            </w:r>
          </w:p>
        </w:tc>
        <w:tc>
          <w:tcPr>
            <w:tcW w:type="dxa" w:w="6696"/>
            <w:shd w:val="clear" w:color="auto" w:fill="F2F5FA"/>
          </w:tcPr>
          <w:p>
            <w:pPr>
              <w:spacing w:after="40"/>
            </w:pPr>
            <w:r/>
            <w:r>
              <w:rPr>
                <w:rFonts w:ascii="Times New Roman" w:hAnsi="Times New Roman"/>
                <w:sz w:val="19"/>
              </w:rPr>
              <w:t>The system recommends a specific retention action per customer instead of leaving interpretation to the business.</w:t>
            </w:r>
          </w:p>
        </w:tc>
      </w:tr>
      <w:tr>
        <w:tc>
          <w:tcPr>
            <w:tcW w:type="dxa" w:w="2520"/>
          </w:tcPr>
          <w:p>
            <w:pPr>
              <w:spacing w:after="40"/>
            </w:pPr>
            <w:r/>
            <w:r>
              <w:rPr>
                <w:rFonts w:ascii="Times New Roman" w:hAnsi="Times New Roman"/>
                <w:sz w:val="19"/>
              </w:rPr>
              <w:t>Financially quantified</w:t>
            </w:r>
          </w:p>
        </w:tc>
        <w:tc>
          <w:tcPr>
            <w:tcW w:type="dxa" w:w="6696"/>
          </w:tcPr>
          <w:p>
            <w:pPr>
              <w:spacing w:after="40"/>
            </w:pPr>
            <w:r/>
            <w:r>
              <w:rPr>
                <w:rFonts w:ascii="Times New Roman" w:hAnsi="Times New Roman"/>
                <w:sz w:val="19"/>
              </w:rPr>
              <w:t>Revenue at risk, saved revenue and ROI are reported in currency terms, allowing management to size and justify the retention budget.</w:t>
            </w:r>
          </w:p>
        </w:tc>
      </w:tr>
      <w:tr>
        <w:tc>
          <w:tcPr>
            <w:tcW w:type="dxa" w:w="2520"/>
            <w:shd w:val="clear" w:color="auto" w:fill="F2F5FA"/>
          </w:tcPr>
          <w:p>
            <w:pPr>
              <w:spacing w:after="40"/>
            </w:pPr>
            <w:r/>
            <w:r>
              <w:rPr>
                <w:rFonts w:ascii="Times New Roman" w:hAnsi="Times New Roman"/>
                <w:sz w:val="19"/>
              </w:rPr>
              <w:t>Segment-aware strategy</w:t>
            </w:r>
          </w:p>
        </w:tc>
        <w:tc>
          <w:tcPr>
            <w:tcW w:type="dxa" w:w="6696"/>
            <w:shd w:val="clear" w:color="auto" w:fill="F2F5FA"/>
          </w:tcPr>
          <w:p>
            <w:pPr>
              <w:spacing w:after="40"/>
            </w:pPr>
            <w:r/>
            <w:r>
              <w:rPr>
                <w:rFonts w:ascii="Times New Roman" w:hAnsi="Times New Roman"/>
                <w:sz w:val="19"/>
              </w:rPr>
              <w:t>Clustering enables differentiated treatment of high-value, new and price-sensitive customers rather than a single blanket offer.</w:t>
            </w:r>
          </w:p>
        </w:tc>
      </w:tr>
      <w:tr>
        <w:tc>
          <w:tcPr>
            <w:tcW w:type="dxa" w:w="2520"/>
          </w:tcPr>
          <w:p>
            <w:pPr>
              <w:spacing w:after="40"/>
            </w:pPr>
            <w:r/>
            <w:r>
              <w:rPr>
                <w:rFonts w:ascii="Times New Roman" w:hAnsi="Times New Roman"/>
                <w:sz w:val="19"/>
              </w:rPr>
              <w:t>Business-user accessible</w:t>
            </w:r>
          </w:p>
        </w:tc>
        <w:tc>
          <w:tcPr>
            <w:tcW w:type="dxa" w:w="6696"/>
          </w:tcPr>
          <w:p>
            <w:pPr>
              <w:spacing w:after="40"/>
            </w:pPr>
            <w:r/>
            <w:r>
              <w:rPr>
                <w:rFonts w:ascii="Times New Roman" w:hAnsi="Times New Roman"/>
                <w:sz w:val="19"/>
              </w:rPr>
              <w:t>The Streamlit dashboard requires no coding knowledge, ensuring operational adoption by analysts and retention managers.</w:t>
            </w:r>
          </w:p>
        </w:tc>
      </w:tr>
      <w:tr>
        <w:tc>
          <w:tcPr>
            <w:tcW w:type="dxa" w:w="2520"/>
            <w:shd w:val="clear" w:color="auto" w:fill="F2F5FA"/>
          </w:tcPr>
          <w:p>
            <w:pPr>
              <w:spacing w:after="40"/>
            </w:pPr>
            <w:r/>
            <w:r>
              <w:rPr>
                <w:rFonts w:ascii="Times New Roman" w:hAnsi="Times New Roman"/>
                <w:sz w:val="19"/>
              </w:rPr>
              <w:t>Reusable and domain-portable</w:t>
            </w:r>
          </w:p>
        </w:tc>
        <w:tc>
          <w:tcPr>
            <w:tcW w:type="dxa" w:w="6696"/>
            <w:shd w:val="clear" w:color="auto" w:fill="F2F5FA"/>
          </w:tcPr>
          <w:p>
            <w:pPr>
              <w:spacing w:after="40"/>
            </w:pPr>
            <w:r/>
            <w:r>
              <w:rPr>
                <w:rFonts w:ascii="Times New Roman" w:hAnsi="Times New Roman"/>
                <w:sz w:val="19"/>
              </w:rPr>
              <w:t>The pipeline is dataset-agnostic and transfers to banking, insurance, SaaS, retail and utilities with minimal reconfiguration.</w:t>
            </w:r>
          </w:p>
        </w:tc>
      </w:tr>
      <w:tr>
        <w:tc>
          <w:tcPr>
            <w:tcW w:type="dxa" w:w="2520"/>
          </w:tcPr>
          <w:p>
            <w:pPr>
              <w:spacing w:after="40"/>
            </w:pPr>
            <w:r/>
            <w:r>
              <w:rPr>
                <w:rFonts w:ascii="Times New Roman" w:hAnsi="Times New Roman"/>
                <w:sz w:val="19"/>
              </w:rPr>
              <w:t>Modular and maintainable</w:t>
            </w:r>
          </w:p>
        </w:tc>
        <w:tc>
          <w:tcPr>
            <w:tcW w:type="dxa" w:w="6696"/>
          </w:tcPr>
          <w:p>
            <w:pPr>
              <w:spacing w:after="40"/>
            </w:pPr>
            <w:r/>
            <w:r>
              <w:rPr>
                <w:rFonts w:ascii="Times New Roman" w:hAnsi="Times New Roman"/>
                <w:sz w:val="19"/>
              </w:rPr>
              <w:t>Clean separation of data, modelling, explanation and business layers makes the system easy to extend, retrain and audit.</w:t>
            </w:r>
          </w:p>
        </w:tc>
      </w:tr>
      <w:tr>
        <w:tc>
          <w:tcPr>
            <w:tcW w:type="dxa" w:w="2520"/>
            <w:shd w:val="clear" w:color="auto" w:fill="F2F5FA"/>
          </w:tcPr>
          <w:p>
            <w:pPr>
              <w:spacing w:after="40"/>
            </w:pPr>
            <w:r/>
            <w:r>
              <w:rPr>
                <w:rFonts w:ascii="Times New Roman" w:hAnsi="Times New Roman"/>
                <w:sz w:val="19"/>
              </w:rPr>
              <w:t>Automated and scalable</w:t>
            </w:r>
          </w:p>
        </w:tc>
        <w:tc>
          <w:tcPr>
            <w:tcW w:type="dxa" w:w="6696"/>
            <w:shd w:val="clear" w:color="auto" w:fill="F2F5FA"/>
          </w:tcPr>
          <w:p>
            <w:pPr>
              <w:spacing w:after="40"/>
            </w:pPr>
            <w:r/>
            <w:r>
              <w:rPr>
                <w:rFonts w:ascii="Times New Roman" w:hAnsi="Times New Roman"/>
                <w:sz w:val="19"/>
              </w:rPr>
              <w:t>Batch scoring of large customer files runs in seconds and can be scheduled, removing manual analysis effort.</w:t>
            </w:r>
          </w:p>
        </w:tc>
      </w:tr>
      <w:tr>
        <w:tc>
          <w:tcPr>
            <w:tcW w:type="dxa" w:w="2520"/>
          </w:tcPr>
          <w:p>
            <w:pPr>
              <w:spacing w:after="40"/>
            </w:pPr>
            <w:r/>
            <w:r>
              <w:rPr>
                <w:rFonts w:ascii="Times New Roman" w:hAnsi="Times New Roman"/>
                <w:sz w:val="19"/>
              </w:rPr>
              <w:t>Cost-effective</w:t>
            </w:r>
          </w:p>
        </w:tc>
        <w:tc>
          <w:tcPr>
            <w:tcW w:type="dxa" w:w="6696"/>
          </w:tcPr>
          <w:p>
            <w:pPr>
              <w:spacing w:after="40"/>
            </w:pPr>
            <w:r/>
            <w:r>
              <w:rPr>
                <w:rFonts w:ascii="Times New Roman" w:hAnsi="Times New Roman"/>
                <w:sz w:val="19"/>
              </w:rPr>
              <w:t>Built entirely on open-source Python libraries with no licensing cost and no GPU requirement.</w:t>
            </w:r>
          </w:p>
        </w:tc>
      </w:tr>
      <w:tr>
        <w:tc>
          <w:tcPr>
            <w:tcW w:type="dxa" w:w="2520"/>
            <w:shd w:val="clear" w:color="auto" w:fill="F2F5FA"/>
          </w:tcPr>
          <w:p>
            <w:pPr>
              <w:spacing w:after="40"/>
            </w:pPr>
            <w:r/>
            <w:r>
              <w:rPr>
                <w:rFonts w:ascii="Times New Roman" w:hAnsi="Times New Roman"/>
                <w:sz w:val="19"/>
              </w:rPr>
              <w:t>Academically rigorous</w:t>
            </w:r>
          </w:p>
        </w:tc>
        <w:tc>
          <w:tcPr>
            <w:tcW w:type="dxa" w:w="6696"/>
            <w:shd w:val="clear" w:color="auto" w:fill="F2F5FA"/>
          </w:tcPr>
          <w:p>
            <w:pPr>
              <w:spacing w:after="40"/>
            </w:pPr>
            <w:r/>
            <w:r>
              <w:rPr>
                <w:rFonts w:ascii="Times New Roman" w:hAnsi="Times New Roman"/>
                <w:sz w:val="19"/>
              </w:rPr>
              <w:t>Stratified cross-validation, explicit imbalance handling, multi-metric evaluation and threshold tuning ensure the reported results are defensible.</w:t>
            </w:r>
          </w:p>
        </w:tc>
      </w:tr>
    </w:tbl>
    <w:p>
      <w:pPr>
        <w:spacing w:after="80"/>
      </w:pPr>
    </w:p>
    <w:p>
      <w:r>
        <w:br w:type="page"/>
      </w:r>
    </w:p>
    <w:p>
      <w:pPr>
        <w:pStyle w:val="Heading1"/>
      </w:pPr>
      <w:r>
        <w:t>19. Work Breakdown Structure and Timeline</w:t>
      </w:r>
    </w:p>
    <w:tbl>
      <w:tblPr>
        <w:tblStyle w:val="TableGrid"/>
        <w:tblW w:type="auto" w:w="0"/>
        <w:jc w:val="center"/>
        <w:tblLayout w:type="fixed"/>
        <w:tblLook w:firstColumn="1" w:firstRow="1" w:lastColumn="0" w:lastRow="0" w:noHBand="0" w:noVBand="1" w:val="04A0"/>
        <w:tblLayout w:type="fixed"/>
      </w:tblPr>
      <w:tblGrid>
        <w:gridCol w:w="648"/>
        <w:gridCol w:w="1944"/>
        <w:gridCol w:w="3096"/>
        <w:gridCol w:w="2376"/>
        <w:gridCol w:w="1080"/>
      </w:tblGrid>
      <w:tr>
        <w:tc>
          <w:tcPr>
            <w:tcW w:type="dxa" w:w="648"/>
            <w:shd w:val="clear" w:color="auto" w:fill="1F3864"/>
          </w:tcPr>
          <w:p>
            <w:pPr>
              <w:spacing w:after="40"/>
            </w:pPr>
            <w:r/>
            <w:r>
              <w:rPr>
                <w:rFonts w:ascii="Calibri" w:hAnsi="Calibri"/>
                <w:b/>
                <w:color w:val="FFFFFF"/>
                <w:sz w:val="17"/>
              </w:rPr>
              <w:t>Phase</w:t>
            </w:r>
          </w:p>
        </w:tc>
        <w:tc>
          <w:tcPr>
            <w:tcW w:type="dxa" w:w="1944"/>
            <w:shd w:val="clear" w:color="auto" w:fill="1F3864"/>
          </w:tcPr>
          <w:p>
            <w:pPr>
              <w:spacing w:after="40"/>
            </w:pPr>
            <w:r/>
            <w:r>
              <w:rPr>
                <w:rFonts w:ascii="Calibri" w:hAnsi="Calibri"/>
                <w:b/>
                <w:color w:val="FFFFFF"/>
                <w:sz w:val="17"/>
              </w:rPr>
              <w:t>Work Package</w:t>
            </w:r>
          </w:p>
        </w:tc>
        <w:tc>
          <w:tcPr>
            <w:tcW w:type="dxa" w:w="3096"/>
            <w:shd w:val="clear" w:color="auto" w:fill="1F3864"/>
          </w:tcPr>
          <w:p>
            <w:pPr>
              <w:spacing w:after="40"/>
            </w:pPr>
            <w:r/>
            <w:r>
              <w:rPr>
                <w:rFonts w:ascii="Calibri" w:hAnsi="Calibri"/>
                <w:b/>
                <w:color w:val="FFFFFF"/>
                <w:sz w:val="17"/>
              </w:rPr>
              <w:t>Key Activities</w:t>
            </w:r>
          </w:p>
        </w:tc>
        <w:tc>
          <w:tcPr>
            <w:tcW w:type="dxa" w:w="2376"/>
            <w:shd w:val="clear" w:color="auto" w:fill="1F3864"/>
          </w:tcPr>
          <w:p>
            <w:pPr>
              <w:spacing w:after="40"/>
            </w:pPr>
            <w:r/>
            <w:r>
              <w:rPr>
                <w:rFonts w:ascii="Calibri" w:hAnsi="Calibri"/>
                <w:b/>
                <w:color w:val="FFFFFF"/>
                <w:sz w:val="17"/>
              </w:rPr>
              <w:t>Deliverable</w:t>
            </w:r>
          </w:p>
        </w:tc>
        <w:tc>
          <w:tcPr>
            <w:tcW w:type="dxa" w:w="1080"/>
            <w:shd w:val="clear" w:color="auto" w:fill="1F3864"/>
          </w:tcPr>
          <w:p>
            <w:pPr>
              <w:spacing w:after="40"/>
            </w:pPr>
            <w:r/>
            <w:r>
              <w:rPr>
                <w:rFonts w:ascii="Calibri" w:hAnsi="Calibri"/>
                <w:b/>
                <w:color w:val="FFFFFF"/>
                <w:sz w:val="17"/>
              </w:rPr>
              <w:t>Duration</w:t>
            </w:r>
          </w:p>
        </w:tc>
      </w:tr>
      <w:tr>
        <w:tc>
          <w:tcPr>
            <w:tcW w:type="dxa" w:w="648"/>
          </w:tcPr>
          <w:p>
            <w:pPr>
              <w:spacing w:after="40"/>
            </w:pPr>
            <w:r/>
            <w:r>
              <w:rPr>
                <w:rFonts w:ascii="Times New Roman" w:hAnsi="Times New Roman"/>
                <w:sz w:val="17"/>
              </w:rPr>
              <w:t>1</w:t>
            </w:r>
          </w:p>
        </w:tc>
        <w:tc>
          <w:tcPr>
            <w:tcW w:type="dxa" w:w="1944"/>
          </w:tcPr>
          <w:p>
            <w:pPr>
              <w:spacing w:after="40"/>
            </w:pPr>
            <w:r/>
            <w:r>
              <w:rPr>
                <w:rFonts w:ascii="Times New Roman" w:hAnsi="Times New Roman"/>
                <w:sz w:val="17"/>
              </w:rPr>
              <w:t>Problem definition &amp; literature survey</w:t>
            </w:r>
          </w:p>
        </w:tc>
        <w:tc>
          <w:tcPr>
            <w:tcW w:type="dxa" w:w="3096"/>
          </w:tcPr>
          <w:p>
            <w:pPr>
              <w:spacing w:after="40"/>
            </w:pPr>
            <w:r/>
            <w:r>
              <w:rPr>
                <w:rFonts w:ascii="Times New Roman" w:hAnsi="Times New Roman"/>
                <w:sz w:val="17"/>
              </w:rPr>
              <w:t>Define scope and objectives; survey 2022–2026 literature; identify gaps</w:t>
            </w:r>
          </w:p>
        </w:tc>
        <w:tc>
          <w:tcPr>
            <w:tcW w:type="dxa" w:w="2376"/>
          </w:tcPr>
          <w:p>
            <w:pPr>
              <w:spacing w:after="40"/>
            </w:pPr>
            <w:r/>
            <w:r>
              <w:rPr>
                <w:rFonts w:ascii="Times New Roman" w:hAnsi="Times New Roman"/>
                <w:sz w:val="17"/>
              </w:rPr>
              <w:t>Problem statement, literature survey table, gap analysis</w:t>
            </w:r>
          </w:p>
        </w:tc>
        <w:tc>
          <w:tcPr>
            <w:tcW w:type="dxa" w:w="1080"/>
          </w:tcPr>
          <w:p>
            <w:pPr>
              <w:spacing w:after="40"/>
            </w:pPr>
            <w:r/>
            <w:r>
              <w:rPr>
                <w:rFonts w:ascii="Times New Roman" w:hAnsi="Times New Roman"/>
                <w:sz w:val="17"/>
              </w:rPr>
              <w:t>1 week</w:t>
            </w:r>
          </w:p>
        </w:tc>
      </w:tr>
      <w:tr>
        <w:tc>
          <w:tcPr>
            <w:tcW w:type="dxa" w:w="648"/>
            <w:shd w:val="clear" w:color="auto" w:fill="F2F5FA"/>
          </w:tcPr>
          <w:p>
            <w:pPr>
              <w:spacing w:after="40"/>
            </w:pPr>
            <w:r/>
            <w:r>
              <w:rPr>
                <w:rFonts w:ascii="Times New Roman" w:hAnsi="Times New Roman"/>
                <w:sz w:val="17"/>
              </w:rPr>
              <w:t>2</w:t>
            </w:r>
          </w:p>
        </w:tc>
        <w:tc>
          <w:tcPr>
            <w:tcW w:type="dxa" w:w="1944"/>
            <w:shd w:val="clear" w:color="auto" w:fill="F2F5FA"/>
          </w:tcPr>
          <w:p>
            <w:pPr>
              <w:spacing w:after="40"/>
            </w:pPr>
            <w:r/>
            <w:r>
              <w:rPr>
                <w:rFonts w:ascii="Times New Roman" w:hAnsi="Times New Roman"/>
                <w:sz w:val="17"/>
              </w:rPr>
              <w:t>Dataset acquisition &amp; understanding</w:t>
            </w:r>
          </w:p>
        </w:tc>
        <w:tc>
          <w:tcPr>
            <w:tcW w:type="dxa" w:w="3096"/>
            <w:shd w:val="clear" w:color="auto" w:fill="F2F5FA"/>
          </w:tcPr>
          <w:p>
            <w:pPr>
              <w:spacing w:after="40"/>
            </w:pPr>
            <w:r/>
            <w:r>
              <w:rPr>
                <w:rFonts w:ascii="Times New Roman" w:hAnsi="Times New Roman"/>
                <w:sz w:val="17"/>
              </w:rPr>
              <w:t>Download dataset; profile attributes; establish baseline churn rate</w:t>
            </w:r>
          </w:p>
        </w:tc>
        <w:tc>
          <w:tcPr>
            <w:tcW w:type="dxa" w:w="2376"/>
            <w:shd w:val="clear" w:color="auto" w:fill="F2F5FA"/>
          </w:tcPr>
          <w:p>
            <w:pPr>
              <w:spacing w:after="40"/>
            </w:pPr>
            <w:r/>
            <w:r>
              <w:rPr>
                <w:rFonts w:ascii="Times New Roman" w:hAnsi="Times New Roman"/>
                <w:sz w:val="17"/>
              </w:rPr>
              <w:t>Data profile report</w:t>
            </w:r>
          </w:p>
        </w:tc>
        <w:tc>
          <w:tcPr>
            <w:tcW w:type="dxa" w:w="1080"/>
            <w:shd w:val="clear" w:color="auto" w:fill="F2F5FA"/>
          </w:tcPr>
          <w:p>
            <w:pPr>
              <w:spacing w:after="40"/>
            </w:pPr>
            <w:r/>
            <w:r>
              <w:rPr>
                <w:rFonts w:ascii="Times New Roman" w:hAnsi="Times New Roman"/>
                <w:sz w:val="17"/>
              </w:rPr>
              <w:t>0.5 week</w:t>
            </w:r>
          </w:p>
        </w:tc>
      </w:tr>
      <w:tr>
        <w:tc>
          <w:tcPr>
            <w:tcW w:type="dxa" w:w="648"/>
          </w:tcPr>
          <w:p>
            <w:pPr>
              <w:spacing w:after="40"/>
            </w:pPr>
            <w:r/>
            <w:r>
              <w:rPr>
                <w:rFonts w:ascii="Times New Roman" w:hAnsi="Times New Roman"/>
                <w:sz w:val="17"/>
              </w:rPr>
              <w:t>3</w:t>
            </w:r>
          </w:p>
        </w:tc>
        <w:tc>
          <w:tcPr>
            <w:tcW w:type="dxa" w:w="1944"/>
          </w:tcPr>
          <w:p>
            <w:pPr>
              <w:spacing w:after="40"/>
            </w:pPr>
            <w:r/>
            <w:r>
              <w:rPr>
                <w:rFonts w:ascii="Times New Roman" w:hAnsi="Times New Roman"/>
                <w:sz w:val="17"/>
              </w:rPr>
              <w:t>Data cleaning &amp; EDA</w:t>
            </w:r>
          </w:p>
        </w:tc>
        <w:tc>
          <w:tcPr>
            <w:tcW w:type="dxa" w:w="3096"/>
          </w:tcPr>
          <w:p>
            <w:pPr>
              <w:spacing w:after="40"/>
            </w:pPr>
            <w:r/>
            <w:r>
              <w:rPr>
                <w:rFonts w:ascii="Times New Roman" w:hAnsi="Times New Roman"/>
                <w:sz w:val="17"/>
              </w:rPr>
              <w:t>Handle missing values and types; outlier treatment; univariate, bivariate and correlation analysis</w:t>
            </w:r>
          </w:p>
        </w:tc>
        <w:tc>
          <w:tcPr>
            <w:tcW w:type="dxa" w:w="2376"/>
          </w:tcPr>
          <w:p>
            <w:pPr>
              <w:spacing w:after="40"/>
            </w:pPr>
            <w:r/>
            <w:r>
              <w:rPr>
                <w:rFonts w:ascii="Times New Roman" w:hAnsi="Times New Roman"/>
                <w:sz w:val="17"/>
              </w:rPr>
              <w:t>Cleaned dataset and EDA notebook with visualisations</w:t>
            </w:r>
          </w:p>
        </w:tc>
        <w:tc>
          <w:tcPr>
            <w:tcW w:type="dxa" w:w="1080"/>
          </w:tcPr>
          <w:p>
            <w:pPr>
              <w:spacing w:after="40"/>
            </w:pPr>
            <w:r/>
            <w:r>
              <w:rPr>
                <w:rFonts w:ascii="Times New Roman" w:hAnsi="Times New Roman"/>
                <w:sz w:val="17"/>
              </w:rPr>
              <w:t>1 week</w:t>
            </w:r>
          </w:p>
        </w:tc>
      </w:tr>
      <w:tr>
        <w:tc>
          <w:tcPr>
            <w:tcW w:type="dxa" w:w="648"/>
            <w:shd w:val="clear" w:color="auto" w:fill="F2F5FA"/>
          </w:tcPr>
          <w:p>
            <w:pPr>
              <w:spacing w:after="40"/>
            </w:pPr>
            <w:r/>
            <w:r>
              <w:rPr>
                <w:rFonts w:ascii="Times New Roman" w:hAnsi="Times New Roman"/>
                <w:sz w:val="17"/>
              </w:rPr>
              <w:t>4</w:t>
            </w:r>
          </w:p>
        </w:tc>
        <w:tc>
          <w:tcPr>
            <w:tcW w:type="dxa" w:w="1944"/>
            <w:shd w:val="clear" w:color="auto" w:fill="F2F5FA"/>
          </w:tcPr>
          <w:p>
            <w:pPr>
              <w:spacing w:after="40"/>
            </w:pPr>
            <w:r/>
            <w:r>
              <w:rPr>
                <w:rFonts w:ascii="Times New Roman" w:hAnsi="Times New Roman"/>
                <w:sz w:val="17"/>
              </w:rPr>
              <w:t>Feature engineering</w:t>
            </w:r>
          </w:p>
        </w:tc>
        <w:tc>
          <w:tcPr>
            <w:tcW w:type="dxa" w:w="3096"/>
            <w:shd w:val="clear" w:color="auto" w:fill="F2F5FA"/>
          </w:tcPr>
          <w:p>
            <w:pPr>
              <w:spacing w:after="40"/>
            </w:pPr>
            <w:r/>
            <w:r>
              <w:rPr>
                <w:rFonts w:ascii="Times New Roman" w:hAnsi="Times New Roman"/>
                <w:sz w:val="17"/>
              </w:rPr>
              <w:t>Construct tenure bands, ARPU, charge ratio, service count, contract-risk and value-tier features; encode and scale</w:t>
            </w:r>
          </w:p>
        </w:tc>
        <w:tc>
          <w:tcPr>
            <w:tcW w:type="dxa" w:w="2376"/>
            <w:shd w:val="clear" w:color="auto" w:fill="F2F5FA"/>
          </w:tcPr>
          <w:p>
            <w:pPr>
              <w:spacing w:after="40"/>
            </w:pPr>
            <w:r/>
            <w:r>
              <w:rPr>
                <w:rFonts w:ascii="Times New Roman" w:hAnsi="Times New Roman"/>
                <w:sz w:val="17"/>
              </w:rPr>
              <w:t>Feature-engineered dataset and feature dictionary</w:t>
            </w:r>
          </w:p>
        </w:tc>
        <w:tc>
          <w:tcPr>
            <w:tcW w:type="dxa" w:w="1080"/>
            <w:shd w:val="clear" w:color="auto" w:fill="F2F5FA"/>
          </w:tcPr>
          <w:p>
            <w:pPr>
              <w:spacing w:after="40"/>
            </w:pPr>
            <w:r/>
            <w:r>
              <w:rPr>
                <w:rFonts w:ascii="Times New Roman" w:hAnsi="Times New Roman"/>
                <w:sz w:val="17"/>
              </w:rPr>
              <w:t>1 week</w:t>
            </w:r>
          </w:p>
        </w:tc>
      </w:tr>
      <w:tr>
        <w:tc>
          <w:tcPr>
            <w:tcW w:type="dxa" w:w="648"/>
          </w:tcPr>
          <w:p>
            <w:pPr>
              <w:spacing w:after="40"/>
            </w:pPr>
            <w:r/>
            <w:r>
              <w:rPr>
                <w:rFonts w:ascii="Times New Roman" w:hAnsi="Times New Roman"/>
                <w:sz w:val="17"/>
              </w:rPr>
              <w:t>5</w:t>
            </w:r>
          </w:p>
        </w:tc>
        <w:tc>
          <w:tcPr>
            <w:tcW w:type="dxa" w:w="1944"/>
          </w:tcPr>
          <w:p>
            <w:pPr>
              <w:spacing w:after="40"/>
            </w:pPr>
            <w:r/>
            <w:r>
              <w:rPr>
                <w:rFonts w:ascii="Times New Roman" w:hAnsi="Times New Roman"/>
                <w:sz w:val="17"/>
              </w:rPr>
              <w:t>Customer segmentation</w:t>
            </w:r>
          </w:p>
        </w:tc>
        <w:tc>
          <w:tcPr>
            <w:tcW w:type="dxa" w:w="3096"/>
          </w:tcPr>
          <w:p>
            <w:pPr>
              <w:spacing w:after="40"/>
            </w:pPr>
            <w:r/>
            <w:r>
              <w:rPr>
                <w:rFonts w:ascii="Times New Roman" w:hAnsi="Times New Roman"/>
                <w:sz w:val="17"/>
              </w:rPr>
              <w:t>Build RFM proxies; run K-Means; select K via elbow and silhouette; profile and name segments</w:t>
            </w:r>
          </w:p>
        </w:tc>
        <w:tc>
          <w:tcPr>
            <w:tcW w:type="dxa" w:w="2376"/>
          </w:tcPr>
          <w:p>
            <w:pPr>
              <w:spacing w:after="40"/>
            </w:pPr>
            <w:r/>
            <w:r>
              <w:rPr>
                <w:rFonts w:ascii="Times New Roman" w:hAnsi="Times New Roman"/>
                <w:sz w:val="17"/>
              </w:rPr>
              <w:t>Segment profiles and segment-wise churn analysis</w:t>
            </w:r>
          </w:p>
        </w:tc>
        <w:tc>
          <w:tcPr>
            <w:tcW w:type="dxa" w:w="1080"/>
          </w:tcPr>
          <w:p>
            <w:pPr>
              <w:spacing w:after="40"/>
            </w:pPr>
            <w:r/>
            <w:r>
              <w:rPr>
                <w:rFonts w:ascii="Times New Roman" w:hAnsi="Times New Roman"/>
                <w:sz w:val="17"/>
              </w:rPr>
              <w:t>1 week</w:t>
            </w:r>
          </w:p>
        </w:tc>
      </w:tr>
      <w:tr>
        <w:tc>
          <w:tcPr>
            <w:tcW w:type="dxa" w:w="648"/>
            <w:shd w:val="clear" w:color="auto" w:fill="F2F5FA"/>
          </w:tcPr>
          <w:p>
            <w:pPr>
              <w:spacing w:after="40"/>
            </w:pPr>
            <w:r/>
            <w:r>
              <w:rPr>
                <w:rFonts w:ascii="Times New Roman" w:hAnsi="Times New Roman"/>
                <w:sz w:val="17"/>
              </w:rPr>
              <w:t>6</w:t>
            </w:r>
          </w:p>
        </w:tc>
        <w:tc>
          <w:tcPr>
            <w:tcW w:type="dxa" w:w="1944"/>
            <w:shd w:val="clear" w:color="auto" w:fill="F2F5FA"/>
          </w:tcPr>
          <w:p>
            <w:pPr>
              <w:spacing w:after="40"/>
            </w:pPr>
            <w:r/>
            <w:r>
              <w:rPr>
                <w:rFonts w:ascii="Times New Roman" w:hAnsi="Times New Roman"/>
                <w:sz w:val="17"/>
              </w:rPr>
              <w:t>Model development</w:t>
            </w:r>
          </w:p>
        </w:tc>
        <w:tc>
          <w:tcPr>
            <w:tcW w:type="dxa" w:w="3096"/>
            <w:shd w:val="clear" w:color="auto" w:fill="F2F5FA"/>
          </w:tcPr>
          <w:p>
            <w:pPr>
              <w:spacing w:after="40"/>
            </w:pPr>
            <w:r/>
            <w:r>
              <w:rPr>
                <w:rFonts w:ascii="Times New Roman" w:hAnsi="Times New Roman"/>
                <w:sz w:val="17"/>
              </w:rPr>
              <w:t>Train Logistic Regression, Random Forest, XGBoost and SVM; tune hyperparameters; handle imbalance</w:t>
            </w:r>
          </w:p>
        </w:tc>
        <w:tc>
          <w:tcPr>
            <w:tcW w:type="dxa" w:w="2376"/>
            <w:shd w:val="clear" w:color="auto" w:fill="F2F5FA"/>
          </w:tcPr>
          <w:p>
            <w:pPr>
              <w:spacing w:after="40"/>
            </w:pPr>
            <w:r/>
            <w:r>
              <w:rPr>
                <w:rFonts w:ascii="Times New Roman" w:hAnsi="Times New Roman"/>
                <w:sz w:val="17"/>
              </w:rPr>
              <w:t>Trained model set with tuning logs</w:t>
            </w:r>
          </w:p>
        </w:tc>
        <w:tc>
          <w:tcPr>
            <w:tcW w:type="dxa" w:w="1080"/>
            <w:shd w:val="clear" w:color="auto" w:fill="F2F5FA"/>
          </w:tcPr>
          <w:p>
            <w:pPr>
              <w:spacing w:after="40"/>
            </w:pPr>
            <w:r/>
            <w:r>
              <w:rPr>
                <w:rFonts w:ascii="Times New Roman" w:hAnsi="Times New Roman"/>
                <w:sz w:val="17"/>
              </w:rPr>
              <w:t>1.5 weeks</w:t>
            </w:r>
          </w:p>
        </w:tc>
      </w:tr>
      <w:tr>
        <w:tc>
          <w:tcPr>
            <w:tcW w:type="dxa" w:w="648"/>
          </w:tcPr>
          <w:p>
            <w:pPr>
              <w:spacing w:after="40"/>
            </w:pPr>
            <w:r/>
            <w:r>
              <w:rPr>
                <w:rFonts w:ascii="Times New Roman" w:hAnsi="Times New Roman"/>
                <w:sz w:val="17"/>
              </w:rPr>
              <w:t>7</w:t>
            </w:r>
          </w:p>
        </w:tc>
        <w:tc>
          <w:tcPr>
            <w:tcW w:type="dxa" w:w="1944"/>
          </w:tcPr>
          <w:p>
            <w:pPr>
              <w:spacing w:after="40"/>
            </w:pPr>
            <w:r/>
            <w:r>
              <w:rPr>
                <w:rFonts w:ascii="Times New Roman" w:hAnsi="Times New Roman"/>
                <w:sz w:val="17"/>
              </w:rPr>
              <w:t>Model evaluation &amp; selection</w:t>
            </w:r>
          </w:p>
        </w:tc>
        <w:tc>
          <w:tcPr>
            <w:tcW w:type="dxa" w:w="3096"/>
          </w:tcPr>
          <w:p>
            <w:pPr>
              <w:spacing w:after="40"/>
            </w:pPr>
            <w:r/>
            <w:r>
              <w:rPr>
                <w:rFonts w:ascii="Times New Roman" w:hAnsi="Times New Roman"/>
                <w:sz w:val="17"/>
              </w:rPr>
              <w:t>Cross-validate; compute six metrics; plot ROC and PR curves; tune the decision threshold; select the best model</w:t>
            </w:r>
          </w:p>
        </w:tc>
        <w:tc>
          <w:tcPr>
            <w:tcW w:type="dxa" w:w="2376"/>
          </w:tcPr>
          <w:p>
            <w:pPr>
              <w:spacing w:after="40"/>
            </w:pPr>
            <w:r/>
            <w:r>
              <w:rPr>
                <w:rFonts w:ascii="Times New Roman" w:hAnsi="Times New Roman"/>
                <w:sz w:val="17"/>
              </w:rPr>
              <w:t>Model comparison report and serialised best model</w:t>
            </w:r>
          </w:p>
        </w:tc>
        <w:tc>
          <w:tcPr>
            <w:tcW w:type="dxa" w:w="1080"/>
          </w:tcPr>
          <w:p>
            <w:pPr>
              <w:spacing w:after="40"/>
            </w:pPr>
            <w:r/>
            <w:r>
              <w:rPr>
                <w:rFonts w:ascii="Times New Roman" w:hAnsi="Times New Roman"/>
                <w:sz w:val="17"/>
              </w:rPr>
              <w:t>1 week</w:t>
            </w:r>
          </w:p>
        </w:tc>
      </w:tr>
      <w:tr>
        <w:tc>
          <w:tcPr>
            <w:tcW w:type="dxa" w:w="648"/>
            <w:shd w:val="clear" w:color="auto" w:fill="F2F5FA"/>
          </w:tcPr>
          <w:p>
            <w:pPr>
              <w:spacing w:after="40"/>
            </w:pPr>
            <w:r/>
            <w:r>
              <w:rPr>
                <w:rFonts w:ascii="Times New Roman" w:hAnsi="Times New Roman"/>
                <w:sz w:val="17"/>
              </w:rPr>
              <w:t>8</w:t>
            </w:r>
          </w:p>
        </w:tc>
        <w:tc>
          <w:tcPr>
            <w:tcW w:type="dxa" w:w="1944"/>
            <w:shd w:val="clear" w:color="auto" w:fill="F2F5FA"/>
          </w:tcPr>
          <w:p>
            <w:pPr>
              <w:spacing w:after="40"/>
            </w:pPr>
            <w:r/>
            <w:r>
              <w:rPr>
                <w:rFonts w:ascii="Times New Roman" w:hAnsi="Times New Roman"/>
                <w:sz w:val="17"/>
              </w:rPr>
              <w:t>Explainable AI</w:t>
            </w:r>
          </w:p>
        </w:tc>
        <w:tc>
          <w:tcPr>
            <w:tcW w:type="dxa" w:w="3096"/>
            <w:shd w:val="clear" w:color="auto" w:fill="F2F5FA"/>
          </w:tcPr>
          <w:p>
            <w:pPr>
              <w:spacing w:after="40"/>
            </w:pPr>
            <w:r/>
            <w:r>
              <w:rPr>
                <w:rFonts w:ascii="Times New Roman" w:hAnsi="Times New Roman"/>
                <w:sz w:val="17"/>
              </w:rPr>
              <w:t>Compute global feature importance; generate SHAP values; build the reason-code generator</w:t>
            </w:r>
          </w:p>
        </w:tc>
        <w:tc>
          <w:tcPr>
            <w:tcW w:type="dxa" w:w="2376"/>
            <w:shd w:val="clear" w:color="auto" w:fill="F2F5FA"/>
          </w:tcPr>
          <w:p>
            <w:pPr>
              <w:spacing w:after="40"/>
            </w:pPr>
            <w:r/>
            <w:r>
              <w:rPr>
                <w:rFonts w:ascii="Times New Roman" w:hAnsi="Times New Roman"/>
                <w:sz w:val="17"/>
              </w:rPr>
              <w:t>SHAP plots and per-customer reason-code module</w:t>
            </w:r>
          </w:p>
        </w:tc>
        <w:tc>
          <w:tcPr>
            <w:tcW w:type="dxa" w:w="1080"/>
            <w:shd w:val="clear" w:color="auto" w:fill="F2F5FA"/>
          </w:tcPr>
          <w:p>
            <w:pPr>
              <w:spacing w:after="40"/>
            </w:pPr>
            <w:r/>
            <w:r>
              <w:rPr>
                <w:rFonts w:ascii="Times New Roman" w:hAnsi="Times New Roman"/>
                <w:sz w:val="17"/>
              </w:rPr>
              <w:t>1 week</w:t>
            </w:r>
          </w:p>
        </w:tc>
      </w:tr>
      <w:tr>
        <w:tc>
          <w:tcPr>
            <w:tcW w:type="dxa" w:w="648"/>
          </w:tcPr>
          <w:p>
            <w:pPr>
              <w:spacing w:after="40"/>
            </w:pPr>
            <w:r/>
            <w:r>
              <w:rPr>
                <w:rFonts w:ascii="Times New Roman" w:hAnsi="Times New Roman"/>
                <w:sz w:val="17"/>
              </w:rPr>
              <w:t>9</w:t>
            </w:r>
          </w:p>
        </w:tc>
        <w:tc>
          <w:tcPr>
            <w:tcW w:type="dxa" w:w="1944"/>
          </w:tcPr>
          <w:p>
            <w:pPr>
              <w:spacing w:after="40"/>
            </w:pPr>
            <w:r/>
            <w:r>
              <w:rPr>
                <w:rFonts w:ascii="Times New Roman" w:hAnsi="Times New Roman"/>
                <w:sz w:val="17"/>
              </w:rPr>
              <w:t>Business logic layer</w:t>
            </w:r>
          </w:p>
        </w:tc>
        <w:tc>
          <w:tcPr>
            <w:tcW w:type="dxa" w:w="3096"/>
          </w:tcPr>
          <w:p>
            <w:pPr>
              <w:spacing w:after="40"/>
            </w:pPr>
            <w:r/>
            <w:r>
              <w:rPr>
                <w:rFonts w:ascii="Times New Roman" w:hAnsi="Times New Roman"/>
                <w:sz w:val="17"/>
              </w:rPr>
              <w:t>Implement risk banding, recommendation mapping, revenue-at-risk and ROI calculations</w:t>
            </w:r>
          </w:p>
        </w:tc>
        <w:tc>
          <w:tcPr>
            <w:tcW w:type="dxa" w:w="2376"/>
          </w:tcPr>
          <w:p>
            <w:pPr>
              <w:spacing w:after="40"/>
            </w:pPr>
            <w:r/>
            <w:r>
              <w:rPr>
                <w:rFonts w:ascii="Times New Roman" w:hAnsi="Times New Roman"/>
                <w:sz w:val="17"/>
              </w:rPr>
              <w:t>Business impact module</w:t>
            </w:r>
          </w:p>
        </w:tc>
        <w:tc>
          <w:tcPr>
            <w:tcW w:type="dxa" w:w="1080"/>
          </w:tcPr>
          <w:p>
            <w:pPr>
              <w:spacing w:after="40"/>
            </w:pPr>
            <w:r/>
            <w:r>
              <w:rPr>
                <w:rFonts w:ascii="Times New Roman" w:hAnsi="Times New Roman"/>
                <w:sz w:val="17"/>
              </w:rPr>
              <w:t>1 week</w:t>
            </w:r>
          </w:p>
        </w:tc>
      </w:tr>
      <w:tr>
        <w:tc>
          <w:tcPr>
            <w:tcW w:type="dxa" w:w="648"/>
            <w:shd w:val="clear" w:color="auto" w:fill="F2F5FA"/>
          </w:tcPr>
          <w:p>
            <w:pPr>
              <w:spacing w:after="40"/>
            </w:pPr>
            <w:r/>
            <w:r>
              <w:rPr>
                <w:rFonts w:ascii="Times New Roman" w:hAnsi="Times New Roman"/>
                <w:sz w:val="17"/>
              </w:rPr>
              <w:t>10</w:t>
            </w:r>
          </w:p>
        </w:tc>
        <w:tc>
          <w:tcPr>
            <w:tcW w:type="dxa" w:w="1944"/>
            <w:shd w:val="clear" w:color="auto" w:fill="F2F5FA"/>
          </w:tcPr>
          <w:p>
            <w:pPr>
              <w:spacing w:after="40"/>
            </w:pPr>
            <w:r/>
            <w:r>
              <w:rPr>
                <w:rFonts w:ascii="Times New Roman" w:hAnsi="Times New Roman"/>
                <w:sz w:val="17"/>
              </w:rPr>
              <w:t>Dashboard development</w:t>
            </w:r>
          </w:p>
        </w:tc>
        <w:tc>
          <w:tcPr>
            <w:tcW w:type="dxa" w:w="3096"/>
            <w:shd w:val="clear" w:color="auto" w:fill="F2F5FA"/>
          </w:tcPr>
          <w:p>
            <w:pPr>
              <w:spacing w:after="40"/>
            </w:pPr>
            <w:r/>
            <w:r>
              <w:rPr>
                <w:rFonts w:ascii="Times New Roman" w:hAnsi="Times New Roman"/>
                <w:sz w:val="17"/>
              </w:rPr>
              <w:t>Build the multi-page Streamlit application; integrate scoring, explanation, recommendation and export</w:t>
            </w:r>
          </w:p>
        </w:tc>
        <w:tc>
          <w:tcPr>
            <w:tcW w:type="dxa" w:w="2376"/>
            <w:shd w:val="clear" w:color="auto" w:fill="F2F5FA"/>
          </w:tcPr>
          <w:p>
            <w:pPr>
              <w:spacing w:after="40"/>
            </w:pPr>
            <w:r/>
            <w:r>
              <w:rPr>
                <w:rFonts w:ascii="Times New Roman" w:hAnsi="Times New Roman"/>
                <w:sz w:val="17"/>
              </w:rPr>
              <w:t>Deployed interactive dashboard</w:t>
            </w:r>
          </w:p>
        </w:tc>
        <w:tc>
          <w:tcPr>
            <w:tcW w:type="dxa" w:w="1080"/>
            <w:shd w:val="clear" w:color="auto" w:fill="F2F5FA"/>
          </w:tcPr>
          <w:p>
            <w:pPr>
              <w:spacing w:after="40"/>
            </w:pPr>
            <w:r/>
            <w:r>
              <w:rPr>
                <w:rFonts w:ascii="Times New Roman" w:hAnsi="Times New Roman"/>
                <w:sz w:val="17"/>
              </w:rPr>
              <w:t>1.5 weeks</w:t>
            </w:r>
          </w:p>
        </w:tc>
      </w:tr>
      <w:tr>
        <w:tc>
          <w:tcPr>
            <w:tcW w:type="dxa" w:w="648"/>
          </w:tcPr>
          <w:p>
            <w:pPr>
              <w:spacing w:after="40"/>
            </w:pPr>
            <w:r/>
            <w:r>
              <w:rPr>
                <w:rFonts w:ascii="Times New Roman" w:hAnsi="Times New Roman"/>
                <w:sz w:val="17"/>
              </w:rPr>
              <w:t>11</w:t>
            </w:r>
          </w:p>
        </w:tc>
        <w:tc>
          <w:tcPr>
            <w:tcW w:type="dxa" w:w="1944"/>
          </w:tcPr>
          <w:p>
            <w:pPr>
              <w:spacing w:after="40"/>
            </w:pPr>
            <w:r/>
            <w:r>
              <w:rPr>
                <w:rFonts w:ascii="Times New Roman" w:hAnsi="Times New Roman"/>
                <w:sz w:val="17"/>
              </w:rPr>
              <w:t>Testing &amp; validation</w:t>
            </w:r>
          </w:p>
        </w:tc>
        <w:tc>
          <w:tcPr>
            <w:tcW w:type="dxa" w:w="3096"/>
          </w:tcPr>
          <w:p>
            <w:pPr>
              <w:spacing w:after="40"/>
            </w:pPr>
            <w:r/>
            <w:r>
              <w:rPr>
                <w:rFonts w:ascii="Times New Roman" w:hAnsi="Times New Roman"/>
                <w:sz w:val="17"/>
              </w:rPr>
              <w:t>Validate the pipeline end to end; test batch and single-customer prediction; verify reproducibility</w:t>
            </w:r>
          </w:p>
        </w:tc>
        <w:tc>
          <w:tcPr>
            <w:tcW w:type="dxa" w:w="2376"/>
          </w:tcPr>
          <w:p>
            <w:pPr>
              <w:spacing w:after="40"/>
            </w:pPr>
            <w:r/>
            <w:r>
              <w:rPr>
                <w:rFonts w:ascii="Times New Roman" w:hAnsi="Times New Roman"/>
                <w:sz w:val="17"/>
              </w:rPr>
              <w:t>Test report</w:t>
            </w:r>
          </w:p>
        </w:tc>
        <w:tc>
          <w:tcPr>
            <w:tcW w:type="dxa" w:w="1080"/>
          </w:tcPr>
          <w:p>
            <w:pPr>
              <w:spacing w:after="40"/>
            </w:pPr>
            <w:r/>
            <w:r>
              <w:rPr>
                <w:rFonts w:ascii="Times New Roman" w:hAnsi="Times New Roman"/>
                <w:sz w:val="17"/>
              </w:rPr>
              <w:t>0.5 week</w:t>
            </w:r>
          </w:p>
        </w:tc>
      </w:tr>
      <w:tr>
        <w:tc>
          <w:tcPr>
            <w:tcW w:type="dxa" w:w="648"/>
            <w:shd w:val="clear" w:color="auto" w:fill="F2F5FA"/>
          </w:tcPr>
          <w:p>
            <w:pPr>
              <w:spacing w:after="40"/>
            </w:pPr>
            <w:r/>
            <w:r>
              <w:rPr>
                <w:rFonts w:ascii="Times New Roman" w:hAnsi="Times New Roman"/>
                <w:sz w:val="17"/>
              </w:rPr>
              <w:t>12</w:t>
            </w:r>
          </w:p>
        </w:tc>
        <w:tc>
          <w:tcPr>
            <w:tcW w:type="dxa" w:w="1944"/>
            <w:shd w:val="clear" w:color="auto" w:fill="F2F5FA"/>
          </w:tcPr>
          <w:p>
            <w:pPr>
              <w:spacing w:after="40"/>
            </w:pPr>
            <w:r/>
            <w:r>
              <w:rPr>
                <w:rFonts w:ascii="Times New Roman" w:hAnsi="Times New Roman"/>
                <w:sz w:val="17"/>
              </w:rPr>
              <w:t>Documentation &amp; reporting</w:t>
            </w:r>
          </w:p>
        </w:tc>
        <w:tc>
          <w:tcPr>
            <w:tcW w:type="dxa" w:w="3096"/>
            <w:shd w:val="clear" w:color="auto" w:fill="F2F5FA"/>
          </w:tcPr>
          <w:p>
            <w:pPr>
              <w:spacing w:after="40"/>
            </w:pPr>
            <w:r/>
            <w:r>
              <w:rPr>
                <w:rFonts w:ascii="Times New Roman" w:hAnsi="Times New Roman"/>
                <w:sz w:val="17"/>
              </w:rPr>
              <w:t>Compile the final report, presentation and README</w:t>
            </w:r>
          </w:p>
        </w:tc>
        <w:tc>
          <w:tcPr>
            <w:tcW w:type="dxa" w:w="2376"/>
            <w:shd w:val="clear" w:color="auto" w:fill="F2F5FA"/>
          </w:tcPr>
          <w:p>
            <w:pPr>
              <w:spacing w:after="40"/>
            </w:pPr>
            <w:r/>
            <w:r>
              <w:rPr>
                <w:rFonts w:ascii="Times New Roman" w:hAnsi="Times New Roman"/>
                <w:sz w:val="17"/>
              </w:rPr>
              <w:t>Project report, slide deck and README</w:t>
            </w:r>
          </w:p>
        </w:tc>
        <w:tc>
          <w:tcPr>
            <w:tcW w:type="dxa" w:w="1080"/>
            <w:shd w:val="clear" w:color="auto" w:fill="F2F5FA"/>
          </w:tcPr>
          <w:p>
            <w:pPr>
              <w:spacing w:after="40"/>
            </w:pPr>
            <w:r/>
            <w:r>
              <w:rPr>
                <w:rFonts w:ascii="Times New Roman" w:hAnsi="Times New Roman"/>
                <w:sz w:val="17"/>
              </w:rPr>
              <w:t>1 week</w:t>
            </w:r>
          </w:p>
        </w:tc>
      </w:tr>
    </w:tbl>
    <w:p>
      <w:pPr>
        <w:spacing w:after="80"/>
      </w:pPr>
    </w:p>
    <w:p>
      <w:pPr>
        <w:spacing w:after="120"/>
        <w:jc w:val="both"/>
      </w:pPr>
      <w:r>
        <w:rPr>
          <w:b/>
          <w:i w:val="0"/>
        </w:rPr>
        <w:t>Total estimated duration: approximately 12 weeks.</w:t>
      </w:r>
    </w:p>
    <w:p>
      <w:pPr>
        <w:pStyle w:val="Heading1"/>
      </w:pPr>
      <w:r>
        <w:t>20. Conclusion</w:t>
      </w:r>
    </w:p>
    <w:p>
      <w:pPr>
        <w:spacing w:after="120"/>
        <w:jc w:val="both"/>
      </w:pPr>
      <w:r>
        <w:rPr>
          <w:b w:val="0"/>
          <w:i w:val="0"/>
        </w:rPr>
        <w:t>This project presents a complete, business-oriented artificial intelligence and analytics solution for customer churn prediction and retention management in service-oriented organisations. Rather than treating churn prediction as an isolated classification exercise, the work deliberately spans the entire analytical value chain: from raw customer data, through cleaning, exploratory analysis, business-driven feature engineering and unsupervised customer segmentation, to supervised model benchmarking, calibrated probability estimation, explainable attribution, prescriptive recommendation and quantified financial impact.</w:t>
      </w:r>
    </w:p>
    <w:p>
      <w:pPr>
        <w:spacing w:after="120"/>
        <w:jc w:val="both"/>
      </w:pPr>
      <w:r>
        <w:rPr>
          <w:b w:val="0"/>
          <w:i w:val="0"/>
        </w:rPr>
        <w:t>Four supervised classifiers — Logistic Regression, Random Forest, XGBoost and a Support Vector Machine baseline — are trained on an identical pipeline and compared across six evaluation metrics, ensuring that model selection is evidence-based rather than assumed. The literature surveyed indicates that gradient-boosted ensembles should lead this comparison, while the inclusion of Logistic Regression guarantees an interpretable and well-calibrated benchmark. Class imbalance, which is intrinsic to churn data and frequently neglected in comparable studies, is handled explicitly through stratification, class weighting and threshold tuning, with recall and PR-AUC reported alongside accuracy so that the model is judged on its ability to find churners rather than on its ability to identify the loyal majority.</w:t>
      </w:r>
    </w:p>
    <w:p>
      <w:pPr>
        <w:spacing w:after="120"/>
        <w:jc w:val="both"/>
      </w:pPr>
      <w:r>
        <w:rPr>
          <w:b w:val="0"/>
          <w:i w:val="0"/>
        </w:rPr>
        <w:t>The distinguishing contribution of the work lies beyond the classifier. By producing a calibrated churn probability for every individual customer, the system enables ranked, capacity-aware prioritisation. By applying SHAP-based explainability, it attaches a defensible reason to every flagged customer, transforming an opaque score into an actionable diagnosis. By combining risk with customer value, it directs finite retention budget towards the customers whose departure would cost the most. By mapping each dominant risk driver to a specific retention intervention, it converts prediction into prescription. And by computing revenue at risk, expected saved revenue and retention-campaign ROI, it expresses the entire analysis in the language that management uses to make decisions.</w:t>
      </w:r>
    </w:p>
    <w:p>
      <w:pPr>
        <w:spacing w:after="120"/>
        <w:jc w:val="both"/>
      </w:pPr>
      <w:r>
        <w:rPr>
          <w:b w:val="0"/>
          <w:i w:val="0"/>
        </w:rPr>
        <w:t>Deployment through an interactive Streamlit dashboard completes the transition from experiment to data product. A retention manager with no programming background can upload a customer file, view segment-level churn behaviour, examine the ranked high-risk list with its reason codes and recommended actions, adjust campaign assumptions and export a prioritised target list — all without touching code.</w:t>
      </w:r>
    </w:p>
    <w:p>
      <w:pPr>
        <w:spacing w:after="120"/>
        <w:jc w:val="both"/>
      </w:pPr>
      <w:r>
        <w:rPr>
          <w:b w:val="0"/>
          <w:i w:val="0"/>
        </w:rPr>
        <w:t>In summary, the proposed system addresses the ten research and practice gaps identified in this report and delivers a scalable, transparent, reusable and financially grounded churn management framework. It demonstrates that the value of applied machine learning in business is realised not at the point where a model reports its accuracy, but at the point where its output changes a decision. Future work will extend the system towards live CRM integration, automated retraining with drift monitoring, full customer lifetime value modelling, and uplift modelling to isolate genuinely persuadable customers — further sharpening the return on every rupee of retention spend.</w:t>
      </w:r>
    </w:p>
    <w:p>
      <w:r>
        <w:br w:type="page"/>
      </w:r>
    </w:p>
    <w:p>
      <w:pPr>
        <w:pStyle w:val="Heading1"/>
      </w:pPr>
      <w:r>
        <w:t>References</w:t>
      </w:r>
    </w:p>
    <w:p>
      <w:pPr>
        <w:spacing w:after="120"/>
        <w:ind w:left="576" w:hanging="576"/>
        <w:jc w:val="both"/>
      </w:pPr>
      <w:r>
        <w:rPr>
          <w:sz w:val="21"/>
        </w:rPr>
        <w:t>[1]  Habib, M. U., Aslam, S., Ghafoor, I., &amp; Shahzad, M. K. (2025). Enhancing telecom customer churn prediction using hybrid ensemble learning and class imbalance handling. SSRN Electronic Journal. https://papers.ssrn.com/sol3/papers.cfm?abstract_id=5956757</w:t>
      </w:r>
    </w:p>
    <w:p>
      <w:pPr>
        <w:spacing w:after="120"/>
        <w:ind w:left="576" w:hanging="576"/>
        <w:jc w:val="both"/>
      </w:pPr>
      <w:r>
        <w:rPr>
          <w:sz w:val="21"/>
        </w:rPr>
        <w:t>[2]  Enhancing customer churn prediction in telecommunications: An adaptive ensemble learning approach (2024). arXiv preprint arXiv:2408.16284. https://arxiv.org/abs/2408.16284</w:t>
      </w:r>
    </w:p>
    <w:p>
      <w:pPr>
        <w:spacing w:after="120"/>
        <w:ind w:left="576" w:hanging="576"/>
        <w:jc w:val="both"/>
      </w:pPr>
      <w:r>
        <w:rPr>
          <w:sz w:val="21"/>
        </w:rPr>
        <w:t>[3]  Explaining customer churn prediction in the telecom industry using tabular machine learning models (2024). Machine Learning with Applications, Elsevier. https://www.sciencedirect.com/science/article/pii/S2666827024000434</w:t>
      </w:r>
    </w:p>
    <w:p>
      <w:pPr>
        <w:spacing w:after="120"/>
        <w:ind w:left="576" w:hanging="576"/>
        <w:jc w:val="both"/>
      </w:pPr>
      <w:r>
        <w:rPr>
          <w:sz w:val="21"/>
        </w:rPr>
        <w:t>[4]  A comprehensive evaluation of machine learning and deep learning models for churn prediction (2025). Information (MDPI), 16(7), 537. https://www.mdpi.com/2078-2489/16/7/537</w:t>
      </w:r>
    </w:p>
    <w:p>
      <w:pPr>
        <w:spacing w:after="120"/>
        <w:ind w:left="576" w:hanging="576"/>
        <w:jc w:val="both"/>
      </w:pPr>
      <w:r>
        <w:rPr>
          <w:sz w:val="21"/>
        </w:rPr>
        <w:t>[5]  Prediction of bank credit customers' churn based on machine learning and interpretability analysis (2025). Data Science in Finance and Economics (AIMS Press), 5(1). https://www.aimspress.com/article/id/678b834bba35de451fe3ccc5</w:t>
      </w:r>
    </w:p>
    <w:p>
      <w:pPr>
        <w:spacing w:after="120"/>
        <w:ind w:left="576" w:hanging="576"/>
        <w:jc w:val="both"/>
      </w:pPr>
      <w:r>
        <w:rPr>
          <w:sz w:val="21"/>
        </w:rPr>
        <w:t>[6]  Explainable AI-driven customer churn prediction: A multi-model ensemble approach with SHAP-based feature analysis (2026). Scientific Reports. https://www.ncbi.nlm.nih.gov/pmc/articles/PMC12929532/</w:t>
      </w:r>
    </w:p>
    <w:p>
      <w:pPr>
        <w:spacing w:after="120"/>
        <w:ind w:left="576" w:hanging="576"/>
        <w:jc w:val="both"/>
      </w:pPr>
      <w:r>
        <w:rPr>
          <w:sz w:val="21"/>
        </w:rPr>
        <w:t>[7]  Customer churn prediction for telecommunication companies using machine learning and ensemble methods (2024). Engineering, Technology &amp; Applied Science Research (ETASR). https://etasr.com/index.php/ETASR/article/view/7480</w:t>
      </w:r>
    </w:p>
    <w:p>
      <w:pPr>
        <w:spacing w:after="120"/>
        <w:ind w:left="576" w:hanging="576"/>
        <w:jc w:val="both"/>
      </w:pPr>
      <w:r>
        <w:rPr>
          <w:sz w:val="21"/>
        </w:rPr>
        <w:t>[8]  Enhancing customer retention in online retail through churn prediction: A hybrid RFM, K-means, and deep neural network approach (2025). Expert Systems with Applications, Elsevier. https://www.sciencedirect.com/science/article/abs/pii/S0957417425020846</w:t>
      </w:r>
    </w:p>
    <w:p>
      <w:pPr>
        <w:spacing w:after="120"/>
        <w:ind w:left="576" w:hanging="576"/>
        <w:jc w:val="both"/>
      </w:pPr>
      <w:r>
        <w:rPr>
          <w:sz w:val="21"/>
        </w:rPr>
        <w:t>[9]  Customer segmentation: Automatic K-optimization and RFM-based K-means clustering (2025). Proceedings of the 10th International Conference on Intelligent Information Technology, ACM. https://dl.acm.org/doi/full/10.1145/3731763.3731805</w:t>
      </w:r>
    </w:p>
    <w:p>
      <w:pPr>
        <w:spacing w:after="120"/>
        <w:ind w:left="576" w:hanging="576"/>
        <w:jc w:val="both"/>
      </w:pPr>
      <w:r>
        <w:rPr>
          <w:sz w:val="21"/>
        </w:rPr>
        <w:t>[10]  A novel hybrid deep learning framework for customer churn prediction using RFM and embedding clustering (2026). Scientific Reports. https://www.nature.com/articles/s41598-026-53220-0</w:t>
      </w:r>
    </w:p>
    <w:p>
      <w:pPr>
        <w:spacing w:after="120"/>
        <w:ind w:left="576" w:hanging="576"/>
        <w:jc w:val="both"/>
      </w:pPr>
      <w:r>
        <w:rPr>
          <w:sz w:val="21"/>
        </w:rPr>
        <w:t>[11]  Customer segmentation using an extended RFM model and clustering algorithms in e-commerce (2026). Journal of Theoretical and Applied Electronic Commerce Research (MDPI), 21(5), 142. https://www.mdpi.com/0718-1876/21/5/142</w:t>
      </w:r>
    </w:p>
    <w:p>
      <w:pPr>
        <w:spacing w:after="120"/>
        <w:ind w:left="576" w:hanging="576"/>
        <w:jc w:val="both"/>
      </w:pPr>
      <w:r>
        <w:rPr>
          <w:sz w:val="21"/>
        </w:rPr>
        <w:t>[12]  Explainable customer churn prediction in telecom using machine learning (2025). Ingénierie des Systèmes d'Information, IIETA. https://www.iieta.org/download/file/fid/191322</w:t>
      </w:r>
    </w:p>
    <w:p>
      <w:pPr>
        <w:spacing w:after="120"/>
        <w:ind w:left="576" w:hanging="576"/>
        <w:jc w:val="both"/>
      </w:pPr>
      <w:r>
        <w:rPr>
          <w:sz w:val="21"/>
        </w:rPr>
        <w:t>[13]  An explainable AI approach for telecom churn prediction and retention strategy design using XGBoost and SHAP (2025). ResearchGate. https://www.researchgate.net/publication/395617319</w:t>
      </w:r>
    </w:p>
    <w:p>
      <w:pPr>
        <w:spacing w:after="120"/>
        <w:ind w:left="576" w:hanging="576"/>
        <w:jc w:val="both"/>
      </w:pPr>
      <w:r>
        <w:rPr>
          <w:sz w:val="21"/>
        </w:rPr>
        <w:t>[14]  Wei, Y. (2025). Comparative analysis of machine learning models for telecom customer churn prediction. Theoretical and Natural Science, 134, 24–30.</w:t>
      </w:r>
    </w:p>
    <w:p>
      <w:pPr>
        <w:spacing w:after="120"/>
        <w:ind w:left="576" w:hanging="576"/>
        <w:jc w:val="both"/>
      </w:pPr>
      <w:r>
        <w:rPr>
          <w:sz w:val="21"/>
        </w:rPr>
        <w:t>[15]  Integration of churn rate prediction and customer lifetime value estimation using temporal convolution networks (2024). International Journal of Engineering Research &amp; Technology (IJERT). https://www.ijert.org/integration-of-churn-rate-prediction-and-customer-lifetime-value-estimation-using-temporal-convolution-networks</w:t>
      </w:r>
    </w:p>
    <w:p>
      <w:pPr>
        <w:spacing w:after="120"/>
        <w:ind w:left="576" w:hanging="576"/>
        <w:jc w:val="both"/>
      </w:pPr>
      <w:r>
        <w:rPr>
          <w:sz w:val="21"/>
        </w:rPr>
        <w:t>[16]  Lundberg, S. M., &amp; Lee, S.-I. (2017). A unified approach to interpreting model predictions. Advances in Neural Information Processing Systems (NeurIPS), 30, 4765–4774.</w:t>
      </w:r>
    </w:p>
    <w:p>
      <w:pPr>
        <w:spacing w:after="120"/>
        <w:ind w:left="576" w:hanging="576"/>
        <w:jc w:val="both"/>
      </w:pPr>
      <w:r>
        <w:rPr>
          <w:sz w:val="21"/>
        </w:rPr>
        <w:t>[17]  Chen, T., &amp; Guestrin, C. (2016). XGBoost: A scalable tree boosting system. Proceedings of the 22nd ACM SIGKDD International Conference on Knowledge Discovery and Data Mining, 785–794.</w:t>
      </w:r>
    </w:p>
    <w:p>
      <w:pPr>
        <w:spacing w:after="120"/>
        <w:ind w:left="576" w:hanging="576"/>
        <w:jc w:val="both"/>
      </w:pPr>
      <w:r>
        <w:rPr>
          <w:sz w:val="21"/>
        </w:rPr>
        <w:t>[18]  Breiman, L. (2001). Random forests. Machine Learning, 45(1), 5–32.</w:t>
      </w:r>
    </w:p>
    <w:p>
      <w:pPr>
        <w:spacing w:after="120"/>
        <w:ind w:left="576" w:hanging="576"/>
        <w:jc w:val="both"/>
      </w:pPr>
      <w:r>
        <w:rPr>
          <w:sz w:val="21"/>
        </w:rPr>
        <w:t>[19]  Chawla, N. V., Bowyer, K. W., Hall, L. O., &amp; Kegelmeyer, W. P. (2002). SMOTE: Synthetic minority over-sampling technique. Journal of Artificial Intelligence Research, 16, 321–357.</w:t>
      </w:r>
    </w:p>
    <w:p>
      <w:pPr>
        <w:spacing w:after="120"/>
        <w:ind w:left="576" w:hanging="576"/>
        <w:jc w:val="both"/>
      </w:pPr>
      <w:r>
        <w:rPr>
          <w:sz w:val="21"/>
        </w:rPr>
        <w:t>[20]  Takkallapati, D. Customer Churn Prediction dataset. Kaggle. https://www.kaggle.com/datasets/deaneshtakkallapati/customer-churn-prediction/data</w:t>
      </w:r>
    </w:p>
    <w:sectPr w:rsidR="00FC693F" w:rsidRPr="0006063C" w:rsidSect="00034616">
      <w:footerReference w:type="default" r:id="rId12"/>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