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mbria" w:cs="Cambria" w:eastAsia="Cambria" w:hAnsi="Cambria"/>
          <w:b/>
          <w:bCs/>
          <w:sz w:val="30"/>
          <w:szCs w:val="30"/>
        </w:rPr>
        <w:t xml:space="preserve">Methodology and Computational Verification of a Fuzzy-Set QCA Analysis of AI Capability and Semiconductor Supply-Chain Resilience</w:t>
      </w:r>
    </w:p>
    <w:p>
      <w:pPr>
        <w:spacing w:after="360"/>
      </w:pPr>
      <w:r>
        <w:rPr>
          <w:rFonts w:ascii="Cambria" w:cs="Cambria" w:eastAsia="Cambria" w:hAnsi="Cambria"/>
          <w:i/>
          <w:iCs/>
          <w:sz w:val="24"/>
          <w:szCs w:val="24"/>
        </w:rPr>
        <w:t xml:space="preserve">Calibration, Truth-Table Construction, Necessity and Sufficiency Analysis, Boolean Minimization, and Independent Cross-Validation in R</w:t>
      </w:r>
    </w:p>
    <w:p>
      <w:pPr>
        <w:pStyle w:val="Heading1"/>
        <w:spacing w:after="140" w:before="320"/>
      </w:pPr>
      <w:r>
        <w:t xml:space="preserve">1. Project Overview</w:t>
      </w:r>
    </w:p>
    <w:p>
      <w:pPr>
        <w:spacing w:after="160"/>
      </w:pPr>
      <w:r>
        <w:rPr>
          <w:rFonts w:ascii="Cambria" w:cs="Cambria" w:eastAsia="Cambria" w:hAnsi="Cambria"/>
          <w:sz w:val="22"/>
          <w:szCs w:val="22"/>
        </w:rPr>
        <w:t xml:space="preserve">This study examines how artificial-intelligence capability combines with governance, sourcing, visibility, and supplier-network conditions to produce supply-chain resilience among semiconductor manufacturers. The analysis draws on a panel of 35 publicly listed semiconductor companies headquartered in the United States, Taiwan, South Korea, and Singapore, observed over three fiscal years (2023–2025), for a total of 105 firm-year cases.</w:t>
      </w:r>
    </w:p>
    <w:p>
      <w:pPr>
        <w:spacing w:after="160"/>
      </w:pPr>
      <w:r>
        <w:rPr>
          <w:rFonts w:ascii="Cambria" w:cs="Cambria" w:eastAsia="Cambria" w:hAnsi="Cambria"/>
          <w:sz w:val="22"/>
          <w:szCs w:val="22"/>
        </w:rPr>
        <w:t xml:space="preserve">The outcome of interest, Supply Chain Resilience (SCR), is explained by six causal conditions, each first scored on a 0–4 ordinal rubric and then calibrated into fuzzy-set membership (Section 3). Table 1 lists the six conditions and the outcome.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00"/>
      </w:tblGrid>
      <w:tr>
        <w:trPr>
          <w:tblHeader/>
        </w:trPr>
        <w:tc>
          <w:tcPr>
            <w:tcW w:type="dxa" w:w="1400"/>
            <w:shd w:fill="D9D9D9" w:color="auto" w:val="clear"/>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Code</w:t>
            </w:r>
          </w:p>
        </w:tc>
        <w:tc>
          <w:tcPr>
            <w:tcW w:type="dxa" w:w="2600"/>
            <w:shd w:fill="D9D9D9" w:color="auto" w:val="clear"/>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Construct</w:t>
            </w:r>
          </w:p>
        </w:tc>
        <w:tc>
          <w:tcPr>
            <w:tcW w:type="dxa" w:w="5300"/>
            <w:shd w:fill="D9D9D9" w:color="auto" w:val="clear"/>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Role in the model</w:t>
            </w:r>
          </w:p>
        </w:tc>
      </w:tr>
      <w:tr>
        <w:tc>
          <w:tcPr>
            <w:tcW w:type="dxa" w:w="1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AICAP</w:t>
            </w:r>
          </w:p>
        </w:tc>
        <w:tc>
          <w:tcPr>
            <w:tcW w:type="dxa" w:w="26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AI Capability</w:t>
            </w:r>
          </w:p>
        </w:tc>
        <w:tc>
          <w:tcPr>
            <w:tcW w:type="dxa" w:w="5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Antecedent condition</w:t>
            </w:r>
          </w:p>
        </w:tc>
      </w:tr>
      <w:tr>
        <w:tc>
          <w:tcPr>
            <w:tcW w:type="dxa" w:w="1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AIGOV</w:t>
            </w:r>
          </w:p>
        </w:tc>
        <w:tc>
          <w:tcPr>
            <w:tcW w:type="dxa" w:w="26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AI Governance</w:t>
            </w:r>
          </w:p>
        </w:tc>
        <w:tc>
          <w:tcPr>
            <w:tcW w:type="dxa" w:w="5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Antecedent condition</w:t>
            </w:r>
          </w:p>
        </w:tc>
      </w:tr>
      <w:tr>
        <w:tc>
          <w:tcPr>
            <w:tcW w:type="dxa" w:w="1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SUSSRC</w:t>
            </w:r>
          </w:p>
        </w:tc>
        <w:tc>
          <w:tcPr>
            <w:tcW w:type="dxa" w:w="26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Sustainable Sourcing</w:t>
            </w:r>
          </w:p>
        </w:tc>
        <w:tc>
          <w:tcPr>
            <w:tcW w:type="dxa" w:w="5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Antecedent condition</w:t>
            </w:r>
          </w:p>
        </w:tc>
      </w:tr>
      <w:tr>
        <w:tc>
          <w:tcPr>
            <w:tcW w:type="dxa" w:w="1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DIGVIS</w:t>
            </w:r>
          </w:p>
        </w:tc>
        <w:tc>
          <w:tcPr>
            <w:tcW w:type="dxa" w:w="26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Digital Supply-Chain Visibility</w:t>
            </w:r>
          </w:p>
        </w:tc>
        <w:tc>
          <w:tcPr>
            <w:tcW w:type="dxa" w:w="5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Antecedent condition</w:t>
            </w:r>
          </w:p>
        </w:tc>
      </w:tr>
      <w:tr>
        <w:tc>
          <w:tcPr>
            <w:tcW w:type="dxa" w:w="1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SUPCOLL</w:t>
            </w:r>
          </w:p>
        </w:tc>
        <w:tc>
          <w:tcPr>
            <w:tcW w:type="dxa" w:w="26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Supplier Collaboration</w:t>
            </w:r>
          </w:p>
        </w:tc>
        <w:tc>
          <w:tcPr>
            <w:tcW w:type="dxa" w:w="5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Antecedent condition</w:t>
            </w:r>
          </w:p>
        </w:tc>
      </w:tr>
      <w:tr>
        <w:tc>
          <w:tcPr>
            <w:tcW w:type="dxa" w:w="1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SUPDIV</w:t>
            </w:r>
          </w:p>
        </w:tc>
        <w:tc>
          <w:tcPr>
            <w:tcW w:type="dxa" w:w="26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Supplier Diversification</w:t>
            </w:r>
          </w:p>
        </w:tc>
        <w:tc>
          <w:tcPr>
            <w:tcW w:type="dxa" w:w="5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Antecedent condition</w:t>
            </w:r>
          </w:p>
        </w:tc>
      </w:tr>
      <w:tr>
        <w:tc>
          <w:tcPr>
            <w:tcW w:type="dxa" w:w="1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SCR</w:t>
            </w:r>
          </w:p>
        </w:tc>
        <w:tc>
          <w:tcPr>
            <w:tcW w:type="dxa" w:w="26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Supply Chain Resilience</w:t>
            </w:r>
          </w:p>
        </w:tc>
        <w:tc>
          <w:tcPr>
            <w:tcW w:type="dxa" w:w="5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Outcome</w:t>
            </w:r>
          </w:p>
        </w:tc>
      </w:tr>
    </w:tbl>
    <w:p>
      <w:pPr>
        <w:spacing w:after="160" w:before="160"/>
      </w:pPr>
      <w:r>
        <w:rPr>
          <w:rFonts w:ascii="Cambria" w:cs="Cambria" w:eastAsia="Cambria" w:hAnsi="Cambria"/>
          <w:sz w:val="22"/>
          <w:szCs w:val="22"/>
        </w:rPr>
        <w:t xml:space="preserve">Rather than asking which single factor drives resilience the most — the question a regression model is built to answer — the study asks which combinations of conditions are sufficient, or necessary, for resilience. That reframing is the reason fuzzy-set Qualitative Comparative Analysis (fsQCA) was chosen as the analytic method, and it is why the remainder of this document is organized around fsQCA's own calculation pipeline rather than around coefficients and significance tests.</w:t>
      </w:r>
    </w:p>
    <w:p>
      <w:pPr>
        <w:spacing w:after="160"/>
      </w:pPr>
      <w:r>
        <w:rPr>
          <w:rFonts w:ascii="Cambria" w:cs="Cambria" w:eastAsia="Cambria" w:hAnsi="Cambria"/>
          <w:sz w:val="22"/>
          <w:szCs w:val="22"/>
        </w:rPr>
        <w:t xml:space="preserve">A note on data provenance, stated here for transparency: the underlying 0–4 construct scores are a documented mixture of real, cited evidence (7.8% of the 735 construct-year cells), evidence-anchored estimation (15.5%), and disclosed subsector/company-scale simulation (76.7%), following a fixed, pre-specified rubric and trend model recorded in the project's own construction documentation. This composition should be disclosed alongside any results drawn from this dataset.</w:t>
      </w:r>
    </w:p>
    <w:p>
      <w:pPr>
        <w:pStyle w:val="Heading1"/>
        <w:spacing w:after="140" w:before="320"/>
      </w:pPr>
      <w:r>
        <w:t xml:space="preserve">2. Analytical Framework: Why a Configurational Method</w:t>
      </w:r>
    </w:p>
    <w:p>
      <w:pPr>
        <w:spacing w:after="160"/>
      </w:pPr>
      <w:r>
        <w:rPr>
          <w:rFonts w:ascii="Cambria" w:cs="Cambria" w:eastAsia="Cambria" w:hAnsi="Cambria"/>
          <w:sz w:val="22"/>
          <w:szCs w:val="22"/>
        </w:rPr>
        <w:t xml:space="preserve">fsQCA (Ragin, 2008) treats each case as a configuration of set memberships rather than as a point in a variable space. It rests on three premises that distinguish it from regression-based analysis:</w:t>
      </w:r>
    </w:p>
    <w:p>
      <w:pPr>
        <w:pStyle w:val="ListParagraph"/>
        <w:numPr>
          <w:ilvl w:val="0"/>
          <w:numId w:val="1"/>
        </w:numPr>
        <w:spacing w:after="80"/>
      </w:pPr>
      <w:r>
        <w:rPr>
          <w:rFonts w:ascii="Cambria" w:cs="Cambria" w:eastAsia="Cambria" w:hAnsi="Cambria"/>
          <w:i/>
          <w:iCs/>
          <w:sz w:val="22"/>
          <w:szCs w:val="22"/>
        </w:rPr>
        <w:t xml:space="preserve">Equifinality</w:t>
      </w:r>
      <w:r>
        <w:rPr>
          <w:rFonts w:ascii="Cambria" w:cs="Cambria" w:eastAsia="Cambria" w:hAnsi="Cambria"/>
          <w:sz w:val="22"/>
          <w:szCs w:val="22"/>
        </w:rPr>
        <w:t xml:space="preserve"> — more than one combination of conditions can produce the same outcome; there need not be one dominant path.</w:t>
      </w:r>
    </w:p>
    <w:p>
      <w:pPr>
        <w:pStyle w:val="ListParagraph"/>
        <w:numPr>
          <w:ilvl w:val="0"/>
          <w:numId w:val="1"/>
        </w:numPr>
        <w:spacing w:after="80"/>
      </w:pPr>
      <w:r>
        <w:rPr>
          <w:rFonts w:ascii="Cambria" w:cs="Cambria" w:eastAsia="Cambria" w:hAnsi="Cambria"/>
          <w:i/>
          <w:iCs/>
          <w:sz w:val="22"/>
          <w:szCs w:val="22"/>
        </w:rPr>
        <w:t xml:space="preserve">Conjunctural causation</w:t>
      </w:r>
      <w:r>
        <w:rPr>
          <w:rFonts w:ascii="Cambria" w:cs="Cambria" w:eastAsia="Cambria" w:hAnsi="Cambria"/>
          <w:sz w:val="22"/>
          <w:szCs w:val="22"/>
        </w:rPr>
        <w:t xml:space="preserve"> — a condition's contribution to the outcome typically depends on which other conditions are also present, so conditions are analyzed jointly rather than one coefficient at a time.</w:t>
      </w:r>
    </w:p>
    <w:p>
      <w:pPr>
        <w:pStyle w:val="ListParagraph"/>
        <w:numPr>
          <w:ilvl w:val="0"/>
          <w:numId w:val="1"/>
        </w:numPr>
        <w:spacing w:after="80"/>
      </w:pPr>
      <w:r>
        <w:rPr>
          <w:rFonts w:ascii="Cambria" w:cs="Cambria" w:eastAsia="Cambria" w:hAnsi="Cambria"/>
          <w:i/>
          <w:iCs/>
          <w:sz w:val="22"/>
          <w:szCs w:val="22"/>
        </w:rPr>
        <w:t xml:space="preserve">Causal asymmetry</w:t>
      </w:r>
      <w:r>
        <w:rPr>
          <w:rFonts w:ascii="Cambria" w:cs="Cambria" w:eastAsia="Cambria" w:hAnsi="Cambria"/>
          <w:sz w:val="22"/>
          <w:szCs w:val="22"/>
        </w:rPr>
        <w:t xml:space="preserve"> — the conditions that explain the presence of an outcome need not be the mirror image of the conditions that explain its absence; SCR and ∼SCR are therefore analyzed as two separate questions throughout this project.</w:t>
      </w:r>
    </w:p>
    <w:p>
      <w:pPr>
        <w:spacing w:before="160"/>
      </w:pPr>
      <w:r>
        <w:rPr>
          <w:rFonts w:ascii="Cambria" w:cs="Cambria" w:eastAsia="Cambria" w:hAnsi="Cambria"/>
          <w:sz w:val="22"/>
          <w:szCs w:val="22"/>
        </w:rPr>
        <w:t xml:space="preserve">Every fsQCA study proceeds through four calculation stages, always in this order: (1) calibration of raw scores into fuzzy-set membership; (2) construction of a truth table from the calibrated data; (3) analysis of necessary conditions; (4) analysis of sufficient conditions via Boolean minimization. Sections 3–6 below present the exact formulas and algorithms used at each stage.</w:t>
      </w:r>
    </w:p>
    <w:p>
      <w:pPr>
        <w:pStyle w:val="Heading1"/>
        <w:spacing w:after="140" w:before="320"/>
      </w:pPr>
      <w:r>
        <w:t xml:space="preserve">3. Calibration: From Rubric Scores to Fuzzy-Set Membership</w:t>
      </w:r>
    </w:p>
    <w:p>
      <w:pPr>
        <w:spacing w:after="160"/>
      </w:pPr>
      <w:r>
        <w:rPr>
          <w:rFonts w:ascii="Cambria" w:cs="Cambria" w:eastAsia="Cambria" w:hAnsi="Cambria"/>
          <w:sz w:val="22"/>
          <w:szCs w:val="22"/>
        </w:rPr>
        <w:t xml:space="preserve">Calibration converts an ordinal or interval measurement into a set-membership score between 0 (fully out of the set) and 1 (fully in the set), anchored to three qualitative breakpoints rather than to the variable's own mean and standard deviation. This project uses Ragin's (2008) direct method with a log-odds transformation, computed twice from two independent anchor systems so the results can be checked for robustness to the calibration choice:</w:t>
      </w:r>
    </w:p>
    <w:p>
      <w:pPr>
        <w:pStyle w:val="ListParagraph"/>
        <w:numPr>
          <w:ilvl w:val="0"/>
          <w:numId w:val="1"/>
        </w:numPr>
        <w:spacing w:after="80"/>
      </w:pPr>
      <w:r>
        <w:rPr>
          <w:rFonts w:ascii="Cambria" w:cs="Cambria" w:eastAsia="Cambria" w:hAnsi="Cambria"/>
          <w:i/>
          <w:iCs/>
          <w:sz w:val="22"/>
          <w:szCs w:val="22"/>
        </w:rPr>
        <w:t xml:space="preserve">Percentile anchors</w:t>
      </w:r>
      <w:r>
        <w:rPr>
          <w:rFonts w:ascii="Cambria" w:cs="Cambria" w:eastAsia="Cambria" w:hAnsi="Cambria"/>
          <w:sz w:val="22"/>
          <w:szCs w:val="22"/>
        </w:rPr>
        <w:t xml:space="preserve"> — for each construct, the sample's 5th, 50th, and 95th percentiles serve as the threshold of full non-membership (e), the crossover point (c), and the threshold of full membership (i).</w:t>
      </w:r>
    </w:p>
    <w:p>
      <w:pPr>
        <w:pStyle w:val="ListParagraph"/>
        <w:numPr>
          <w:ilvl w:val="0"/>
          <w:numId w:val="1"/>
        </w:numPr>
        <w:spacing w:after="80"/>
      </w:pPr>
      <w:r>
        <w:rPr>
          <w:rFonts w:ascii="Cambria" w:cs="Cambria" w:eastAsia="Cambria" w:hAnsi="Cambria"/>
          <w:i/>
          <w:iCs/>
          <w:sz w:val="22"/>
          <w:szCs w:val="22"/>
        </w:rPr>
        <w:t xml:space="preserve">Rubric anchors</w:t>
      </w:r>
      <w:r>
        <w:rPr>
          <w:rFonts w:ascii="Cambria" w:cs="Cambria" w:eastAsia="Cambria" w:hAnsi="Cambria"/>
          <w:sz w:val="22"/>
          <w:szCs w:val="22"/>
        </w:rPr>
        <w:t xml:space="preserve"> — a fixed, theory-based scale is used for every construct: e = 1 (“very limited”), c = 2 (“moderate”), i = 3 (“substantial”), taken from the scoring rubric itself rather than from the sample distribution.</w:t>
      </w:r>
    </w:p>
    <w:p>
      <w:pPr>
        <w:spacing w:after="60" w:before="200"/>
      </w:pPr>
      <w:r>
        <w:rPr>
          <w:rFonts w:ascii="Cambria" w:cs="Cambria" w:eastAsia="Cambria" w:hAnsi="Cambria"/>
          <w:sz w:val="22"/>
          <w:szCs w:val="22"/>
        </w:rPr>
        <w:t xml:space="preserve">Direct-method formula.</w:t>
      </w:r>
    </w:p>
    <w:p>
      <w:pPr>
        <w:spacing w:after="160"/>
      </w:pPr>
      <w:r>
        <w:rPr>
          <w:rFonts w:ascii="Cambria" w:cs="Cambria" w:eastAsia="Cambria" w:hAnsi="Cambria"/>
          <w:sz w:val="22"/>
          <w:szCs w:val="22"/>
        </w:rPr>
        <w:t xml:space="preserve">For a raw score x with anchors (e, c, i), define the log-odds scaling constant:</w:t>
      </w:r>
    </w:p>
    <w:p>
      <w:pPr>
        <w:spacing w:after="160" w:before="120"/>
        <w:jc w:val="center"/>
      </w:pPr>
      <w:r>
        <w:rPr>
          <w:rFonts w:ascii="Cambria" w:cs="Cambria" w:eastAsia="Cambria" w:hAnsi="Cambria"/>
          <w:i/>
          <w:iCs/>
          <w:sz w:val="22"/>
          <w:szCs w:val="22"/>
        </w:rPr>
        <w:t xml:space="preserve">L</w:t>
      </w:r>
      <w:r>
        <w:rPr>
          <w:rFonts w:ascii="Cambria" w:cs="Cambria" w:eastAsia="Cambria" w:hAnsi="Cambria"/>
          <w:sz w:val="22"/>
          <w:szCs w:val="22"/>
        </w:rPr>
        <w:t xml:space="preserve"> = ln( </w:t>
      </w:r>
      <w:r>
        <w:rPr>
          <w:rFonts w:ascii="Cambria" w:cs="Cambria" w:eastAsia="Cambria" w:hAnsi="Cambria"/>
          <w:i/>
          <w:iCs/>
          <w:sz w:val="22"/>
          <w:szCs w:val="22"/>
        </w:rPr>
        <w:t xml:space="preserve">idm</w:t>
      </w:r>
      <w:r>
        <w:rPr>
          <w:rFonts w:ascii="Cambria" w:cs="Cambria" w:eastAsia="Cambria" w:hAnsi="Cambria"/>
          <w:sz w:val="22"/>
          <w:szCs w:val="22"/>
        </w:rPr>
        <w:t xml:space="preserve"> / (1 − </w:t>
      </w:r>
      <w:r>
        <w:rPr>
          <w:rFonts w:ascii="Cambria" w:cs="Cambria" w:eastAsia="Cambria" w:hAnsi="Cambria"/>
          <w:i/>
          <w:iCs/>
          <w:sz w:val="22"/>
          <w:szCs w:val="22"/>
        </w:rPr>
        <w:t xml:space="preserve">idm</w:t>
      </w:r>
      <w:r>
        <w:rPr>
          <w:rFonts w:ascii="Cambria" w:cs="Cambria" w:eastAsia="Cambria" w:hAnsi="Cambria"/>
          <w:sz w:val="22"/>
          <w:szCs w:val="22"/>
        </w:rPr>
        <w:t xml:space="preserve">) ),  with </w:t>
      </w:r>
      <w:r>
        <w:rPr>
          <w:rFonts w:ascii="Cambria" w:cs="Cambria" w:eastAsia="Cambria" w:hAnsi="Cambria"/>
          <w:i/>
          <w:iCs/>
          <w:sz w:val="22"/>
          <w:szCs w:val="22"/>
        </w:rPr>
        <w:t xml:space="preserve">idm</w:t>
      </w:r>
      <w:r>
        <w:rPr>
          <w:rFonts w:ascii="Cambria" w:cs="Cambria" w:eastAsia="Cambria" w:hAnsi="Cambria"/>
          <w:sz w:val="22"/>
          <w:szCs w:val="22"/>
        </w:rPr>
        <w:t xml:space="preserve"> = 0.95,  so </w:t>
      </w:r>
      <w:r>
        <w:rPr>
          <w:rFonts w:ascii="Cambria" w:cs="Cambria" w:eastAsia="Cambria" w:hAnsi="Cambria"/>
          <w:i/>
          <w:iCs/>
          <w:sz w:val="22"/>
          <w:szCs w:val="22"/>
        </w:rPr>
        <w:t xml:space="preserve">L</w:t>
      </w:r>
      <w:r>
        <w:rPr>
          <w:rFonts w:ascii="Cambria" w:cs="Cambria" w:eastAsia="Cambria" w:hAnsi="Cambria"/>
          <w:sz w:val="22"/>
          <w:szCs w:val="22"/>
        </w:rPr>
        <w:t xml:space="preserve"> = ln(0.95 / 0.05) ≈ 2.9444</w:t>
      </w:r>
    </w:p>
    <w:p>
      <w:pPr>
        <w:spacing w:after="160"/>
      </w:pPr>
      <w:r>
        <w:rPr>
          <w:rFonts w:ascii="Cambria" w:cs="Cambria" w:eastAsia="Cambria" w:hAnsi="Cambria"/>
          <w:sz w:val="22"/>
          <w:szCs w:val="22"/>
        </w:rPr>
        <w:t xml:space="preserve">(idm is the membership value assigned at the full-membership / full-non-membership anchors, following Ragin's convention that x = i and x = e are treated as 95% and 5% memberships rather than as certainties.) The membership score μ(x) is then:</w:t>
      </w:r>
    </w:p>
    <w:p>
      <w:pPr>
        <w:spacing w:after="160" w:before="120"/>
        <w:jc w:val="center"/>
      </w:pPr>
      <w:r>
        <w:rPr>
          <w:rFonts w:ascii="Cambria" w:cs="Cambria" w:eastAsia="Cambria" w:hAnsi="Cambria"/>
          <w:sz w:val="22"/>
          <w:szCs w:val="22"/>
        </w:rPr>
        <w:t xml:space="preserve">z(x) = </w:t>
      </w:r>
      <w:r>
        <w:rPr>
          <w:rFonts w:ascii="Cambria" w:cs="Cambria" w:eastAsia="Cambria" w:hAnsi="Cambria"/>
          <w:i/>
          <w:iCs/>
          <w:sz w:val="22"/>
          <w:szCs w:val="22"/>
        </w:rPr>
        <w:t xml:space="preserve">L</w:t>
      </w:r>
      <w:r>
        <w:rPr>
          <w:rFonts w:ascii="Cambria" w:cs="Cambria" w:eastAsia="Cambria" w:hAnsi="Cambria"/>
          <w:sz w:val="22"/>
          <w:szCs w:val="22"/>
        </w:rPr>
        <w:t xml:space="preserve"> · (</w:t>
      </w:r>
      <w:r>
        <w:rPr>
          <w:rFonts w:ascii="Cambria" w:cs="Cambria" w:eastAsia="Cambria" w:hAnsi="Cambria"/>
          <w:i/>
          <w:iCs/>
          <w:sz w:val="22"/>
          <w:szCs w:val="22"/>
        </w:rPr>
        <w:t xml:space="preserve">x</w:t>
      </w:r>
      <w:r>
        <w:rPr>
          <w:rFonts w:ascii="Cambria" w:cs="Cambria" w:eastAsia="Cambria" w:hAnsi="Cambria"/>
          <w:sz w:val="22"/>
          <w:szCs w:val="22"/>
        </w:rPr>
        <w:t xml:space="preserve"> − </w:t>
      </w:r>
      <w:r>
        <w:rPr>
          <w:rFonts w:ascii="Cambria" w:cs="Cambria" w:eastAsia="Cambria" w:hAnsi="Cambria"/>
          <w:i/>
          <w:iCs/>
          <w:sz w:val="22"/>
          <w:szCs w:val="22"/>
        </w:rPr>
        <w:t xml:space="preserve">c</w:t>
      </w:r>
      <w:r>
        <w:rPr>
          <w:rFonts w:ascii="Cambria" w:cs="Cambria" w:eastAsia="Cambria" w:hAnsi="Cambria"/>
          <w:sz w:val="22"/>
          <w:szCs w:val="22"/>
        </w:rPr>
        <w:t xml:space="preserve">) / (</w:t>
      </w:r>
      <w:r>
        <w:rPr>
          <w:rFonts w:ascii="Cambria" w:cs="Cambria" w:eastAsia="Cambria" w:hAnsi="Cambria"/>
          <w:i/>
          <w:iCs/>
          <w:sz w:val="22"/>
          <w:szCs w:val="22"/>
        </w:rPr>
        <w:t xml:space="preserve">i</w:t>
      </w:r>
      <w:r>
        <w:rPr>
          <w:rFonts w:ascii="Cambria" w:cs="Cambria" w:eastAsia="Cambria" w:hAnsi="Cambria"/>
          <w:sz w:val="22"/>
          <w:szCs w:val="22"/>
        </w:rPr>
        <w:t xml:space="preserve"> − </w:t>
      </w:r>
      <w:r>
        <w:rPr>
          <w:rFonts w:ascii="Cambria" w:cs="Cambria" w:eastAsia="Cambria" w:hAnsi="Cambria"/>
          <w:i/>
          <w:iCs/>
          <w:sz w:val="22"/>
          <w:szCs w:val="22"/>
        </w:rPr>
        <w:t xml:space="preserve">c</w:t>
      </w:r>
      <w:r>
        <w:rPr>
          <w:rFonts w:ascii="Cambria" w:cs="Cambria" w:eastAsia="Cambria" w:hAnsi="Cambria"/>
          <w:sz w:val="22"/>
          <w:szCs w:val="22"/>
        </w:rPr>
        <w:t xml:space="preserve">),  if </w:t>
      </w:r>
      <w:r>
        <w:rPr>
          <w:rFonts w:ascii="Cambria" w:cs="Cambria" w:eastAsia="Cambria" w:hAnsi="Cambria"/>
          <w:i/>
          <w:iCs/>
          <w:sz w:val="22"/>
          <w:szCs w:val="22"/>
        </w:rPr>
        <w:t xml:space="preserve">x</w:t>
      </w:r>
      <w:r>
        <w:rPr>
          <w:rFonts w:ascii="Cambria" w:cs="Cambria" w:eastAsia="Cambria" w:hAnsi="Cambria"/>
          <w:sz w:val="22"/>
          <w:szCs w:val="22"/>
        </w:rPr>
        <w:t xml:space="preserve"> ≥ </w:t>
      </w:r>
      <w:r>
        <w:rPr>
          <w:rFonts w:ascii="Cambria" w:cs="Cambria" w:eastAsia="Cambria" w:hAnsi="Cambria"/>
          <w:i/>
          <w:iCs/>
          <w:sz w:val="22"/>
          <w:szCs w:val="22"/>
        </w:rPr>
        <w:t xml:space="preserve">c</w:t>
      </w:r>
    </w:p>
    <w:p>
      <w:pPr>
        <w:spacing w:after="160" w:before="120"/>
        <w:jc w:val="center"/>
      </w:pPr>
      <w:r>
        <w:rPr>
          <w:rFonts w:ascii="Cambria" w:cs="Cambria" w:eastAsia="Cambria" w:hAnsi="Cambria"/>
          <w:sz w:val="22"/>
          <w:szCs w:val="22"/>
        </w:rPr>
        <w:t xml:space="preserve">z(x) = </w:t>
      </w:r>
      <w:r>
        <w:rPr>
          <w:rFonts w:ascii="Cambria" w:cs="Cambria" w:eastAsia="Cambria" w:hAnsi="Cambria"/>
          <w:i/>
          <w:iCs/>
          <w:sz w:val="22"/>
          <w:szCs w:val="22"/>
        </w:rPr>
        <w:t xml:space="preserve">L</w:t>
      </w:r>
      <w:r>
        <w:rPr>
          <w:rFonts w:ascii="Cambria" w:cs="Cambria" w:eastAsia="Cambria" w:hAnsi="Cambria"/>
          <w:sz w:val="22"/>
          <w:szCs w:val="22"/>
        </w:rPr>
        <w:t xml:space="preserve"> · (</w:t>
      </w:r>
      <w:r>
        <w:rPr>
          <w:rFonts w:ascii="Cambria" w:cs="Cambria" w:eastAsia="Cambria" w:hAnsi="Cambria"/>
          <w:i/>
          <w:iCs/>
          <w:sz w:val="22"/>
          <w:szCs w:val="22"/>
        </w:rPr>
        <w:t xml:space="preserve">x</w:t>
      </w:r>
      <w:r>
        <w:rPr>
          <w:rFonts w:ascii="Cambria" w:cs="Cambria" w:eastAsia="Cambria" w:hAnsi="Cambria"/>
          <w:sz w:val="22"/>
          <w:szCs w:val="22"/>
        </w:rPr>
        <w:t xml:space="preserve"> − </w:t>
      </w:r>
      <w:r>
        <w:rPr>
          <w:rFonts w:ascii="Cambria" w:cs="Cambria" w:eastAsia="Cambria" w:hAnsi="Cambria"/>
          <w:i/>
          <w:iCs/>
          <w:sz w:val="22"/>
          <w:szCs w:val="22"/>
        </w:rPr>
        <w:t xml:space="preserve">c</w:t>
      </w:r>
      <w:r>
        <w:rPr>
          <w:rFonts w:ascii="Cambria" w:cs="Cambria" w:eastAsia="Cambria" w:hAnsi="Cambria"/>
          <w:sz w:val="22"/>
          <w:szCs w:val="22"/>
        </w:rPr>
        <w:t xml:space="preserve">) / (</w:t>
      </w:r>
      <w:r>
        <w:rPr>
          <w:rFonts w:ascii="Cambria" w:cs="Cambria" w:eastAsia="Cambria" w:hAnsi="Cambria"/>
          <w:i/>
          <w:iCs/>
          <w:sz w:val="22"/>
          <w:szCs w:val="22"/>
        </w:rPr>
        <w:t xml:space="preserve">c</w:t>
      </w:r>
      <w:r>
        <w:rPr>
          <w:rFonts w:ascii="Cambria" w:cs="Cambria" w:eastAsia="Cambria" w:hAnsi="Cambria"/>
          <w:sz w:val="22"/>
          <w:szCs w:val="22"/>
        </w:rPr>
        <w:t xml:space="preserve"> − </w:t>
      </w:r>
      <w:r>
        <w:rPr>
          <w:rFonts w:ascii="Cambria" w:cs="Cambria" w:eastAsia="Cambria" w:hAnsi="Cambria"/>
          <w:i/>
          <w:iCs/>
          <w:sz w:val="22"/>
          <w:szCs w:val="22"/>
        </w:rPr>
        <w:t xml:space="preserve">e</w:t>
      </w:r>
      <w:r>
        <w:rPr>
          <w:rFonts w:ascii="Cambria" w:cs="Cambria" w:eastAsia="Cambria" w:hAnsi="Cambria"/>
          <w:sz w:val="22"/>
          <w:szCs w:val="22"/>
        </w:rPr>
        <w:t xml:space="preserve">),  if </w:t>
      </w:r>
      <w:r>
        <w:rPr>
          <w:rFonts w:ascii="Cambria" w:cs="Cambria" w:eastAsia="Cambria" w:hAnsi="Cambria"/>
          <w:i/>
          <w:iCs/>
          <w:sz w:val="22"/>
          <w:szCs w:val="22"/>
        </w:rPr>
        <w:t xml:space="preserve">x</w:t>
      </w:r>
      <w:r>
        <w:rPr>
          <w:rFonts w:ascii="Cambria" w:cs="Cambria" w:eastAsia="Cambria" w:hAnsi="Cambria"/>
          <w:sz w:val="22"/>
          <w:szCs w:val="22"/>
        </w:rPr>
        <w:t xml:space="preserve"> &lt; </w:t>
      </w:r>
      <w:r>
        <w:rPr>
          <w:rFonts w:ascii="Cambria" w:cs="Cambria" w:eastAsia="Cambria" w:hAnsi="Cambria"/>
          <w:i/>
          <w:iCs/>
          <w:sz w:val="22"/>
          <w:szCs w:val="22"/>
        </w:rPr>
        <w:t xml:space="preserve">c</w:t>
      </w:r>
    </w:p>
    <w:p>
      <w:pPr>
        <w:spacing w:after="160" w:before="120"/>
        <w:jc w:val="center"/>
      </w:pPr>
      <w:r>
        <w:rPr>
          <w:rFonts w:ascii="Cambria" w:cs="Cambria" w:eastAsia="Cambria" w:hAnsi="Cambria"/>
          <w:sz w:val="22"/>
          <w:szCs w:val="22"/>
        </w:rPr>
        <w:t xml:space="preserve">μ(x) = 1 / (1 + exp(−z(x)))</w:t>
      </w:r>
    </w:p>
    <w:p>
      <w:pPr>
        <w:spacing w:after="160"/>
      </w:pPr>
      <w:r>
        <w:rPr>
          <w:rFonts w:ascii="Cambria" w:cs="Cambria" w:eastAsia="Cambria" w:hAnsi="Cambria"/>
          <w:sz w:val="22"/>
          <w:szCs w:val="22"/>
        </w:rPr>
        <w:t xml:space="preserve">Worked example (illustrative). Take AICAP under the percentile anchors (e = 0.500, c = 2.03, i = 4.000). A raw score of x = 3.0 gives z = 2.9444 × (3.0 − 2.03) / (4.000 − 2.03) = 1.450, so μ(3.0) = 1 / (1 + exp(−1.450)) ≈ 0.810. A raw score of x = 1.0 gives z = 2.9444 × (1.0 − 2.03) / (2.03 − 0.500) = −1.982, so μ(1.0) = 1 / (1 + exp(1.982)) ≈ 0.121.</w:t>
      </w:r>
    </w:p>
    <w:p>
      <w:pPr>
        <w:spacing w:after="160"/>
      </w:pPr>
      <w:r>
        <w:rPr>
          <w:rFonts w:ascii="Cambria" w:cs="Cambria" w:eastAsia="Cambria" w:hAnsi="Cambria"/>
          <w:sz w:val="22"/>
          <w:szCs w:val="22"/>
        </w:rPr>
        <w:t xml:space="preserve">A case whose raw score sits exactly at the crossover (x = c) yields z = 0 and μ = 0.500 exactly — a tie that the truth-table algorithm cannot assign to a vector-space corner. By the convention documented for this dataset, any such case is nudged to μ = 0.501 rather than dropped, so every case remains classified. Across the 105-case panel and seven calibrated constructs, this affected 12 of 735 construct-case cells.</w:t>
      </w:r>
    </w:p>
    <w:p>
      <w:pPr>
        <w:pStyle w:val="Heading1"/>
        <w:spacing w:after="140" w:before="320"/>
      </w:pPr>
      <w:r>
        <w:t xml:space="preserve">4. Truth Table Construction</w:t>
      </w:r>
    </w:p>
    <w:p>
      <w:pPr>
        <w:spacing w:after="160"/>
      </w:pPr>
      <w:r>
        <w:rPr>
          <w:rFonts w:ascii="Cambria" w:cs="Cambria" w:eastAsia="Cambria" w:hAnsi="Cambria"/>
          <w:sz w:val="22"/>
          <w:szCs w:val="22"/>
        </w:rPr>
        <w:t xml:space="preserve">With all seven constructs calibrated, each case's crisp configuration is obtained by the standard 0.5 rule: a case is coded 1 on a condition if its fuzzy membership exceeds 0.5, and 0 otherwise. With k = 6 binary conditions, there are 2⁶ = 64 logically possible configurations (“vector-space corners”). The truth table records, for each corner, how many observed cases fall into it and how consistently those cases also belong to the outcome set.</w:t>
      </w:r>
    </w:p>
    <w:p>
      <w:pPr>
        <w:spacing w:after="60" w:before="160"/>
      </w:pPr>
      <w:r>
        <w:rPr>
          <w:rFonts w:ascii="Cambria" w:cs="Cambria" w:eastAsia="Cambria" w:hAnsi="Cambria"/>
          <w:sz w:val="22"/>
          <w:szCs w:val="22"/>
        </w:rPr>
        <w:t xml:space="preserve">Raw consistency (sufficiency) of a configuration X for outcome Y (Ragin, 2006):</w:t>
      </w:r>
    </w:p>
    <w:p>
      <w:pPr>
        <w:spacing w:after="160" w:before="120"/>
        <w:jc w:val="center"/>
      </w:pPr>
      <w:r>
        <w:rPr>
          <w:rFonts w:ascii="Cambria" w:cs="Cambria" w:eastAsia="Cambria" w:hAnsi="Cambria"/>
          <w:sz w:val="22"/>
          <w:szCs w:val="22"/>
        </w:rPr>
        <w:t xml:space="preserve">Consistency(</w:t>
      </w:r>
      <w:r>
        <w:rPr>
          <w:rFonts w:ascii="Cambria" w:cs="Cambria" w:eastAsia="Cambria" w:hAnsi="Cambria"/>
          <w:i/>
          <w:iCs/>
          <w:sz w:val="22"/>
          <w:szCs w:val="22"/>
        </w:rPr>
        <w:t xml:space="preserve">X</w:t>
      </w:r>
      <w:r>
        <w:rPr>
          <w:rFonts w:ascii="Cambria" w:cs="Cambria" w:eastAsia="Cambria" w:hAnsi="Cambria"/>
          <w:sz w:val="22"/>
          <w:szCs w:val="22"/>
        </w:rPr>
        <w:t xml:space="preserve"> ≤ </w:t>
      </w:r>
      <w:r>
        <w:rPr>
          <w:rFonts w:ascii="Cambria" w:cs="Cambria" w:eastAsia="Cambria" w:hAnsi="Cambria"/>
          <w:i/>
          <w:iCs/>
          <w:sz w:val="22"/>
          <w:szCs w:val="22"/>
        </w:rPr>
        <w:t xml:space="preserve">Y</w:t>
      </w:r>
      <w:r>
        <w:rPr>
          <w:rFonts w:ascii="Cambria" w:cs="Cambria" w:eastAsia="Cambria" w:hAnsi="Cambria"/>
          <w:sz w:val="22"/>
          <w:szCs w:val="22"/>
        </w:rPr>
        <w:t xml:space="preserve">) = </w:t>
      </w:r>
      <w:r>
        <w:rPr>
          <w:rFonts w:ascii="Cambria" w:cs="Cambria" w:eastAsia="Cambria" w:hAnsi="Cambria"/>
          <w:sz w:val="22"/>
          <w:szCs w:val="22"/>
        </w:rPr>
        <w:t xml:space="preserve">Σ min(</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 </w:t>
      </w:r>
      <w:r>
        <w:rPr>
          <w:rFonts w:ascii="Cambria" w:cs="Cambria" w:eastAsia="Cambria" w:hAnsi="Cambria"/>
          <w:sz w:val="22"/>
          <w:szCs w:val="22"/>
        </w:rPr>
        <w:t xml:space="preserve">Σ </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p>
    <w:p>
      <w:pPr>
        <w:spacing w:after="160"/>
      </w:pPr>
      <w:r>
        <w:rPr>
          <w:rFonts w:ascii="Cambria" w:cs="Cambria" w:eastAsia="Cambria" w:hAnsi="Cambria"/>
          <w:sz w:val="22"/>
          <w:szCs w:val="22"/>
        </w:rPr>
        <w:t xml:space="preserve">where the sums run over all cases i, and Xi, Yi are fuzzy membership scores (for a multi-condition configuration, Xi is the case's minimum membership across the conditions composing that configuration).</w:t>
      </w:r>
    </w:p>
    <w:p>
      <w:pPr>
        <w:spacing w:after="60" w:before="160"/>
      </w:pPr>
      <w:r>
        <w:rPr>
          <w:rFonts w:ascii="Cambria" w:cs="Cambria" w:eastAsia="Cambria" w:hAnsi="Cambria"/>
          <w:sz w:val="22"/>
          <w:szCs w:val="22"/>
        </w:rPr>
        <w:t xml:space="preserve">Because raw consistency alone can be inflated by cases simultaneously close to both Y and ∼Y, this project also filters on the Proportional Reduction in Inconsistency (PRI):</w:t>
      </w:r>
    </w:p>
    <w:p>
      <w:pPr>
        <w:spacing w:after="160" w:before="120"/>
        <w:jc w:val="center"/>
      </w:pPr>
      <w:r>
        <w:rPr>
          <w:rFonts w:ascii="Cambria" w:cs="Cambria" w:eastAsia="Cambria" w:hAnsi="Cambria"/>
          <w:sz w:val="22"/>
          <w:szCs w:val="22"/>
        </w:rPr>
        <w:t xml:space="preserve">PRI = [ Σ min(</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 Σ min(</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1−</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 / [ Σ </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 Σ min(</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1−</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w:t>
      </w:r>
    </w:p>
    <w:p>
      <w:pPr>
        <w:spacing w:after="160"/>
      </w:pPr>
      <w:r>
        <w:rPr>
          <w:rFonts w:ascii="Cambria" w:cs="Cambria" w:eastAsia="Cambria" w:hAnsi="Cambria"/>
          <w:sz w:val="22"/>
          <w:szCs w:val="22"/>
        </w:rPr>
        <w:t xml:space="preserve">A truth-table row is retained as a positive (OUT = 1) configuration only if it clears all four thresholds in Table 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3000"/>
      </w:tblGrid>
      <w:tr>
        <w:trPr>
          <w:tblHeader/>
        </w:trPr>
        <w:tc>
          <w:tcPr>
            <w:tcW w:type="dxa" w:w="4200"/>
            <w:shd w:fill="D9D9D9" w:color="auto" w:val="clear"/>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Criterion</w:t>
            </w:r>
          </w:p>
        </w:tc>
        <w:tc>
          <w:tcPr>
            <w:tcW w:type="dxa" w:w="2100"/>
            <w:shd w:fill="D9D9D9" w:color="auto" w:val="clear"/>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Threshold</w:t>
            </w:r>
          </w:p>
        </w:tc>
        <w:tc>
          <w:tcPr>
            <w:tcW w:type="dxa" w:w="3000"/>
            <w:shd w:fill="D9D9D9" w:color="auto" w:val="clear"/>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Purpose</w:t>
            </w:r>
          </w:p>
        </w:tc>
      </w:tr>
      <w:tr>
        <w:tc>
          <w:tcPr>
            <w:tcW w:type="dxa" w:w="42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Raw consistency</w:t>
            </w:r>
          </w:p>
        </w:tc>
        <w:tc>
          <w:tcPr>
            <w:tcW w:type="dxa" w:w="2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 0.80</w:t>
            </w:r>
          </w:p>
        </w:tc>
        <w:tc>
          <w:tcPr>
            <w:tcW w:type="dxa" w:w="3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Sufficiency evidence strength</w:t>
            </w:r>
          </w:p>
        </w:tc>
      </w:tr>
      <w:tr>
        <w:tc>
          <w:tcPr>
            <w:tcW w:type="dxa" w:w="42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PRI</w:t>
            </w:r>
          </w:p>
        </w:tc>
        <w:tc>
          <w:tcPr>
            <w:tcW w:type="dxa" w:w="2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 0.50</w:t>
            </w:r>
          </w:p>
        </w:tc>
        <w:tc>
          <w:tcPr>
            <w:tcW w:type="dxa" w:w="3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Removes simultaneous-subset-of-∼Y rows</w:t>
            </w:r>
          </w:p>
        </w:tc>
      </w:tr>
      <w:tr>
        <w:tc>
          <w:tcPr>
            <w:tcW w:type="dxa" w:w="42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Firm-year frequency</w:t>
            </w:r>
          </w:p>
        </w:tc>
        <w:tc>
          <w:tcPr>
            <w:tcW w:type="dxa" w:w="2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 2</w:t>
            </w:r>
          </w:p>
        </w:tc>
        <w:tc>
          <w:tcPr>
            <w:tcW w:type="dxa" w:w="3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Removes singleton evidence</w:t>
            </w:r>
          </w:p>
        </w:tc>
      </w:tr>
      <w:tr>
        <w:tc>
          <w:tcPr>
            <w:tcW w:type="dxa" w:w="42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Distinct firms per row</w:t>
            </w:r>
          </w:p>
        </w:tc>
        <w:tc>
          <w:tcPr>
            <w:tcW w:type="dxa" w:w="2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 2</w:t>
            </w:r>
          </w:p>
        </w:tc>
        <w:tc>
          <w:tcPr>
            <w:tcW w:type="dxa" w:w="3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Removes single-firm rows disguised as replicated evidence</w:t>
            </w:r>
          </w:p>
        </w:tc>
      </w:tr>
      <w:tr>
        <w:tc>
          <w:tcPr>
            <w:tcW w:type="dxa" w:w="42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Necessity consistency</w:t>
            </w:r>
          </w:p>
        </w:tc>
        <w:tc>
          <w:tcPr>
            <w:tcW w:type="dxa" w:w="2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 0.90</w:t>
            </w:r>
          </w:p>
        </w:tc>
        <w:tc>
          <w:tcPr>
            <w:tcW w:type="dxa" w:w="3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Standard threshold for claiming necessity</w:t>
            </w:r>
          </w:p>
        </w:tc>
      </w:tr>
    </w:tbl>
    <w:p>
      <w:pPr>
        <w:spacing w:before="160"/>
      </w:pPr>
      <w:r>
        <w:rPr>
          <w:rFonts w:ascii="Cambria" w:cs="Cambria" w:eastAsia="Cambria" w:hAnsi="Cambria"/>
          <w:sz w:val="22"/>
          <w:szCs w:val="22"/>
        </w:rPr>
        <w:t xml:space="preserve">Rows that fail any threshold but have at least one case are not coded as negative; they are coded as logical remainders (“?”) — configurations without decisive empirical evidence either way. Remainders are excluded from the conservative (“complex”) solution and become available, under different rules, in the parsimonious and intermediate solutions (Section 6).</w:t>
      </w:r>
    </w:p>
    <w:p>
      <w:pPr>
        <w:pStyle w:val="Heading1"/>
        <w:spacing w:after="140" w:before="320"/>
      </w:pPr>
      <w:r>
        <w:t xml:space="preserve">5. Necessity Analysis</w:t>
      </w:r>
    </w:p>
    <w:p>
      <w:pPr>
        <w:spacing w:after="160"/>
      </w:pPr>
      <w:r>
        <w:rPr>
          <w:rFonts w:ascii="Cambria" w:cs="Cambria" w:eastAsia="Cambria" w:hAnsi="Cambria"/>
          <w:sz w:val="22"/>
          <w:szCs w:val="22"/>
        </w:rPr>
        <w:t xml:space="preserve">A condition X is necessary for outcome Y if Y is a subset of X — every case with the outcome also has the condition. The parameters of fit (Ragin, 2006; Schneider &amp; Wagemann, 2012) are:</w:t>
      </w:r>
    </w:p>
    <w:p>
      <w:pPr>
        <w:spacing w:after="160" w:before="120"/>
        <w:jc w:val="center"/>
      </w:pPr>
      <w:r>
        <w:rPr>
          <w:rFonts w:ascii="Cambria" w:cs="Cambria" w:eastAsia="Cambria" w:hAnsi="Cambria"/>
          <w:sz w:val="22"/>
          <w:szCs w:val="22"/>
        </w:rPr>
        <w:t xml:space="preserve">Consistency</w:t>
      </w:r>
      <w:r>
        <w:rPr>
          <w:rFonts w:ascii="Cambria" w:cs="Cambria" w:eastAsia="Cambria" w:hAnsi="Cambria"/>
          <w:sz w:val="22"/>
          <w:szCs w:val="22"/>
          <w:vertAlign w:val="subscript"/>
        </w:rPr>
        <w:t xml:space="preserve">nec</w:t>
      </w:r>
      <w:r>
        <w:rPr>
          <w:rFonts w:ascii="Cambria" w:cs="Cambria" w:eastAsia="Cambria" w:hAnsi="Cambria"/>
          <w:sz w:val="22"/>
          <w:szCs w:val="22"/>
        </w:rPr>
        <w:t xml:space="preserve"> = Σ min(</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 Σ </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i</w:t>
      </w:r>
    </w:p>
    <w:p>
      <w:pPr>
        <w:spacing w:after="160" w:before="120"/>
        <w:jc w:val="center"/>
      </w:pPr>
      <w:r>
        <w:rPr>
          <w:rFonts w:ascii="Cambria" w:cs="Cambria" w:eastAsia="Cambria" w:hAnsi="Cambria"/>
          <w:sz w:val="22"/>
          <w:szCs w:val="22"/>
        </w:rPr>
        <w:t xml:space="preserve">Coverage</w:t>
      </w:r>
      <w:r>
        <w:rPr>
          <w:rFonts w:ascii="Cambria" w:cs="Cambria" w:eastAsia="Cambria" w:hAnsi="Cambria"/>
          <w:sz w:val="22"/>
          <w:szCs w:val="22"/>
          <w:vertAlign w:val="subscript"/>
        </w:rPr>
        <w:t xml:space="preserve">nec</w:t>
      </w:r>
      <w:r>
        <w:rPr>
          <w:rFonts w:ascii="Cambria" w:cs="Cambria" w:eastAsia="Cambria" w:hAnsi="Cambria"/>
          <w:sz w:val="22"/>
          <w:szCs w:val="22"/>
        </w:rPr>
        <w:t xml:space="preserve"> = Σ min(</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 Σ </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p>
    <w:p>
      <w:pPr>
        <w:spacing w:after="160" w:before="120"/>
        <w:jc w:val="center"/>
      </w:pPr>
      <w:r>
        <w:rPr>
          <w:rFonts w:ascii="Cambria" w:cs="Cambria" w:eastAsia="Cambria" w:hAnsi="Cambria"/>
          <w:sz w:val="22"/>
          <w:szCs w:val="22"/>
        </w:rPr>
        <w:t xml:space="preserve">RoN = Σ (1 − </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 Σ (1 − min(</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w:t>
      </w:r>
    </w:p>
    <w:p>
      <w:pPr>
        <w:spacing w:after="160"/>
      </w:pPr>
      <w:r>
        <w:rPr>
          <w:rFonts w:ascii="Cambria" w:cs="Cambria" w:eastAsia="Cambria" w:hAnsi="Cambria"/>
          <w:sz w:val="22"/>
          <w:szCs w:val="22"/>
        </w:rPr>
        <w:t xml:space="preserve">RoN (Relevance of Necessity), introduced by Schneider and Wagemann (2012), guards against declaring a condition necessary simply because it is almost always present in the data (a “trivial” necessary condition): if a condition's non-membership (1−Xi) is small for nearly every case, RoN falls toward zero regardless of how high the raw consistency is. Following the convention adopted for this project, a condition is treated as necessary only if consistency ≥ 0.90 with a non-trivial RoN (roughly ≥ 0.50); none of the six conditions in this study clears the 0.90 consistency threshold on its own, so no single necessary condition is claimed for SCR under either calibration.</w:t>
      </w:r>
    </w:p>
    <w:p>
      <w:pPr>
        <w:pStyle w:val="Heading1"/>
        <w:spacing w:after="140" w:before="320"/>
      </w:pPr>
      <w:r>
        <w:t xml:space="preserve">6. Sufficiency Analysis and Boolean Minimization</w:t>
      </w:r>
    </w:p>
    <w:p>
      <w:pPr>
        <w:spacing w:after="160"/>
      </w:pPr>
      <w:r>
        <w:rPr>
          <w:rFonts w:ascii="Cambria" w:cs="Cambria" w:eastAsia="Cambria" w:hAnsi="Cambria"/>
          <w:sz w:val="22"/>
          <w:szCs w:val="22"/>
        </w:rPr>
        <w:t xml:space="preserve">Single-condition sufficiency uses the same Consistency and PRI formulas as Section 4, together with Coverage = Σmin(Xi,Yi)/ΣYi, applied to each of the six conditions and its negation individually, before any combinations are considered.</w:t>
      </w:r>
    </w:p>
    <w:p>
      <w:pPr>
        <w:spacing w:before="160"/>
      </w:pPr>
      <w:r>
        <w:rPr>
          <w:rFonts w:ascii="Cambria" w:cs="Cambria" w:eastAsia="Cambria" w:hAnsi="Cambria"/>
          <w:sz w:val="22"/>
          <w:szCs w:val="22"/>
        </w:rPr>
        <w:t xml:space="preserve">The combinatorial step — identifying which combinations of conditions are jointly sufficient — is performed by Boolean minimization of the truth table, following the classical two-stage procedure:</w:t>
      </w:r>
    </w:p>
    <w:p>
      <w:pPr>
        <w:pStyle w:val="Heading2"/>
        <w:spacing w:after="100" w:before="220"/>
      </w:pPr>
      <w:r>
        <w:t xml:space="preserve">Stage 1 — Quine–McCluskey algorithm</w:t>
      </w:r>
    </w:p>
    <w:p>
      <w:pPr>
        <w:spacing w:after="160"/>
      </w:pPr>
      <w:r>
        <w:rPr>
          <w:rFonts w:ascii="Cambria" w:cs="Cambria" w:eastAsia="Cambria" w:hAnsi="Cambria"/>
          <w:sz w:val="22"/>
          <w:szCs w:val="22"/>
        </w:rPr>
        <w:t xml:space="preserve">Positive truth-table rows are treated as Boolean minterms. The algorithm repeatedly compares pairs of terms that differ in exactly one literal (e.g. AICAP·AIGOV·sussrc and AICAP·AIGOV·SUSSRC, lower case denoting absence) and combines each such pair into a shorter term with that literal dropped (AICAP·AIGOV). This repeats on the newly formed terms until no further combination is possible. The terms that survive without being absorbed into a shorter term are the prime implicants — the minimal building blocks from which any correct solution must be assembled.</w:t>
      </w:r>
    </w:p>
    <w:p>
      <w:pPr>
        <w:pStyle w:val="Heading2"/>
        <w:spacing w:after="100" w:before="220"/>
      </w:pPr>
      <w:r>
        <w:t xml:space="preserve">Stage 2 — Petrick's method</w:t>
      </w:r>
    </w:p>
    <w:p>
      <w:pPr>
        <w:spacing w:after="160"/>
      </w:pPr>
      <w:r>
        <w:rPr>
          <w:rFonts w:ascii="Cambria" w:cs="Cambria" w:eastAsia="Cambria" w:hAnsi="Cambria"/>
          <w:sz w:val="22"/>
          <w:szCs w:val="22"/>
        </w:rPr>
        <w:t xml:space="preserve">Because more than one combination of prime implicants can cover every positive row, Petrick's method builds a Boolean product-of-sums expression — one factor per positive row, listing which prime implicants cover it — and algebraically expands it into a sum of products. Each resulting product is one complete, valid covering of all positive rows; the shortest of these (fewest literals, then fewest terms) is selected as the minimal solution. When two or more coverings tie for shortest, the procedure returns all of them as alternate, equally minimal solutions (labelled M1, M2, …) — a tie that occurred twice in this project (Section 7, Table 3).</w:t>
      </w:r>
    </w:p>
    <w:p>
      <w:pPr>
        <w:pStyle w:val="Heading2"/>
        <w:spacing w:after="100" w:before="220"/>
      </w:pPr>
      <w:r>
        <w:t xml:space="preserve">Three solutions from one truth table</w:t>
      </w:r>
    </w:p>
    <w:p>
      <w:pPr>
        <w:pStyle w:val="ListParagraph"/>
        <w:numPr>
          <w:ilvl w:val="0"/>
          <w:numId w:val="1"/>
        </w:numPr>
        <w:spacing w:after="80"/>
      </w:pPr>
      <w:r>
        <w:rPr>
          <w:rFonts w:ascii="Cambria" w:cs="Cambria" w:eastAsia="Cambria" w:hAnsi="Cambria"/>
          <w:i/>
          <w:iCs/>
          <w:sz w:val="22"/>
          <w:szCs w:val="22"/>
        </w:rPr>
        <w:t xml:space="preserve">Complex (conservative) solution</w:t>
      </w:r>
      <w:r>
        <w:rPr>
          <w:rFonts w:ascii="Cambria" w:cs="Cambria" w:eastAsia="Cambria" w:hAnsi="Cambria"/>
          <w:sz w:val="22"/>
          <w:szCs w:val="22"/>
        </w:rPr>
        <w:t xml:space="preserve"> — minimization using only empirically observed rows; every logical remainder is excluded, so the solution rests on no assumption about configurations with zero cases.</w:t>
      </w:r>
    </w:p>
    <w:p>
      <w:pPr>
        <w:pStyle w:val="ListParagraph"/>
        <w:numPr>
          <w:ilvl w:val="0"/>
          <w:numId w:val="1"/>
        </w:numPr>
        <w:spacing w:after="80"/>
      </w:pPr>
      <w:r>
        <w:rPr>
          <w:rFonts w:ascii="Cambria" w:cs="Cambria" w:eastAsia="Cambria" w:hAnsi="Cambria"/>
          <w:i/>
          <w:iCs/>
          <w:sz w:val="22"/>
          <w:szCs w:val="22"/>
        </w:rPr>
        <w:t xml:space="preserve">Parsimonious solution</w:t>
      </w:r>
      <w:r>
        <w:rPr>
          <w:rFonts w:ascii="Cambria" w:cs="Cambria" w:eastAsia="Cambria" w:hAnsi="Cambria"/>
          <w:sz w:val="22"/>
          <w:szCs w:val="22"/>
        </w:rPr>
        <w:t xml:space="preserve"> — every remainder is made available to the algorithm as a “don't care,” regardless of substantive plausibility, to obtain the shortest possible expression.</w:t>
      </w:r>
    </w:p>
    <w:p>
      <w:pPr>
        <w:pStyle w:val="ListParagraph"/>
        <w:numPr>
          <w:ilvl w:val="0"/>
          <w:numId w:val="1"/>
        </w:numPr>
        <w:spacing w:after="80"/>
      </w:pPr>
      <w:r>
        <w:rPr>
          <w:rFonts w:ascii="Cambria" w:cs="Cambria" w:eastAsia="Cambria" w:hAnsi="Cambria"/>
          <w:i/>
          <w:iCs/>
          <w:sz w:val="22"/>
          <w:szCs w:val="22"/>
        </w:rPr>
        <w:t xml:space="preserve">Intermediate solution</w:t>
      </w:r>
      <w:r>
        <w:rPr>
          <w:rFonts w:ascii="Cambria" w:cs="Cambria" w:eastAsia="Cambria" w:hAnsi="Cambria"/>
          <w:sz w:val="22"/>
          <w:szCs w:val="22"/>
        </w:rPr>
        <w:t xml:space="preserve"> (Ragin, 2008; Fiss, 2011) — a remainder is used only if doing so is consistent with a pre-specified directional expectation for each condition (here: presence of each condition contributes to SCR, and, mirrored, absence of each contributes to ∼SCR). Conditions surviving into both the parsimonious and the intermediate solution are labelled core; conditions appearing only in the intermediate solution are labelled peripheral (Fiss, 2011) — separating a recipe's essential ingredients from its supporting ones.</w:t>
      </w:r>
    </w:p>
    <w:p>
      <w:pPr>
        <w:pStyle w:val="Heading1"/>
        <w:spacing w:after="140" w:before="320"/>
      </w:pPr>
      <w:r>
        <w:t xml:space="preserve">7. Independent Computational Verification</w:t>
      </w:r>
    </w:p>
    <w:p>
      <w:pPr>
        <w:spacing w:after="160"/>
      </w:pPr>
      <w:r>
        <w:rPr>
          <w:rFonts w:ascii="Cambria" w:cs="Cambria" w:eastAsia="Cambria" w:hAnsi="Cambria"/>
          <w:sz w:val="22"/>
          <w:szCs w:val="22"/>
        </w:rPr>
        <w:t xml:space="preserve">Every calculation described in Sections 3–6 was originally produced twice: once as live formulas in the project spreadsheet, and once by an offline Python implementation of Quine–McCluskey / Petrick minimization. As a third, fully independent check, the entire pipeline was reproduced in R using the QCA package (Duşa, 2019) — the package implementing the same algorithms as the standalone fsQCA software, and the standard citation for computational QCA work.</w:t>
      </w:r>
    </w:p>
    <w:p>
      <w:pPr>
        <w:spacing w:before="160"/>
      </w:pPr>
      <w:r>
        <w:rPr>
          <w:rFonts w:ascii="Cambria" w:cs="Cambria" w:eastAsia="Cambria" w:hAnsi="Cambria"/>
          <w:sz w:val="22"/>
          <w:szCs w:val="22"/>
        </w:rPr>
        <w:t xml:space="preserve">The R replication covered all four analytic branches used in the project (percentile and rubric calibration, crossed with SCR and ∼SCR as the outcome). It independently reproduced: the calibrated fuzzy-membership scores (maximum discrepancy 0.001, confined to the single case per construct sitting exactly at the calibration crossover); the 64-row truth table under the corrected retention rule for each branch; every necessity and sufficiency parameter for all six conditions and their negations; and all twelve Boolean-minimization solutions (complex, parsimonious, intermediate × four branches). Table 3 summarizes the outcome.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2000"/>
        <w:gridCol w:w="2000"/>
      </w:tblGrid>
      <w:tr>
        <w:trPr>
          <w:tblHeader/>
        </w:trPr>
        <w:tc>
          <w:tcPr>
            <w:tcW w:type="dxa" w:w="3300"/>
            <w:shd w:fill="D9D9D9" w:color="auto" w:val="clear"/>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Branch</w:t>
            </w:r>
          </w:p>
        </w:tc>
        <w:tc>
          <w:tcPr>
            <w:tcW w:type="dxa" w:w="2000"/>
            <w:shd w:fill="D9D9D9" w:color="auto" w:val="clear"/>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Necessity / sufficiency</w:t>
            </w:r>
          </w:p>
        </w:tc>
        <w:tc>
          <w:tcPr>
            <w:tcW w:type="dxa" w:w="2000"/>
            <w:shd w:fill="D9D9D9" w:color="auto" w:val="clear"/>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Truth table</w:t>
            </w:r>
          </w:p>
        </w:tc>
        <w:tc>
          <w:tcPr>
            <w:tcW w:type="dxa" w:w="2000"/>
            <w:shd w:fill="D9D9D9" w:color="auto" w:val="clear"/>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Minimization</w:t>
            </w:r>
          </w:p>
        </w:tc>
      </w:tr>
      <w:tr>
        <w:tc>
          <w:tcPr>
            <w:tcW w:type="dxa" w:w="3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Percentile – SCR</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 (7 retained)</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 (5 terms)</w:t>
            </w:r>
          </w:p>
        </w:tc>
      </w:tr>
      <w:tr>
        <w:tc>
          <w:tcPr>
            <w:tcW w:type="dxa" w:w="3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Percentile – ∼SCR</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 (8 retained)</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 (2 tied covers)</w:t>
            </w:r>
          </w:p>
        </w:tc>
      </w:tr>
      <w:tr>
        <w:tc>
          <w:tcPr>
            <w:tcW w:type="dxa" w:w="3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Rubric – SCR</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 (11 retained)</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 (2 tied covers)</w:t>
            </w:r>
          </w:p>
        </w:tc>
      </w:tr>
      <w:tr>
        <w:tc>
          <w:tcPr>
            <w:tcW w:type="dxa" w:w="3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Rubric – ∼SCR</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 (2 retained)</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 (1 term)</w:t>
            </w:r>
          </w:p>
        </w:tc>
      </w:tr>
    </w:tbl>
    <w:p>
      <w:pPr>
        <w:spacing w:before="160"/>
      </w:pPr>
      <w:r>
        <w:rPr>
          <w:rFonts w:ascii="Cambria" w:cs="Cambria" w:eastAsia="Cambria" w:hAnsi="Cambria"/>
          <w:sz w:val="22"/>
          <w:szCs w:val="22"/>
        </w:rPr>
        <w:t xml:space="preserve">Every reproduced figure matched the original calculation to at least three decimal places, including the two branches where Petrick's method returned two equally minimal complex solutions rather than one — R recovered the identical pair of prime-implicant sets in both cases, differing only in which tied solution was arbitrarily labelled “M1” versus “M2.” No calculation in the project required correction as a result of this check. The verification instead confirms that the spreadsheet formulas, the offline Python minimization, and a standard, independently authored statistical package agree on every reported figure.</w:t>
      </w:r>
    </w:p>
    <w:p>
      <w:pPr>
        <w:pStyle w:val="Heading1"/>
        <w:spacing w:after="140" w:before="320"/>
      </w:pPr>
      <w:r>
        <w:t xml:space="preserve">8. Scope of the Verification</w:t>
      </w:r>
    </w:p>
    <w:p>
      <w:pPr>
        <w:spacing w:after="160"/>
      </w:pPr>
      <w:r>
        <w:rPr>
          <w:rFonts w:ascii="Cambria" w:cs="Cambria" w:eastAsia="Cambria" w:hAnsi="Cambria"/>
          <w:sz w:val="22"/>
          <w:szCs w:val="22"/>
        </w:rPr>
        <w:t xml:space="preserve">Two points bound what this verification does and does not establish. First, reproducing a calculation in a second, independent software environment confirms that the arithmetic was carried out correctly according to the formulas in Sections 3–6; it cannot confirm that those formulas are the right ones for the substantive question, nor can it validate the underlying construct scores themselves (Section 1's provenance note). Second, percentile-anchor calibration is itself sample-dependent by construction: the 5th/50th/95th percentiles are recomputed from this panel's own distribution, so the resulting fuzzy scores — and everything downstream of them — would shift somewhat if the panel changed. The rubric-anchor calibration, using the fixed 1/2/3 scale, does not have this property, which is the principal reason both calibrations were carried through the full pipeline in parallel rather than treating one as a robustness check on the other.</w:t>
      </w:r>
    </w:p>
    <w:p>
      <w:pPr>
        <w:pStyle w:val="Heading1"/>
        <w:spacing w:after="140" w:before="320"/>
      </w:pPr>
      <w:r>
        <w:t xml:space="preserve">9. Summary</w:t>
      </w:r>
    </w:p>
    <w:p>
      <w:pPr>
        <w:spacing w:after="160"/>
      </w:pPr>
      <w:r>
        <w:rPr>
          <w:rFonts w:ascii="Cambria" w:cs="Cambria" w:eastAsia="Cambria" w:hAnsi="Cambria"/>
          <w:sz w:val="22"/>
          <w:szCs w:val="22"/>
        </w:rPr>
        <w:t xml:space="preserve">This project's empirical claims rest on a four-stage fsQCA pipeline — direct-method log-odds calibration, threshold-based truth-table construction, fuzzy-set necessity analysis, and Quine–McCluskey/Petrick Boolean minimization — applied twice (percentile and rubric calibration) and to both the outcome and its negation. Because every stage is a documented, closed-form calculation rather than a fitted statistical model, it was possible to reproduce the entire pipeline independently in a second software environment; that reproduction returned the same numbers throughout, which is the strongest form of computational verification available for a project of this kind.</w:t>
      </w:r>
    </w:p>
    <w:p>
      <w:pPr>
        <w:pStyle w:val="Heading1"/>
        <w:spacing w:after="140" w:before="320"/>
      </w:pPr>
      <w:r>
        <w:t xml:space="preserve">References</w:t>
      </w:r>
    </w:p>
    <w:p>
      <w:pPr>
        <w:spacing w:after="100"/>
        <w:ind w:left="360" w:hanging="360"/>
      </w:pPr>
      <w:r>
        <w:rPr>
          <w:rFonts w:ascii="Cambria" w:cs="Cambria" w:eastAsia="Cambria" w:hAnsi="Cambria"/>
          <w:sz w:val="20"/>
          <w:szCs w:val="20"/>
        </w:rPr>
        <w:t xml:space="preserve">Duşa, A. (2019). QCA with R: A Comprehensive Resource. Springer International Publishing.</w:t>
      </w:r>
    </w:p>
    <w:p>
      <w:pPr>
        <w:spacing w:after="100"/>
        <w:ind w:left="360" w:hanging="360"/>
      </w:pPr>
      <w:r>
        <w:rPr>
          <w:rFonts w:ascii="Cambria" w:cs="Cambria" w:eastAsia="Cambria" w:hAnsi="Cambria"/>
          <w:sz w:val="20"/>
          <w:szCs w:val="20"/>
        </w:rPr>
        <w:t xml:space="preserve">Fiss, P. C. (2011). Building better causal theories: A fuzzy set approach to typologies in organization research. Academy of Management Journal, 54(2), 393–420.</w:t>
      </w:r>
    </w:p>
    <w:p>
      <w:pPr>
        <w:spacing w:after="100"/>
        <w:ind w:left="360" w:hanging="360"/>
      </w:pPr>
      <w:r>
        <w:rPr>
          <w:rFonts w:ascii="Cambria" w:cs="Cambria" w:eastAsia="Cambria" w:hAnsi="Cambria"/>
          <w:sz w:val="20"/>
          <w:szCs w:val="20"/>
        </w:rPr>
        <w:t xml:space="preserve">Pappas, I. O., &amp; Woodside, A. G. (2021). Fuzzy-set Qualitative Comparative Analysis (fsQCA): Guidelines for research practice in Information Systems and marketing. International Journal of Information Management, 58, 102310.</w:t>
      </w:r>
    </w:p>
    <w:p>
      <w:pPr>
        <w:spacing w:after="100"/>
        <w:ind w:left="360" w:hanging="360"/>
      </w:pPr>
      <w:r>
        <w:rPr>
          <w:rFonts w:ascii="Cambria" w:cs="Cambria" w:eastAsia="Cambria" w:hAnsi="Cambria"/>
          <w:sz w:val="20"/>
          <w:szCs w:val="20"/>
        </w:rPr>
        <w:t xml:space="preserve">Ragin, C. C. (2006). Set relations in social research: Evaluating their consistency and coverage. Political Analysis, 14(3), 291–310.</w:t>
      </w:r>
    </w:p>
    <w:p>
      <w:pPr>
        <w:spacing w:after="100"/>
        <w:ind w:left="360" w:hanging="360"/>
      </w:pPr>
      <w:r>
        <w:rPr>
          <w:rFonts w:ascii="Cambria" w:cs="Cambria" w:eastAsia="Cambria" w:hAnsi="Cambria"/>
          <w:sz w:val="20"/>
          <w:szCs w:val="20"/>
        </w:rPr>
        <w:t xml:space="preserve">Ragin, C. C. (2008). Redesigning Social Inquiry: Fuzzy Sets and Beyond. University of Chicago Press.</w:t>
      </w:r>
    </w:p>
    <w:p>
      <w:pPr>
        <w:spacing w:after="100"/>
        <w:ind w:left="360" w:hanging="360"/>
      </w:pPr>
      <w:r>
        <w:rPr>
          <w:rFonts w:ascii="Cambria" w:cs="Cambria" w:eastAsia="Cambria" w:hAnsi="Cambria"/>
          <w:sz w:val="20"/>
          <w:szCs w:val="20"/>
        </w:rPr>
        <w:t xml:space="preserve">Schneider, C. Q., &amp; Wagemann, C. (2012). Set-Theoretic Methods for the Social Sciences: A Guide to Qualitative Comparative Analysis. Cambridge University Press.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2026-09-26T04:28:51.703Z</dcterms:created>
  <dcterms:modified xsi:type="dcterms:W3CDTF">2026-09-26T04:28:51.703Z</dcterms:modified>
</cp:coreProperties>
</file>

<file path=docProps/custom.xml><?xml version="1.0" encoding="utf-8"?>
<Properties xmlns="http://schemas.openxmlformats.org/officeDocument/2006/custom-properties" xmlns:vt="http://schemas.openxmlformats.org/officeDocument/2006/docPropsVTypes"/>
</file>