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Fuzzy-Set Qualitative Comparative Analysis (fsQCA)</w:t>
      </w:r>
    </w:p>
    <w:p>
      <w:pPr>
        <w:pStyle w:val="Heading2"/>
        <w:spacing w:after="300"/>
      </w:pPr>
      <w:r>
        <w:rPr>
          <w:i/>
          <w:iCs/>
        </w:rPr>
        <w:t xml:space="preserve">Truth Table — Corrected, Firm-Level Dataset (Illustrative)</w:t>
      </w:r>
    </w:p>
    <w:p>
      <w:pPr>
        <w:pStyle w:val="Heading1"/>
        <w:spacing w:after="140" w:before="280"/>
      </w:pPr>
      <w:r>
        <w:t xml:space="preserve">0. Important Notice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This truth table is built from the corrected dataset that contains SIMULATED values for 5 of 6 conditions and for the outcome (see fsQCA_Corrected_Dataset.xlsx, 'Read Me' tab). It demonstrates how the truth table behaves once the pseudo-replication and low-diversity problems are fixed — it is NOT a set of real empirical findings and should not be reported as such in a paper.</w:t>
      </w:r>
    </w:p>
    <w:p>
      <w:pPr>
        <w:pStyle w:val="Heading1"/>
        <w:spacing w:after="140" w:before="280"/>
      </w:pPr>
      <w:r>
        <w:t xml:space="preserve">1. Case Structure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Cases = 25 firm-level observations (one per firm, restructured from the original 125 firm-year rows). One case (Skyworks Solutions) had a fuzzy score of exactly 0.500 on Supplier Collaboration; this was jittered to 0.501 (standard tie-breaking practice) so every case is assignable to a truth-table corner.</w:t>
      </w:r>
    </w:p>
    <w:p>
      <w:pPr>
        <w:pStyle w:val="Heading1"/>
        <w:spacing w:after="140" w:before="280"/>
      </w:pPr>
      <w:r>
        <w:t xml:space="preserve">2. Truth Table — Empirically Observed Configurations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Of the 64 logically possible configurations, 11 are empirically observed (up from 8 in the original firm-year table, and representing 11 of the now more differentiated 25 firm profiles, up from 5 distinct profiles previously). The remaining 53 are logical remainders. No single configuration accounts for more than 5 of the 25 cases, compared with 52 of 125 (and dominance by just 2 configurations) in the original.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Gov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Cap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Sus.Sourcing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Dig.Visibility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Supp.Collab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Supp.Divers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Cons.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 Cons.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0.563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t xml:space="preserve">3. Configurations Meeting Retention Criteria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Applying frequency ≥ 2 and raw consistency ≥ 0.80: only 1 configuration meets both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Gov=1, AI Cap=1, Sus.Sourcing=0, Dig.Visibility=1, Supp.Collab=1, Supp.Divers=0  →  freq=2, raw consistency=0.832, PRI=0.563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Note: several other configurations (freq 3–5) sit just under the 0.80 raw-consistency line (0.552–0.770). With real data and a genuinely larger sample of firms, more configurations would likely clear the threshold; here, n=25 firms and simulated noise limit how many can. This is expected and appropriate — the point of the correction was to fix pseudo-replication and diversity, not to manufacture retained configurations.</w:t>
      </w:r>
    </w:p>
    <w:p>
      <w:pPr>
        <w:pStyle w:val="Heading1"/>
        <w:spacing w:after="140" w:before="280"/>
      </w:pPr>
      <w:r>
        <w:t xml:space="preserve">4. Complete Truth Table — All 64 Configurations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Grey-shaded rows are logical remainders (frequency = 0); their consistency values are computed on hypothetical fuzzy overlap only and are not empirically meaningful.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Gov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Cap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Sus.Sourcing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Dig.Visibility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Supp.Collab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Supp.Divers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Cons.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 Cons.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0.563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0.576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0.482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0.482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0.855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0.482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0.437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0.463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0.463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0.437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0.463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0.566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0.566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0.566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0.575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0.518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0.379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0.461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0.380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0.474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t xml:space="preserve">5. Comparison with Original Truth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Empirically observed configurations: 8/64 (original, n=125 firm-years) → 11/64 (corrected, n=25 firms)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Distinct real firm profiles: 5/25 (original) → 11/25 (corrected, all cases now individually meaningful since n=25=cases)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Largest configuration's share of sample: 52/125 = 42% (original) → 5/25 = 20% (corrected)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Pseudo-replication: eliminated — every case is now one independent firm, not a repeated firm-year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2026-09-19T08:52:43.684Z</dcterms:created>
  <dcterms:modified xsi:type="dcterms:W3CDTF">2026-09-19T08:52:43.692Z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