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fsQCA with a Time Dimension</w:t>
      </w:r>
    </w:p>
    <w:p>
      <w:pPr>
        <w:pStyle w:val="Heading2"/>
        <w:spacing w:after="300"/>
      </w:pPr>
      <w:r>
        <w:rPr>
          <w:i/>
          <w:iCs/>
        </w:rPr>
        <w:t xml:space="preserve">10-Year Panel (2015–2024), 25 Firms × 10 Years — Simulated, Illustrative</w:t>
      </w:r>
    </w:p>
    <w:p>
      <w:pPr>
        <w:pStyle w:val="Heading1"/>
        <w:spacing w:after="140" w:before="280"/>
      </w:pPr>
      <w:r>
        <w:t xml:space="preserve">0. Important Notice</w:t>
      </w:r>
    </w:p>
    <w:p>
      <w:pPr>
        <w:spacing w:after="160"/>
      </w:pPr>
      <w:r>
        <w:rPr>
          <w:b/>
          <w:bCs/>
          <w:i w:val="false"/>
          <w:iCs w:val="false"/>
        </w:rPr>
        <w:t xml:space="preserve">All values in this panel are SIMULATED to demonstrate how time can be integrated into fsQCA when conditions genuinely change year to year. This is a methodological illustration, not real empirical findings — do not cite these numbers in a paper.</w:t>
      </w:r>
    </w:p>
    <w:p>
      <w:pPr>
        <w:pStyle w:val="Heading1"/>
        <w:spacing w:after="140" w:before="280"/>
      </w:pPr>
      <w:r>
        <w:t xml:space="preserve">1. Design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Cases = 25 firms × 10 years (2015–2024) = 250 firm-year observations. Unlike the earlier dataset, all six conditions now carry genuine year-to-year movement (S-curve or linear growth trends, firm-specific adoption speed, and random noise), so firm-years are no longer near-duplicates of each other. The outcome (Supply Chain Resilience) follows a rising secular trend with a COVID-era dip (2020–2021) before recovering to new highs, with firms that had higher AI Capability at the time of the shock recovering faster.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Calibration uses theory-based anchors (pooled sample mean ± 1.5 SD across all 250 cases), so the same yardstick applies to every year — which is what allows the two period-specific tables below to be compared on equal footing.</w:t>
      </w:r>
    </w:p>
    <w:p>
      <w:pPr>
        <w:pStyle w:val="Heading1"/>
        <w:spacing w:after="140" w:before="280"/>
      </w:pPr>
      <w:r>
        <w:t xml:space="preserve">2. Presence Rate by Year (share of firms coded 1)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Across all six conditions, the share of firms coded 'present' rises from ~0% in 2015–2018, crosses 50% in 2020–2021, and saturates near 100% by 2022 — directly reflecting the COVID-era acceleration of AI/digital adoption built into the design.</w:t>
      </w:r>
    </w:p>
    <w:p>
      <w:pPr>
        <w:pStyle w:val="Heading1"/>
        <w:spacing w:after="140" w:before="280"/>
      </w:pPr>
      <w:r>
        <w:t xml:space="preserve">3. Truth Table — Full Panel (2015–2024, n=250)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27 of 64 configurations empirically observed; 13 meet frequency ≥ 2 and raw consistency ≥ 0.80. Top configurations shown below (by frequency).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780"/>
        <w:gridCol w:w="780"/>
        <w:gridCol w:w="780"/>
        <w:gridCol w:w="780"/>
        <w:gridCol w:w="1000"/>
        <w:gridCol w:w="1000"/>
        <w:gridCol w:w="1000"/>
        <w:gridCol w:w="900"/>
        <w:gridCol w:w="900"/>
      </w:tblGrid>
      <w:tr>
        <w:trPr>
          <w:tblHeader/>
        </w:trPr>
        <w:tc>
          <w:tcPr>
            <w:tcW w:type="dxa" w:w="78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AI Gov</w:t>
            </w:r>
          </w:p>
        </w:tc>
        <w:tc>
          <w:tcPr>
            <w:tcW w:type="dxa" w:w="78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AI Cap</w:t>
            </w:r>
          </w:p>
        </w:tc>
        <w:tc>
          <w:tcPr>
            <w:tcW w:type="dxa" w:w="78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Sus.Sourcing</w:t>
            </w:r>
          </w:p>
        </w:tc>
        <w:tc>
          <w:tcPr>
            <w:tcW w:type="dxa" w:w="78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Dig.Visibility</w:t>
            </w:r>
          </w:p>
        </w:tc>
        <w:tc>
          <w:tcPr>
            <w:tcW w:type="dxa" w:w="78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Supp.Collab</w:t>
            </w:r>
          </w:p>
        </w:tc>
        <w:tc>
          <w:tcPr>
            <w:tcW w:type="dxa" w:w="78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Supp.Divers</w:t>
            </w:r>
          </w:p>
        </w:tc>
        <w:tc>
          <w:tcPr>
            <w:tcW w:type="dxa" w:w="100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Freq.</w:t>
            </w:r>
          </w:p>
        </w:tc>
        <w:tc>
          <w:tcPr>
            <w:tcW w:type="dxa" w:w="100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Raw Cons.</w:t>
            </w:r>
          </w:p>
        </w:tc>
        <w:tc>
          <w:tcPr>
            <w:tcW w:type="dxa" w:w="100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 Cons.</w:t>
            </w:r>
          </w:p>
        </w:tc>
        <w:tc>
          <w:tcPr>
            <w:tcW w:type="dxa" w:w="90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Empirical</w:t>
            </w:r>
          </w:p>
        </w:tc>
        <w:tc>
          <w:tcPr>
            <w:tcW w:type="dxa" w:w="90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Retained</w:t>
            </w:r>
          </w:p>
        </w:tc>
      </w:tr>
      <w:tr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0.940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0.921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0.741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0.868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0.590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0.816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0.134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0.942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0.802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0.834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0.194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1"/>
        <w:spacing w:after="140" w:before="280"/>
      </w:pPr>
      <w:r>
        <w:t xml:space="preserve">4. Truth Table — Early Period (2015–2019, n=125)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12 of 64 configurations observed; 5 retained. The dominant configuration is "all conditions absent" (68% of early cases), reflecting the pre-AI-adoption era.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780"/>
        <w:gridCol w:w="780"/>
        <w:gridCol w:w="780"/>
        <w:gridCol w:w="780"/>
        <w:gridCol w:w="1000"/>
        <w:gridCol w:w="1000"/>
        <w:gridCol w:w="1000"/>
        <w:gridCol w:w="900"/>
        <w:gridCol w:w="900"/>
      </w:tblGrid>
      <w:tr>
        <w:trPr>
          <w:tblHeader/>
        </w:trPr>
        <w:tc>
          <w:tcPr>
            <w:tcW w:type="dxa" w:w="78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AI Gov</w:t>
            </w:r>
          </w:p>
        </w:tc>
        <w:tc>
          <w:tcPr>
            <w:tcW w:type="dxa" w:w="78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AI Cap</w:t>
            </w:r>
          </w:p>
        </w:tc>
        <w:tc>
          <w:tcPr>
            <w:tcW w:type="dxa" w:w="78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Sus.Sourcing</w:t>
            </w:r>
          </w:p>
        </w:tc>
        <w:tc>
          <w:tcPr>
            <w:tcW w:type="dxa" w:w="78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Dig.Visibility</w:t>
            </w:r>
          </w:p>
        </w:tc>
        <w:tc>
          <w:tcPr>
            <w:tcW w:type="dxa" w:w="78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Supp.Collab</w:t>
            </w:r>
          </w:p>
        </w:tc>
        <w:tc>
          <w:tcPr>
            <w:tcW w:type="dxa" w:w="78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Supp.Divers</w:t>
            </w:r>
          </w:p>
        </w:tc>
        <w:tc>
          <w:tcPr>
            <w:tcW w:type="dxa" w:w="100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Freq.</w:t>
            </w:r>
          </w:p>
        </w:tc>
        <w:tc>
          <w:tcPr>
            <w:tcW w:type="dxa" w:w="100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Raw Cons.</w:t>
            </w:r>
          </w:p>
        </w:tc>
        <w:tc>
          <w:tcPr>
            <w:tcW w:type="dxa" w:w="100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 Cons.</w:t>
            </w:r>
          </w:p>
        </w:tc>
        <w:tc>
          <w:tcPr>
            <w:tcW w:type="dxa" w:w="90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Empirical</w:t>
            </w:r>
          </w:p>
        </w:tc>
        <w:tc>
          <w:tcPr>
            <w:tcW w:type="dxa" w:w="90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Retained</w:t>
            </w:r>
          </w:p>
        </w:tc>
      </w:tr>
      <w:tr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0.369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0.023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0.804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0.090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0.713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0.012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0.857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0.205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0.087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0.972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0.428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0.929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0.101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0.886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0.115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</w:tbl>
    <w:p>
      <w:pPr>
        <w:pStyle w:val="Heading1"/>
        <w:spacing w:after="140" w:before="280"/>
      </w:pPr>
      <w:r>
        <w:t xml:space="preserve">5. Truth Table — Late Period (2020–2024, n=125)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20 of 64 configurations observed; 6 retained. The dominant configuration flips to "all conditions present" (63% of late cases), with strong consistency (raw 0.934, PRI 0.927).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780"/>
        <w:gridCol w:w="780"/>
        <w:gridCol w:w="780"/>
        <w:gridCol w:w="780"/>
        <w:gridCol w:w="1000"/>
        <w:gridCol w:w="1000"/>
        <w:gridCol w:w="1000"/>
        <w:gridCol w:w="900"/>
        <w:gridCol w:w="900"/>
      </w:tblGrid>
      <w:tr>
        <w:trPr>
          <w:tblHeader/>
        </w:trPr>
        <w:tc>
          <w:tcPr>
            <w:tcW w:type="dxa" w:w="78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AI Gov</w:t>
            </w:r>
          </w:p>
        </w:tc>
        <w:tc>
          <w:tcPr>
            <w:tcW w:type="dxa" w:w="78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AI Cap</w:t>
            </w:r>
          </w:p>
        </w:tc>
        <w:tc>
          <w:tcPr>
            <w:tcW w:type="dxa" w:w="78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Sus.Sourcing</w:t>
            </w:r>
          </w:p>
        </w:tc>
        <w:tc>
          <w:tcPr>
            <w:tcW w:type="dxa" w:w="78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Dig.Visibility</w:t>
            </w:r>
          </w:p>
        </w:tc>
        <w:tc>
          <w:tcPr>
            <w:tcW w:type="dxa" w:w="78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Supp.Collab</w:t>
            </w:r>
          </w:p>
        </w:tc>
        <w:tc>
          <w:tcPr>
            <w:tcW w:type="dxa" w:w="78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Supp.Divers</w:t>
            </w:r>
          </w:p>
        </w:tc>
        <w:tc>
          <w:tcPr>
            <w:tcW w:type="dxa" w:w="100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Freq.</w:t>
            </w:r>
          </w:p>
        </w:tc>
        <w:tc>
          <w:tcPr>
            <w:tcW w:type="dxa" w:w="100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Raw Cons.</w:t>
            </w:r>
          </w:p>
        </w:tc>
        <w:tc>
          <w:tcPr>
            <w:tcW w:type="dxa" w:w="100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 Cons.</w:t>
            </w:r>
          </w:p>
        </w:tc>
        <w:tc>
          <w:tcPr>
            <w:tcW w:type="dxa" w:w="90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Empirical</w:t>
            </w:r>
          </w:p>
        </w:tc>
        <w:tc>
          <w:tcPr>
            <w:tcW w:type="dxa" w:w="900"/>
            <w:shd w:fill="2E4057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Retained</w:t>
            </w:r>
          </w:p>
        </w:tc>
      </w:tr>
      <w:tr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0.934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0.927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0.825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0.627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0.920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0.815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0.888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0.728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0.787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0.336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0.898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0.727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0.809</w:t>
            </w:r>
          </w:p>
        </w:tc>
        <w:tc>
          <w:tcPr>
            <w:tcW w:type="dxa" w:w="10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0.353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shd w:fill="D9EAD3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0.770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0.174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1"/>
        <w:spacing w:after="140" w:before="280"/>
      </w:pPr>
      <w:r>
        <w:t xml:space="preserve">6. What This Comparison Shows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Pre-2020: firms were overwhelmingly configured as 'all conditions absent,' and this configuration was NOT a consistent path to high resilience (raw consistency 0.37–0.43) — resilience outcomes were mixed/inconsistent regardless.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Post-2020: firms shifted overwhelmingly to 'all conditions present,' and this configuration became a highly consistent sufficient path to high resilience (raw consistency ~0.93–0.94, PRI ~0.92–0.93).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is the pattern your narrative describes: AI/digital/collaborative capability adoption accelerated after 2020, and once adopted in combination, it became a reliable driver of supply chain resilience — a relationship that was neither present nor visible in the pre-2020 configuration.</w:t>
      </w:r>
    </w:p>
    <w:p>
      <w:pPr>
        <w:spacing w:after="160"/>
      </w:pPr>
      <w:r>
        <w:rPr>
          <w:b w:val="false"/>
          <w:bCs w:val="false"/>
          <w:i/>
          <w:iCs/>
        </w:rPr>
        <w:t xml:space="preserve">Caveat: 250 firm-years from 25 firms are not fully independent observations (each firm contributes 10 correlated years). If pursuing this design for real research, report this as a limitation and consider a robustness check such as re-running the truth table on one randomly selected year per firm.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2026-09-19T09:06:08.471Z</dcterms:created>
  <dcterms:modified xsi:type="dcterms:W3CDTF">2026-09-19T09:06:08.480Z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