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  <w:jc w:val="left"/>
      </w:pPr>
      <w:r>
        <w:rPr>
          <w:color w:val="1F4E79"/>
        </w:rPr>
        <w:t xml:space="preserve">AI Capability &amp; Semiconductor Supply Chain Resilience</w:t>
      </w:r>
    </w:p>
    <w:p>
      <w:pPr>
        <w:spacing w:after="60"/>
      </w:pPr>
      <w:r>
        <w:rPr>
          <w:i/>
          <w:iCs/>
          <w:color w:val="595959"/>
          <w:sz w:val="22"/>
          <w:szCs w:val="22"/>
        </w:rPr>
        <w:t xml:space="preserve">fsQCA Project Summary — Method, Formulas, Status</w:t>
      </w:r>
    </w:p>
    <w:p>
      <w:pPr>
        <w:spacing w:after="200"/>
      </w:pPr>
      <w:r>
        <w:rPr>
          <w:b/>
          <w:bCs/>
          <w:color w:val="595959"/>
          <w:sz w:val="18"/>
          <w:szCs w:val="18"/>
        </w:rPr>
        <w:t xml:space="preserve">Legend: </w:t>
      </w:r>
      <w:r>
        <w:rPr>
          <w:b/>
          <w:bCs/>
          <w:color w:val="C00000"/>
          <w:sz w:val="18"/>
          <w:szCs w:val="18"/>
        </w:rPr>
        <w:t xml:space="preserve">Issue</w:t>
      </w:r>
      <w:r>
        <w:rPr>
          <w:color w:val="595959"/>
          <w:sz w:val="18"/>
          <w:szCs w:val="18"/>
        </w:rPr>
        <w:t xml:space="preserve"> = a limitation in the current work.  </w:t>
      </w:r>
      <w:r>
        <w:rPr>
          <w:b/>
          <w:bCs/>
          <w:color w:val="375623"/>
          <w:sz w:val="18"/>
          <w:szCs w:val="18"/>
        </w:rPr>
        <w:t xml:space="preserve">Add</w:t>
      </w:r>
      <w:r>
        <w:rPr>
          <w:color w:val="595959"/>
          <w:sz w:val="18"/>
          <w:szCs w:val="18"/>
        </w:rPr>
        <w:t xml:space="preserve"> = a next step to strengthen it.</w:t>
      </w:r>
    </w:p>
    <w:p>
      <w:pPr>
        <w:pBdr>
          <w:bottom w:val="single" w:color="D9D9D9" w:sz="4"/>
        </w:pBdr>
        <w:spacing w:after="200" w:before="60"/>
      </w:pPr>
    </w:p>
    <w:p>
      <w:pPr>
        <w:pStyle w:val="Heading2"/>
        <w:spacing w:after="80" w:before="220"/>
      </w:pPr>
      <w:r>
        <w:rPr>
          <w:b/>
          <w:bCs/>
          <w:color w:val="1F4E79"/>
        </w:rPr>
        <w:t xml:space="preserve">1. </w:t>
      </w:r>
      <w:r>
        <w:rPr>
          <w:b/>
          <w:bCs/>
          <w:color w:val="1F4E79"/>
        </w:rPr>
        <w:t xml:space="preserve">Research Design</w:t>
      </w:r>
    </w:p>
    <w:p>
      <w:pPr>
        <w:spacing w:after="100"/>
      </w:pPr>
      <w:r>
        <w:rPr>
          <w:sz w:val="21"/>
          <w:szCs w:val="21"/>
        </w:rPr>
        <w:t xml:space="preserve">The study asks how AI capability, AI governance, sustainable sourcing, digital visibility, supplier collaboration and supplier diversification combine to produce supply chain resilience (SCR) in semiconductor firms. It uses fuzzy-set Qualitative Comparative Analysis (fsQCA), a configurational method that tests combinations of conditions rather than isolated effects.</w:t>
      </w:r>
    </w:p>
    <w:p>
      <w:pPr>
        <w:spacing w:after="40" w:before="100"/>
      </w:pPr>
      <w:r>
        <w:rPr>
          <w:b/>
          <w:bCs/>
          <w:i/>
          <w:iCs/>
          <w:color w:val="404040"/>
          <w:sz w:val="20"/>
          <w:szCs w:val="20"/>
        </w:rPr>
        <w:t xml:space="preserve">Six conditions, one outcome</w:t>
      </w:r>
    </w:p>
    <w:p>
      <w:pPr>
        <w:spacing w:after="100"/>
      </w:pPr>
      <w:r>
        <w:rPr>
          <w:sz w:val="21"/>
          <w:szCs w:val="21"/>
        </w:rPr>
        <w:t xml:space="preserve">AICAP, AIGOV, SUSSRC, DIGVIS, SUPCOLL, SUPDIV → SCR. Sample: 35 semiconductor firms (USA, Taiwan, South Korea, Singapore) × 3 fiscal years (2023–2025) = 105 firm-year cases.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C00000"/>
          <w:sz w:val="20"/>
          <w:szCs w:val="20"/>
        </w:rPr>
        <w:t xml:space="preserve">Issue: </w:t>
      </w:r>
      <w:r>
        <w:rPr>
          <w:sz w:val="20"/>
          <w:szCs w:val="20"/>
        </w:rPr>
        <w:t xml:space="preserve">The draft manuscript still describes 120 firms and five conditions, and claims sustainable sourcing is necessary at 0.91. Neither matches the workbook (35 firms, six conditions, no necessary condition).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375623"/>
          <w:sz w:val="20"/>
          <w:szCs w:val="20"/>
        </w:rPr>
        <w:t xml:space="preserve">Add: </w:t>
      </w:r>
      <w:r>
        <w:rPr>
          <w:sz w:val="20"/>
          <w:szCs w:val="20"/>
        </w:rPr>
        <w:t xml:space="preserve">Rewrite the theory and hypotheses section around the six conditions and the actual sample before drafting results.</w:t>
      </w:r>
    </w:p>
    <w:p>
      <w:pPr>
        <w:pStyle w:val="Heading2"/>
        <w:spacing w:after="80" w:before="220"/>
      </w:pPr>
      <w:r>
        <w:rPr>
          <w:b/>
          <w:bCs/>
          <w:color w:val="1F4E79"/>
        </w:rPr>
        <w:t xml:space="preserve">2. </w:t>
      </w:r>
      <w:r>
        <w:rPr>
          <w:b/>
          <w:bCs/>
          <w:color w:val="1F4E79"/>
        </w:rPr>
        <w:t xml:space="preserve">Dataset and Data Quality</w:t>
      </w:r>
    </w:p>
    <w:p>
      <w:pPr>
        <w:spacing w:after="100"/>
      </w:pPr>
      <w:r>
        <w:rPr>
          <w:sz w:val="21"/>
          <w:szCs w:val="21"/>
        </w:rPr>
        <w:t xml:space="preserve">Each firm-construct-year cell is scored 0–4 and tagged Observed, Estimated or Simulated. Observed cells come from 55 cited sources (29 of 35 firms have at least one); Estimated cells are trended from an Observed anchor; Simulated cells use subsector/country norms only.</w:t>
      </w:r>
    </w:p>
    <w:p>
      <w:pPr>
        <w:pBdr>
          <w:left w:val="single" w:color="B7B7B7" w:sz="12" w:space="8"/>
        </w:pBdr>
        <w:spacing w:after="120" w:before="60"/>
        <w:ind w:left="431"/>
      </w:pPr>
      <w:r>
        <w:rPr>
          <w:rFonts w:ascii="Cambria Math" w:cs="Cambria Math" w:eastAsia="Cambria Math" w:hAnsi="Cambria Math"/>
          <w:i/>
          <w:iCs/>
          <w:color w:val="3B3B3B"/>
          <w:sz w:val="21"/>
          <w:szCs w:val="21"/>
        </w:rPr>
        <w:t xml:space="preserve">raw score (2023 or 2025) = anchor(2024) ± (years-from-2024 × annual drift)</w:t>
      </w:r>
      <w:r>
        <w:br/>
        <w:t xml:space="preserve"/>
      </w:r>
      <w:r>
        <w:rPr>
          <w:rFonts w:ascii="Cambria Math" w:cs="Cambria Math" w:eastAsia="Cambria Math" w:hAnsi="Cambria Math"/>
          <w:i/>
          <w:iCs/>
          <w:color w:val="3B3B3B"/>
          <w:sz w:val="21"/>
          <w:szCs w:val="21"/>
        </w:rPr>
        <w:t xml:space="preserve">                            ± (idiosyncratic firm offset × |years-from-2024|) + noise,  clipped to [0, 4]</w:t>
      </w:r>
    </w:p>
    <w:p>
      <w:pPr>
        <w:spacing w:after="40" w:before="100"/>
      </w:pPr>
      <w:r>
        <w:rPr>
          <w:b/>
          <w:bCs/>
          <w:i/>
          <w:iCs/>
          <w:color w:val="404040"/>
          <w:sz w:val="20"/>
          <w:szCs w:val="20"/>
        </w:rPr>
        <w:t xml:space="preserve">Composition (735 construct-year cells)</w:t>
      </w:r>
    </w:p>
    <w:p>
      <w:pPr>
        <w:spacing w:after="100"/>
      </w:pPr>
      <w:r>
        <w:rPr>
          <w:sz w:val="21"/>
          <w:szCs w:val="21"/>
        </w:rPr>
        <w:t xml:space="preserve">Observed 7.8% · Estimated 15.5% · Simulated 76.7%. The outcome itself (SCR) is only 4.8% Observed.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C00000"/>
          <w:sz w:val="20"/>
          <w:szCs w:val="20"/>
        </w:rPr>
        <w:t xml:space="preserve">Issue: </w:t>
      </w:r>
      <w:r>
        <w:rPr>
          <w:sz w:val="20"/>
          <w:szCs w:val="20"/>
        </w:rPr>
        <w:t xml:space="preserve">78–93% of every condition's variance sits between firms rather than across years, so the effective sample is closer to 35 than 105. One striking year-to-year correlation (SCR–SUPCOLL change, 0.70) drops to 0.34 once the single Wolfspeed bankruptcy override is removed.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C00000"/>
          <w:sz w:val="20"/>
          <w:szCs w:val="20"/>
        </w:rPr>
        <w:t xml:space="preserve">Issue: </w:t>
      </w:r>
      <w:r>
        <w:rPr>
          <w:sz w:val="20"/>
          <w:szCs w:val="20"/>
        </w:rPr>
        <w:t xml:space="preserve">The Read Me says two of 35 firms lack any real evidence; six actually do (DB HiTek, Nanya, Novatek, Realtek, UMS, Venture). Correct this before circulating.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375623"/>
          <w:sz w:val="20"/>
          <w:szCs w:val="20"/>
        </w:rPr>
        <w:t xml:space="preserve">Add: </w:t>
      </w:r>
      <w:r>
        <w:rPr>
          <w:sz w:val="20"/>
          <w:szCs w:val="20"/>
        </w:rPr>
        <w:t xml:space="preserve">For a stronger empirical base: an independent SCR proxy (e.g., a financial resilience measure) and two-coder scoring of conditions from filings, even for a subset of firms.</w:t>
      </w:r>
    </w:p>
    <w:p>
      <w:pPr>
        <w:pStyle w:val="Heading2"/>
        <w:spacing w:after="80" w:before="220"/>
      </w:pPr>
      <w:r>
        <w:rPr>
          <w:b/>
          <w:bCs/>
          <w:color w:val="1F4E79"/>
        </w:rPr>
        <w:t xml:space="preserve">3. </w:t>
      </w:r>
      <w:r>
        <w:rPr>
          <w:b/>
          <w:bCs/>
          <w:color w:val="1F4E79"/>
        </w:rPr>
        <w:t xml:space="preserve">Calibration (Raw Scores → Fuzzy Sets)</w:t>
      </w:r>
    </w:p>
    <w:p>
      <w:pPr>
        <w:spacing w:after="100"/>
      </w:pPr>
      <w:r>
        <w:rPr>
          <w:sz w:val="21"/>
          <w:szCs w:val="21"/>
        </w:rPr>
        <w:t xml:space="preserve">Each 0–4 score is converted to a fuzzy membership between 0 and 1 using the direct (logistic) method, anchored at full non-membership (e), the crossover (c) and full membership (i).</w:t>
      </w:r>
    </w:p>
    <w:p>
      <w:pPr>
        <w:pBdr>
          <w:left w:val="single" w:color="B7B7B7" w:sz="12" w:space="8"/>
        </w:pBdr>
        <w:spacing w:after="120" w:before="60"/>
        <w:ind w:left="431"/>
      </w:pPr>
      <w:r>
        <w:rPr>
          <w:rFonts w:ascii="Cambria Math" w:cs="Cambria Math" w:eastAsia="Cambria Math" w:hAnsi="Cambria Math"/>
          <w:i/>
          <w:iCs/>
          <w:color w:val="3B3B3B"/>
          <w:sz w:val="21"/>
          <w:szCs w:val="21"/>
        </w:rPr>
        <w:t xml:space="preserve">μ(x) = 1 / (1 + exp( −ln(19) × L(x) )),   L(x) = (x−c)/(i−c) if x ≥ c,  else (x−c)/(c−e)</w:t>
      </w:r>
      <w:r>
        <w:br/>
        <w:t xml:space="preserve"/>
      </w:r>
      <w:r>
        <w:rPr>
          <w:rFonts w:ascii="Cambria Math" w:cs="Cambria Math" w:eastAsia="Cambria Math" w:hAnsi="Cambria Math"/>
          <w:i/>
          <w:iCs/>
          <w:color w:val="3B3B3B"/>
          <w:sz w:val="21"/>
          <w:szCs w:val="21"/>
        </w:rPr>
        <w:t xml:space="preserve">ln(19) = ln(0.95/0.05) ≈ 2.944;   a case exactly at c is set to μ = 0.501, not 0.5</w:t>
      </w:r>
    </w:p>
    <w:p>
      <w:pPr>
        <w:spacing w:after="100"/>
      </w:pPr>
      <w:r>
        <w:rPr>
          <w:sz w:val="21"/>
          <w:szCs w:val="21"/>
        </w:rPr>
        <w:t xml:space="preserve">Two anchor sets were tested: percentile (5th/50th/95th) — the delivered calibration — and rubric-anchored (1 / 2 / 3 on the 0–4 scale: very limited / moderate / substantial).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C00000"/>
          <w:sz w:val="20"/>
          <w:szCs w:val="20"/>
        </w:rPr>
        <w:t xml:space="preserve">Issue: </w:t>
      </w:r>
      <w:r>
        <w:rPr>
          <w:sz w:val="20"/>
          <w:szCs w:val="20"/>
        </w:rPr>
        <w:t xml:space="preserve">A median crossover forces roughly half of all cases above 0.5 in every set by construction. AIGOV's percentile crossover (1.14) sits below “moderate” on the rubric, so a firm rated very limited can still count as high.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375623"/>
          <w:sz w:val="20"/>
          <w:szCs w:val="20"/>
        </w:rPr>
        <w:t xml:space="preserve">Add: </w:t>
      </w:r>
      <w:r>
        <w:rPr>
          <w:sz w:val="20"/>
          <w:szCs w:val="20"/>
        </w:rPr>
        <w:t xml:space="preserve">Report both calibrations side by side, with the anchors justified against the rubric rather than chosen mechanically.</w:t>
      </w:r>
    </w:p>
    <w:p>
      <w:pPr>
        <w:pStyle w:val="Heading2"/>
        <w:spacing w:after="80" w:before="220"/>
      </w:pPr>
      <w:r>
        <w:rPr>
          <w:b/>
          <w:bCs/>
          <w:color w:val="1F4E79"/>
        </w:rPr>
        <w:t xml:space="preserve">4. </w:t>
      </w:r>
      <w:r>
        <w:rPr>
          <w:b/>
          <w:bCs/>
          <w:color w:val="1F4E79"/>
        </w:rPr>
        <w:t xml:space="preserve">Truth Table Construction</w:t>
      </w:r>
    </w:p>
    <w:p>
      <w:pPr>
        <w:spacing w:after="100"/>
      </w:pPr>
      <w:r>
        <w:rPr>
          <w:sz w:val="21"/>
          <w:szCs w:val="21"/>
        </w:rPr>
        <w:t xml:space="preserve">For each of the 64 logical combinations of the six conditions, cases are assigned by minimum membership; a configuration is empirical if at least one case belongs to it above 0.5.</w:t>
      </w:r>
    </w:p>
    <w:p>
      <w:pPr>
        <w:pBdr>
          <w:left w:val="single" w:color="B7B7B7" w:sz="12" w:space="8"/>
        </w:pBdr>
        <w:spacing w:after="120" w:before="60"/>
        <w:ind w:left="431"/>
      </w:pPr>
      <w:r>
        <w:rPr>
          <w:rFonts w:ascii="Cambria Math" w:cs="Cambria Math" w:eastAsia="Cambria Math" w:hAnsi="Cambria Math"/>
          <w:i/>
          <w:iCs/>
          <w:color w:val="3B3B3B"/>
          <w:sz w:val="21"/>
          <w:szCs w:val="21"/>
        </w:rPr>
        <w:t xml:space="preserve">frequency = count of cases with membership &gt; 0.5 in the configuration</w:t>
      </w:r>
      <w:r>
        <w:br/>
        <w:t xml:space="preserve"/>
      </w:r>
      <w:r>
        <w:rPr>
          <w:rFonts w:ascii="Cambria Math" w:cs="Cambria Math" w:eastAsia="Cambria Math" w:hAnsi="Cambria Math"/>
          <w:i/>
          <w:iCs/>
          <w:color w:val="3B3B3B"/>
          <w:sz w:val="21"/>
          <w:szCs w:val="21"/>
        </w:rPr>
        <w:t xml:space="preserve">raw consistency = Σ min(Xi, Yi) / Σ Xi</w:t>
      </w:r>
      <w:r>
        <w:br/>
        <w:t xml:space="preserve"/>
      </w:r>
      <w:r>
        <w:rPr>
          <w:rFonts w:ascii="Cambria Math" w:cs="Cambria Math" w:eastAsia="Cambria Math" w:hAnsi="Cambria Math"/>
          <w:i/>
          <w:iCs/>
          <w:color w:val="3B3B3B"/>
          <w:sz w:val="21"/>
          <w:szCs w:val="21"/>
        </w:rPr>
        <w:t xml:space="preserve">PRI = [ Σmin(Xi,Yi) − Σmin(Xi,Yi,1−Yi) ] / [ ΣXi − Σmin(Xi,Yi,1−Yi) ]</w:t>
      </w:r>
    </w:p>
    <w:p>
      <w:pPr>
        <w:spacing w:after="100"/>
      </w:pPr>
      <w:r>
        <w:rPr>
          <w:sz w:val="21"/>
          <w:szCs w:val="21"/>
        </w:rPr>
        <w:t xml:space="preserve">Corrected retention rule: frequency ≥ 2, at least 2 distinct firms, raw consistency ≥ 0.80, PRI ≥ 0.50.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C00000"/>
          <w:sz w:val="20"/>
          <w:szCs w:val="20"/>
        </w:rPr>
        <w:t xml:space="preserve">Issue: </w:t>
      </w:r>
      <w:r>
        <w:rPr>
          <w:sz w:val="20"/>
          <w:szCs w:val="20"/>
        </w:rPr>
        <w:t xml:space="preserve">The original workbook's rule tested frequency and raw consistency only. It retained 5 configurations with PRI as low as 0.17–0.35 — rows consistent with both SCR and its negation.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C00000"/>
          <w:sz w:val="20"/>
          <w:szCs w:val="20"/>
        </w:rPr>
        <w:t xml:space="preserve">Issue: </w:t>
      </w:r>
      <w:r>
        <w:rPr>
          <w:sz w:val="20"/>
          <w:szCs w:val="20"/>
        </w:rPr>
        <w:t xml:space="preserve">Two of the corrected rows still rest on a single firm across two years (Applied Materials; Lam Research); a distinct-firm floor of 2 removes them.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375623"/>
          <w:sz w:val="20"/>
          <w:szCs w:val="20"/>
        </w:rPr>
        <w:t xml:space="preserve">Add: </w:t>
      </w:r>
      <w:r>
        <w:rPr>
          <w:sz w:val="20"/>
          <w:szCs w:val="20"/>
        </w:rPr>
        <w:t xml:space="preserve">Reproduce the corrected truth table in fsQCA 4.0 or R QCA before reporting; test consistency ≥ 0.90 as a sensitivity check (row count is unchanged in this data).</w:t>
      </w:r>
    </w:p>
    <w:p>
      <w:pPr>
        <w:pStyle w:val="Heading2"/>
        <w:spacing w:after="80" w:before="220"/>
      </w:pPr>
      <w:r>
        <w:rPr>
          <w:b/>
          <w:bCs/>
          <w:color w:val="1F4E79"/>
        </w:rPr>
        <w:t xml:space="preserve">5. </w:t>
      </w:r>
      <w:r>
        <w:rPr>
          <w:b/>
          <w:bCs/>
          <w:color w:val="1F4E79"/>
        </w:rPr>
        <w:t xml:space="preserve">Necessity Analysis</w:t>
      </w:r>
    </w:p>
    <w:p>
      <w:pPr>
        <w:spacing w:after="100"/>
      </w:pPr>
      <w:r>
        <w:rPr>
          <w:sz w:val="21"/>
          <w:szCs w:val="21"/>
        </w:rPr>
        <w:t xml:space="preserve">Tests whether high SCR requires a condition to be present, i.e., whether the outcome is a subset of the condition.</w:t>
      </w:r>
    </w:p>
    <w:p>
      <w:pPr>
        <w:pBdr>
          <w:left w:val="single" w:color="B7B7B7" w:sz="12" w:space="8"/>
        </w:pBdr>
        <w:spacing w:after="120" w:before="60"/>
        <w:ind w:left="431"/>
      </w:pPr>
      <w:r>
        <w:rPr>
          <w:rFonts w:ascii="Cambria Math" w:cs="Cambria Math" w:eastAsia="Cambria Math" w:hAnsi="Cambria Math"/>
          <w:i/>
          <w:iCs/>
          <w:color w:val="3B3B3B"/>
          <w:sz w:val="21"/>
          <w:szCs w:val="21"/>
        </w:rPr>
        <w:t xml:space="preserve">necessity consistency = Σ min(Xi, Yi) / Σ Yi</w:t>
      </w:r>
      <w:r>
        <w:br/>
        <w:t xml:space="preserve"/>
      </w:r>
      <w:r>
        <w:rPr>
          <w:rFonts w:ascii="Cambria Math" w:cs="Cambria Math" w:eastAsia="Cambria Math" w:hAnsi="Cambria Math"/>
          <w:i/>
          <w:iCs/>
          <w:color w:val="3B3B3B"/>
          <w:sz w:val="21"/>
          <w:szCs w:val="21"/>
        </w:rPr>
        <w:t xml:space="preserve">coverage = Σ min(Xi, Yi) / Σ Xi</w:t>
      </w:r>
      <w:r>
        <w:br/>
        <w:t xml:space="preserve"/>
      </w:r>
      <w:r>
        <w:rPr>
          <w:rFonts w:ascii="Cambria Math" w:cs="Cambria Math" w:eastAsia="Cambria Math" w:hAnsi="Cambria Math"/>
          <w:i/>
          <w:iCs/>
          <w:color w:val="3B3B3B"/>
          <w:sz w:val="21"/>
          <w:szCs w:val="21"/>
        </w:rPr>
        <w:t xml:space="preserve">RoN (relevance of necessity) = Σ(1−Xi) / Σ(1 − min(Xi,Yi))</w:t>
      </w:r>
    </w:p>
    <w:p>
      <w:pPr>
        <w:spacing w:after="100"/>
      </w:pPr>
      <w:r>
        <w:rPr>
          <w:sz w:val="21"/>
          <w:szCs w:val="21"/>
        </w:rPr>
        <w:t xml:space="preserve">Usual bar: consistency ≥ 0.90 with a non-trivial RoN. Best result under percentile anchors: SUPCOLL at 0.816. Under rubric anchors, SUSSRC reaches 0.884 but RoN is only 0.62.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C00000"/>
          <w:sz w:val="20"/>
          <w:szCs w:val="20"/>
        </w:rPr>
        <w:t xml:space="preserve">Issue: </w:t>
      </w:r>
      <w:r>
        <w:rPr>
          <w:sz w:val="20"/>
          <w:szCs w:val="20"/>
        </w:rPr>
        <w:t xml:space="preserve">No condition is necessary under either calibration; this directly contradicts the draft's claim that sustainable sourcing is necessary (0.91).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375623"/>
          <w:sz w:val="20"/>
          <w:szCs w:val="20"/>
        </w:rPr>
        <w:t xml:space="preserve">Add: </w:t>
      </w:r>
      <w:r>
        <w:rPr>
          <w:sz w:val="20"/>
          <w:szCs w:val="20"/>
        </w:rPr>
        <w:t xml:space="preserve">Report the rubric near-necessity of SUSSRC as a sensitivity note only, not a finding.</w:t>
      </w:r>
    </w:p>
    <w:p>
      <w:pPr>
        <w:pStyle w:val="Heading2"/>
        <w:spacing w:after="80" w:before="220"/>
      </w:pPr>
      <w:r>
        <w:rPr>
          <w:b/>
          <w:bCs/>
          <w:color w:val="1F4E79"/>
        </w:rPr>
        <w:t xml:space="preserve">6. </w:t>
      </w:r>
      <w:r>
        <w:rPr>
          <w:b/>
          <w:bCs/>
          <w:color w:val="1F4E79"/>
        </w:rPr>
        <w:t xml:space="preserve">Sufficiency Analysis</w:t>
      </w:r>
    </w:p>
    <w:p>
      <w:pPr>
        <w:spacing w:after="100"/>
      </w:pPr>
      <w:r>
        <w:rPr>
          <w:sz w:val="21"/>
          <w:szCs w:val="21"/>
        </w:rPr>
        <w:t xml:space="preserve">Tests whether a condition (or its absence) alone is enough for SCR: same consistency formula as necessity, denominator swapped to the condition.</w:t>
      </w:r>
    </w:p>
    <w:p>
      <w:pPr>
        <w:pBdr>
          <w:left w:val="single" w:color="B7B7B7" w:sz="12" w:space="8"/>
        </w:pBdr>
        <w:spacing w:after="120" w:before="60"/>
        <w:ind w:left="431"/>
      </w:pPr>
      <w:r>
        <w:rPr>
          <w:rFonts w:ascii="Cambria Math" w:cs="Cambria Math" w:eastAsia="Cambria Math" w:hAnsi="Cambria Math"/>
          <w:i/>
          <w:iCs/>
          <w:color w:val="3B3B3B"/>
          <w:sz w:val="21"/>
          <w:szCs w:val="21"/>
        </w:rPr>
        <w:t xml:space="preserve">sufficiency consistency = Σ min(Xi, Yi) / Σ Xi   (plus the PRI test above)</w:t>
      </w:r>
    </w:p>
    <w:p>
      <w:pPr>
        <w:spacing w:after="100"/>
      </w:pPr>
      <w:r>
        <w:rPr>
          <w:sz w:val="21"/>
          <w:szCs w:val="21"/>
        </w:rPr>
        <w:t xml:space="preserve">Percentile anchors: SUPCOLL, DIGVIS and SUPDIV pass (≈0.80–0.83). Rubric anchors: AICAP, AIGOV, DIGVIS, SUPCOLL and SUPDIV all pass.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C00000"/>
          <w:sz w:val="20"/>
          <w:szCs w:val="20"/>
        </w:rPr>
        <w:t xml:space="preserve">Issue: </w:t>
      </w:r>
      <w:r>
        <w:rPr>
          <w:sz w:val="20"/>
          <w:szCs w:val="20"/>
        </w:rPr>
        <w:t xml:space="preserve">AIGOV only passes under rubric anchors because its “high” set is small (25 firm-years), giving weak coverage (0.39) — a fragile result, not a robust 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375623"/>
          <w:sz w:val="20"/>
          <w:szCs w:val="20"/>
        </w:rPr>
        <w:t xml:space="preserve">Add: </w:t>
      </w:r>
      <w:r>
        <w:rPr>
          <w:sz w:val="20"/>
          <w:szCs w:val="20"/>
        </w:rPr>
        <w:t xml:space="preserve">Compute sufficiency for ~SCR alongside SCR for every condition (currently in the workbook, worth a summary table in the paper).</w:t>
      </w:r>
    </w:p>
    <w:p>
      <w:pPr>
        <w:pStyle w:val="Heading2"/>
        <w:spacing w:after="80" w:before="220"/>
      </w:pPr>
      <w:r>
        <w:rPr>
          <w:b/>
          <w:bCs/>
          <w:color w:val="1F4E79"/>
        </w:rPr>
        <w:t xml:space="preserve">7. </w:t>
      </w:r>
      <w:r>
        <w:rPr>
          <w:b/>
          <w:bCs/>
          <w:color w:val="1F4E79"/>
        </w:rPr>
        <w:t xml:space="preserve">Boolean Minimization</w:t>
      </w:r>
    </w:p>
    <w:p>
      <w:pPr>
        <w:spacing w:after="100"/>
      </w:pPr>
      <w:r>
        <w:rPr>
          <w:sz w:val="21"/>
          <w:szCs w:val="21"/>
        </w:rPr>
        <w:t xml:space="preserve">Quine–McCluskey reduction of the ON configurations gives complex (no simplifying assumptions), parsimonious (all remainders allowed) and intermediate (only “easy counterfactuals”) solutions.</w:t>
      </w:r>
    </w:p>
    <w:p>
      <w:pPr>
        <w:pBdr>
          <w:left w:val="single" w:color="B7B7B7" w:sz="12" w:space="8"/>
        </w:pBdr>
        <w:spacing w:after="120" w:before="60"/>
        <w:ind w:left="431"/>
      </w:pPr>
      <w:r>
        <w:rPr>
          <w:rFonts w:ascii="Cambria Math" w:cs="Cambria Math" w:eastAsia="Cambria Math" w:hAnsi="Cambria Math"/>
          <w:i/>
          <w:iCs/>
          <w:color w:val="3B3B3B"/>
          <w:sz w:val="21"/>
          <w:szCs w:val="21"/>
        </w:rPr>
        <w:t xml:space="preserve">solution/term consistency, PRI, coverage: same formulas as §5–§6, applied to the maximum membership across a solution's terms</w:t>
      </w:r>
      <w:r>
        <w:br/>
        <w:t xml:space="preserve"/>
      </w:r>
      <w:r>
        <w:rPr>
          <w:rFonts w:ascii="Cambria Math" w:cs="Cambria Math" w:eastAsia="Cambria Math" w:hAnsi="Cambria Math"/>
          <w:i/>
          <w:iCs/>
          <w:color w:val="3B3B3B"/>
          <w:sz w:val="21"/>
          <w:szCs w:val="21"/>
        </w:rPr>
        <w:t xml:space="preserve">unique coverage of a term = solution coverage − coverage of the solution with that term removed</w:t>
      </w:r>
    </w:p>
    <w:p>
      <w:pPr>
        <w:spacing w:after="40" w:before="100"/>
      </w:pPr>
      <w:r>
        <w:rPr>
          <w:b/>
          <w:bCs/>
          <w:i/>
          <w:iCs/>
          <w:color w:val="404040"/>
          <w:sz w:val="20"/>
          <w:szCs w:val="20"/>
        </w:rPr>
        <w:t xml:space="preserve">Intermediate solution — core condition in bold</w:t>
      </w:r>
    </w:p>
    <w:p>
      <w:pPr>
        <w:spacing w:after="100"/>
      </w:pPr>
      <w:r>
        <w:rPr>
          <w:sz w:val="21"/>
          <w:szCs w:val="21"/>
        </w:rPr>
        <w:t xml:space="preserve">Percentile: SUPCOLL·SUPDIV + SUSSRC·SUPCOLL (consistency 0.872, coverage 0.732). Rubric: SUPCOLL + AICAP·~SUSSRC (consistency 0.867, coverage 0.878). SUPCOLL is the core term in both.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C00000"/>
          <w:sz w:val="20"/>
          <w:szCs w:val="20"/>
        </w:rPr>
        <w:t xml:space="preserve">Issue: </w:t>
      </w:r>
      <w:r>
        <w:rPr>
          <w:sz w:val="20"/>
          <w:szCs w:val="20"/>
        </w:rPr>
        <w:t xml:space="preserve">The draft's three-pathway narrative (e.g., AI capability × sustainable sourcing × supplier diversification) does not appear in either solution; AI capability is largely absent from the percentile result.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C00000"/>
          <w:sz w:val="20"/>
          <w:szCs w:val="20"/>
        </w:rPr>
        <w:t xml:space="preserve">Issue: </w:t>
      </w:r>
      <w:r>
        <w:rPr>
          <w:sz w:val="20"/>
          <w:szCs w:val="20"/>
        </w:rPr>
        <w:t xml:space="preserve">The rubric term AICAP·~SUSSRC rests on a single truth-table row (3 firm-years, 2 firms) — consistency 0.792, PRI 0.524. Flag it as fragile or drop it and report SUPCOLL alone.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375623"/>
          <w:sz w:val="20"/>
          <w:szCs w:val="20"/>
        </w:rPr>
        <w:t xml:space="preserve">Add: </w:t>
      </w:r>
      <w:r>
        <w:rPr>
          <w:sz w:val="20"/>
          <w:szCs w:val="20"/>
        </w:rPr>
        <w:t xml:space="preserve">Cross-check both intermediate solutions in fsQCA/R QCA; run the mirror analysis for ~SCR (already computed: core = absence of SUPCOLL) as a companion result.</w:t>
      </w:r>
    </w:p>
    <w:p>
      <w:pPr>
        <w:pStyle w:val="Heading2"/>
        <w:spacing w:after="80" w:before="220"/>
      </w:pPr>
      <w:r>
        <w:rPr>
          <w:b/>
          <w:bCs/>
          <w:color w:val="1F4E79"/>
        </w:rPr>
        <w:t xml:space="preserve">8. </w:t>
      </w:r>
      <w:r>
        <w:rPr>
          <w:b/>
          <w:bCs/>
          <w:color w:val="1F4E79"/>
        </w:rPr>
        <w:t xml:space="preserve">Overall Status and Accuracy</w:t>
      </w:r>
    </w:p>
    <w:p>
      <w:pPr>
        <w:spacing w:after="40" w:before="100"/>
      </w:pPr>
      <w:r>
        <w:rPr>
          <w:b/>
          <w:bCs/>
          <w:i/>
          <w:iCs/>
          <w:color w:val="404040"/>
          <w:sz w:val="20"/>
          <w:szCs w:val="20"/>
        </w:rPr>
        <w:t xml:space="preserve">Progress</w:t>
      </w:r>
    </w:p>
    <w:p>
      <w:pPr>
        <w:spacing w:after="100"/>
      </w:pPr>
      <w:r>
        <w:rPr>
          <w:sz w:val="21"/>
          <w:szCs w:val="21"/>
        </w:rPr>
        <w:t xml:space="preserve">Calibration and fuzzy sets: complete and formula-verified. Truth tables, necessity, sufficiency and minimization for SCR and ~SCR: complete in the workbook, pending an fsQCA/R QCA cross-check. Robustness beyond threshold and calibration sensitivity: not started. Paper writing: skeleton only.</w:t>
      </w:r>
    </w:p>
    <w:p>
      <w:pPr>
        <w:spacing w:after="40" w:before="100"/>
      </w:pPr>
      <w:r>
        <w:rPr>
          <w:b/>
          <w:bCs/>
          <w:i/>
          <w:iCs/>
          <w:color w:val="404040"/>
          <w:sz w:val="20"/>
          <w:szCs w:val="20"/>
        </w:rPr>
        <w:t xml:space="preserve">Accuracy has two very different layers</w:t>
      </w:r>
    </w:p>
    <w:p>
      <w:pPr>
        <w:spacing w:after="100"/>
      </w:pPr>
      <w:r>
        <w:rPr>
          <w:sz w:val="21"/>
          <w:szCs w:val="21"/>
        </w:rPr>
        <w:t xml:space="preserve">Computational accuracy is high: every calibration, truth-table and minimization figure was independently reproduced. Measurement accuracy is low: only 23% of firm-construct cells trace to a real citation, and the effective sample behind the panel is closer to 35 firms than 105 firm-years.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C00000"/>
          <w:sz w:val="20"/>
          <w:szCs w:val="20"/>
        </w:rPr>
        <w:t xml:space="preserve">Issue: </w:t>
      </w:r>
      <w:r>
        <w:rPr>
          <w:sz w:val="20"/>
          <w:szCs w:val="20"/>
        </w:rPr>
        <w:t xml:space="preserve">Treat the results as illustrative of the method, not as confirmed findings about real firm resilience, until the outcome is measured independently.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375623"/>
          <w:sz w:val="20"/>
          <w:szCs w:val="20"/>
        </w:rPr>
        <w:t xml:space="preserve">Add: </w:t>
      </w:r>
      <w:r>
        <w:rPr>
          <w:sz w:val="20"/>
          <w:szCs w:val="20"/>
        </w:rPr>
        <w:t xml:space="preserve">For this conference paper: cross-check the intermediate solution, run the 2024-only cross-section as the one robustness check worth doing before submission, correct the Read Me, and write results directly from the corrected tables in this document.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2026-09-25T13:02:57.553Z</dcterms:created>
  <dcterms:modified xsi:type="dcterms:W3CDTF">2026-09-25T13:02:57.554Z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