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r>
        <w:rPr>
          <w:rFonts w:ascii="Calibri" w:cs="Calibri" w:eastAsia="Calibri" w:hAnsi="Calibri"/>
          <w:color w:val="262626"/>
          <w:sz w:val="21"/>
          <w:szCs w:val="21"/>
        </w:rPr>
        <w:t xml:space="preserve"/>
      </w:r>
    </w:p>
    <w:p>
      <w:pPr>
        <w:spacing w:after="60"/>
        <w:jc w:val="left"/>
      </w:pPr>
      <w:r>
        <w:rPr>
          <w:rFonts w:ascii="Calibri" w:cs="Calibri" w:eastAsia="Calibri" w:hAnsi="Calibri"/>
          <w:b/>
          <w:bCs/>
          <w:color w:val="2E75B6"/>
          <w:sz w:val="20"/>
          <w:szCs w:val="20"/>
        </w:rPr>
        <w:t xml:space="preserve">TECHNICAL &amp; DECISION BRIEF</w:t>
      </w:r>
    </w:p>
    <w:p>
      <w:pPr>
        <w:pBdr>
          <w:bottom w:val="single" w:color="1F3864" w:sz="18" w:space="10"/>
        </w:pBdr>
        <w:spacing w:after="60"/>
      </w:pPr>
      <w:r>
        <w:rPr>
          <w:rFonts w:ascii="Calibri" w:cs="Calibri" w:eastAsia="Calibri" w:hAnsi="Calibri"/>
          <w:color w:val="262626"/>
          <w:sz w:val="21"/>
          <w:szCs w:val="21"/>
        </w:rPr>
        <w:t xml:space="preserve"/>
      </w:r>
    </w:p>
    <w:p>
      <w:pPr>
        <w:spacing w:after="120" w:before="200"/>
      </w:pPr>
      <w:r>
        <w:rPr>
          <w:rFonts w:ascii="Calibri" w:cs="Calibri" w:eastAsia="Calibri" w:hAnsi="Calibri"/>
          <w:b/>
          <w:bCs/>
          <w:color w:val="1F3864"/>
          <w:sz w:val="52"/>
          <w:szCs w:val="52"/>
        </w:rPr>
        <w:t xml:space="preserve">AI Agent Frameworks:</w:t>
      </w:r>
    </w:p>
    <w:p>
      <w:pPr>
        <w:spacing w:after="300"/>
      </w:pPr>
      <w:r>
        <w:rPr>
          <w:rFonts w:ascii="Calibri" w:cs="Calibri" w:eastAsia="Calibri" w:hAnsi="Calibri"/>
          <w:b/>
          <w:bCs/>
          <w:color w:val="2E75B6"/>
          <w:sz w:val="36"/>
          <w:szCs w:val="36"/>
        </w:rPr>
        <w:t xml:space="preserve">When to Build Custom, When to Use Copilot</w:t>
      </w:r>
    </w:p>
    <w:p>
      <w:pPr>
        <w:spacing w:after="500"/>
      </w:pPr>
      <w:r>
        <w:rPr>
          <w:rFonts w:ascii="Calibri" w:cs="Calibri" w:eastAsia="Calibri" w:hAnsi="Calibri"/>
          <w:color w:val="404040"/>
          <w:sz w:val="23"/>
          <w:szCs w:val="23"/>
        </w:rPr>
        <w:t xml:space="preserve">A decision framework covering Microsoft 365 Copilot, declarative and custom engine agents, Copilot Studio, GitHub Copilot agents and skills — with token limits, cost models, reference architectures, and operating do’s and don’ts.</w:t>
      </w:r>
    </w:p>
    <w:p>
      <w:pPr>
        <w:spacing w:after="400"/>
      </w:pPr>
      <w:r>
        <w:rPr>
          <w:rFonts w:ascii="Calibri" w:cs="Calibri" w:eastAsia="Calibri" w:hAnsi="Calibri"/>
          <w:color w:val="262626"/>
          <w:sz w:val="21"/>
          <w:szCs w:val="21"/>
        </w:rPr>
        <w:t xml:space="preserve"/>
      </w:r>
    </w:p>
    <w:tbl>
      <w:tblPr>
        <w:tblW w:type="dxa" w:w="10080"/>
        <w:tblBorders>
          <w:top w:val="single" w:color="BFBFBF" w:sz="4"/>
          <w:left w:val="single" w:color="BFBFBF" w:sz="4"/>
          <w:bottom w:val="single" w:color="BFBFBF" w:sz="4"/>
          <w:right w:val="single" w:color="BFBFBF" w:sz="4"/>
          <w:insideH w:val="single" w:color="D9D9D9" w:sz="2"/>
          <w:insideV w:val="single" w:color="D9D9D9" w:sz="2"/>
        </w:tblBorders>
      </w:tblPr>
      <w:tblGrid>
        <w:gridCol w:w="2621"/>
        <w:gridCol w:w="7459"/>
      </w:tblGrid>
      <w:tr>
        <w:trPr>
          <w:tblHeader/>
        </w:trPr>
        <w:tc>
          <w:tcPr>
            <w:tcW w:type="dxa" w:w="2621"/>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Field</w:t>
            </w:r>
          </w:p>
        </w:tc>
        <w:tc>
          <w:tcPr>
            <w:tcW w:type="dxa" w:w="7459"/>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Detail</w:t>
            </w:r>
          </w:p>
        </w:tc>
      </w:tr>
      <w:tr>
        <w:trPr>
          <w:cantSplit/>
        </w:trPr>
        <w:tc>
          <w:tcPr>
            <w:tcW w:type="dxa" w:w="2621"/>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Prepared for</w:t>
            </w:r>
          </w:p>
        </w:tc>
        <w:tc>
          <w:tcPr>
            <w:tcW w:type="dxa" w:w="7459"/>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PLYXZY Solutions Private Limited — engineering and leadership teams</w:t>
            </w:r>
          </w:p>
        </w:tc>
      </w:tr>
      <w:tr>
        <w:trPr>
          <w:cantSplit/>
        </w:trPr>
        <w:tc>
          <w:tcPr>
            <w:tcW w:type="dxa" w:w="2621"/>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Prepared by</w:t>
            </w:r>
          </w:p>
        </w:tc>
        <w:tc>
          <w:tcPr>
            <w:tcW w:type="dxa" w:w="7459"/>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Sunkkalp Kataria</w:t>
            </w:r>
          </w:p>
        </w:tc>
      </w:tr>
      <w:tr>
        <w:trPr>
          <w:cantSplit/>
        </w:trPr>
        <w:tc>
          <w:tcPr>
            <w:tcW w:type="dxa" w:w="2621"/>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Version</w:t>
            </w:r>
          </w:p>
        </w:tc>
        <w:tc>
          <w:tcPr>
            <w:tcW w:type="dxa" w:w="7459"/>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1.0</w:t>
            </w:r>
          </w:p>
        </w:tc>
      </w:tr>
      <w:tr>
        <w:trPr>
          <w:cantSplit/>
        </w:trPr>
        <w:tc>
          <w:tcPr>
            <w:tcW w:type="dxa" w:w="2621"/>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Date</w:t>
            </w:r>
          </w:p>
        </w:tc>
        <w:tc>
          <w:tcPr>
            <w:tcW w:type="dxa" w:w="7459"/>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3 October 2026</w:t>
            </w:r>
          </w:p>
        </w:tc>
      </w:tr>
      <w:tr>
        <w:trPr>
          <w:cantSplit/>
        </w:trPr>
        <w:tc>
          <w:tcPr>
            <w:tcW w:type="dxa" w:w="2621"/>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Audience</w:t>
            </w:r>
          </w:p>
        </w:tc>
        <w:tc>
          <w:tcPr>
            <w:tcW w:type="dxa" w:w="7459"/>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Engineering leads, solution architects, platform owners, and the leadership group who approve build vs. buy</w:t>
            </w:r>
          </w:p>
        </w:tc>
      </w:tr>
      <w:tr>
        <w:trPr>
          <w:cantSplit/>
        </w:trPr>
        <w:tc>
          <w:tcPr>
            <w:tcW w:type="dxa" w:w="2621"/>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Status</w:t>
            </w:r>
          </w:p>
        </w:tc>
        <w:tc>
          <w:tcPr>
            <w:tcW w:type="dxa" w:w="7459"/>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For internal circulation and discussion</w:t>
            </w:r>
          </w:p>
        </w:tc>
      </w:tr>
      <w:tr>
        <w:trPr>
          <w:cantSplit/>
        </w:trPr>
        <w:tc>
          <w:tcPr>
            <w:tcW w:type="dxa" w:w="2621"/>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Review cadence</w:t>
            </w:r>
          </w:p>
        </w:tc>
        <w:tc>
          <w:tcPr>
            <w:tcW w:type="dxa" w:w="7459"/>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Quarterly — limits, pricing and product names in this space change on a roughly 8–12 week cycle</w:t>
            </w:r>
          </w:p>
        </w:tc>
      </w:tr>
    </w:tbl>
    <w:p>
      <w:pPr>
        <w:spacing w:after="300"/>
      </w:pPr>
      <w:r>
        <w:rPr>
          <w:rFonts w:ascii="Calibri" w:cs="Calibri" w:eastAsia="Calibri" w:hAnsi="Calibri"/>
          <w:color w:val="262626"/>
          <w:sz w:val="21"/>
          <w:szCs w:val="21"/>
        </w:rPr>
        <w:t xml:space="preserve"/>
      </w:r>
    </w:p>
    <w:tbl>
      <w:tblPr>
        <w:tblW w:type="dxa" w:w="10080"/>
        <w:tblBorders>
          <w:top w:val="none"/>
          <w:left w:val="single" w:color="2E75B6" w:sz="24"/>
          <w:bottom w:val="none"/>
          <w:right w:val="none"/>
          <w:insideH w:val="none"/>
          <w:insideV w:val="none"/>
        </w:tblBorders>
      </w:tblPr>
      <w:tblGrid>
        <w:gridCol w:w="10080"/>
      </w:tblGrid>
      <w:tr>
        <w:tc>
          <w:tcPr>
            <w:tcW w:type="dxa" w:w="10080"/>
            <w:shd w:fill="F2F6FB" w:val="clear"/>
            <w:tcMar>
              <w:top w:type="dxa" w:w="140"/>
              <w:left w:type="dxa" w:w="200"/>
              <w:bottom w:type="dxa" w:w="140"/>
              <w:right w:type="dxa" w:w="200"/>
            </w:tcMar>
          </w:tcPr>
          <w:p>
            <w:pPr>
              <w:spacing w:after="0" w:line="264"/>
            </w:pPr>
            <w:r>
              <w:rPr>
                <w:rFonts w:ascii="Calibri" w:cs="Calibri" w:eastAsia="Calibri" w:hAnsi="Calibri"/>
                <w:b/>
                <w:bCs/>
                <w:color w:val="2E75B6"/>
                <w:sz w:val="21"/>
                <w:szCs w:val="21"/>
              </w:rPr>
              <w:t xml:space="preserve">How to read this document.  </w:t>
            </w:r>
            <w:r>
              <w:rPr>
                <w:rFonts w:ascii="Calibri" w:cs="Calibri" w:eastAsia="Calibri" w:hAnsi="Calibri"/>
                <w:color w:val="262626"/>
                <w:sz w:val="21"/>
                <w:szCs w:val="21"/>
              </w:rPr>
              <w:t xml:space="preserve">Sections 1–3 are written for everyone and carry the decision. Sections 4–9 are the technical detail engineering will need. Section 10 (do’s and don’ts) is the operating standard — it is the page to print and pin up. Every number in this document is marked with the date it was verified; treat figures as inputs to a conversation with your Microsoft and GitHub account teams, not as a contract.</w:t>
            </w:r>
          </w:p>
        </w:tc>
      </w:tr>
    </w:tbl>
    <w:p>
      <w:r>
        <w:br w:type="page"/>
      </w:r>
    </w:p>
    <w:p>
      <w:pPr>
        <w:pStyle w:val="Heading1"/>
        <w:pBdr>
          <w:bottom w:val="single" w:color="2E75B6" w:sz="12" w:space="6"/>
        </w:pBdr>
        <w:spacing w:after="200" w:before="0"/>
      </w:pPr>
      <w:r>
        <w:rPr>
          <w:rFonts w:ascii="Calibri" w:cs="Calibri" w:eastAsia="Calibri" w:hAnsi="Calibri"/>
          <w:b/>
          <w:bCs/>
          <w:color w:val="1F3864"/>
          <w:sz w:val="32"/>
          <w:szCs w:val="32"/>
        </w:rPr>
        <w:t xml:space="preserve">Contents</w:t>
      </w:r>
    </w:p>
    <w:p>
      <w:pPr>
        <w:spacing w:after="110"/>
        <w:ind w:left="360" w:hanging="360"/>
      </w:pPr>
      <w:r>
        <w:rPr>
          <w:rFonts w:ascii="Calibri" w:cs="Calibri" w:eastAsia="Calibri" w:hAnsi="Calibri"/>
          <w:b/>
          <w:bCs/>
          <w:color w:val="2E75B6"/>
          <w:sz w:val="22"/>
          <w:szCs w:val="22"/>
        </w:rPr>
        <w:t xml:space="preserve">1. </w:t>
      </w:r>
      <w:r>
        <w:rPr>
          <w:rFonts w:ascii="Calibri" w:cs="Calibri" w:eastAsia="Calibri" w:hAnsi="Calibri"/>
          <w:color w:val="262626"/>
          <w:sz w:val="22"/>
          <w:szCs w:val="22"/>
        </w:rPr>
        <w:t xml:space="preserve">Executive summary</w:t>
      </w:r>
    </w:p>
    <w:p>
      <w:pPr>
        <w:spacing w:after="110"/>
        <w:ind w:left="360" w:hanging="360"/>
      </w:pPr>
      <w:r>
        <w:rPr>
          <w:rFonts w:ascii="Calibri" w:cs="Calibri" w:eastAsia="Calibri" w:hAnsi="Calibri"/>
          <w:b/>
          <w:bCs/>
          <w:color w:val="2E75B6"/>
          <w:sz w:val="22"/>
          <w:szCs w:val="22"/>
        </w:rPr>
        <w:t xml:space="preserve">2. </w:t>
      </w:r>
      <w:r>
        <w:rPr>
          <w:rFonts w:ascii="Calibri" w:cs="Calibri" w:eastAsia="Calibri" w:hAnsi="Calibri"/>
          <w:color w:val="262626"/>
          <w:sz w:val="22"/>
          <w:szCs w:val="22"/>
        </w:rPr>
        <w:t xml:space="preserve">The landscape: what each option actually is</w:t>
      </w:r>
    </w:p>
    <w:p>
      <w:pPr>
        <w:spacing w:after="110"/>
        <w:ind w:left="360" w:hanging="360"/>
      </w:pPr>
      <w:r>
        <w:rPr>
          <w:rFonts w:ascii="Calibri" w:cs="Calibri" w:eastAsia="Calibri" w:hAnsi="Calibri"/>
          <w:b/>
          <w:bCs/>
          <w:color w:val="2E75B6"/>
          <w:sz w:val="22"/>
          <w:szCs w:val="22"/>
        </w:rPr>
        <w:t xml:space="preserve">3. </w:t>
      </w:r>
      <w:r>
        <w:rPr>
          <w:rFonts w:ascii="Calibri" w:cs="Calibri" w:eastAsia="Calibri" w:hAnsi="Calibri"/>
          <w:color w:val="262626"/>
          <w:sz w:val="22"/>
          <w:szCs w:val="22"/>
        </w:rPr>
        <w:t xml:space="preserve">The decision framework</w:t>
      </w:r>
    </w:p>
    <w:p>
      <w:pPr>
        <w:spacing w:after="110"/>
        <w:ind w:left="360" w:hanging="360"/>
      </w:pPr>
      <w:r>
        <w:rPr>
          <w:rFonts w:ascii="Calibri" w:cs="Calibri" w:eastAsia="Calibri" w:hAnsi="Calibri"/>
          <w:b/>
          <w:bCs/>
          <w:color w:val="2E75B6"/>
          <w:sz w:val="22"/>
          <w:szCs w:val="22"/>
        </w:rPr>
        <w:t xml:space="preserve">4. </w:t>
      </w:r>
      <w:r>
        <w:rPr>
          <w:rFonts w:ascii="Calibri" w:cs="Calibri" w:eastAsia="Calibri" w:hAnsi="Calibri"/>
          <w:color w:val="262626"/>
          <w:sz w:val="22"/>
          <w:szCs w:val="22"/>
        </w:rPr>
        <w:t xml:space="preserve">When to use Copilot standard</w:t>
      </w:r>
    </w:p>
    <w:p>
      <w:pPr>
        <w:spacing w:after="110"/>
        <w:ind w:left="360" w:hanging="360"/>
      </w:pPr>
      <w:r>
        <w:rPr>
          <w:rFonts w:ascii="Calibri" w:cs="Calibri" w:eastAsia="Calibri" w:hAnsi="Calibri"/>
          <w:b/>
          <w:bCs/>
          <w:color w:val="2E75B6"/>
          <w:sz w:val="22"/>
          <w:szCs w:val="22"/>
        </w:rPr>
        <w:t xml:space="preserve">5. </w:t>
      </w:r>
      <w:r>
        <w:rPr>
          <w:rFonts w:ascii="Calibri" w:cs="Calibri" w:eastAsia="Calibri" w:hAnsi="Calibri"/>
          <w:color w:val="262626"/>
          <w:sz w:val="22"/>
          <w:szCs w:val="22"/>
        </w:rPr>
        <w:t xml:space="preserve">When to build a declarative agent</w:t>
      </w:r>
    </w:p>
    <w:p>
      <w:pPr>
        <w:spacing w:after="110"/>
        <w:ind w:left="360" w:hanging="360"/>
      </w:pPr>
      <w:r>
        <w:rPr>
          <w:rFonts w:ascii="Calibri" w:cs="Calibri" w:eastAsia="Calibri" w:hAnsi="Calibri"/>
          <w:b/>
          <w:bCs/>
          <w:color w:val="2E75B6"/>
          <w:sz w:val="22"/>
          <w:szCs w:val="22"/>
        </w:rPr>
        <w:t xml:space="preserve">6. </w:t>
      </w:r>
      <w:r>
        <w:rPr>
          <w:rFonts w:ascii="Calibri" w:cs="Calibri" w:eastAsia="Calibri" w:hAnsi="Calibri"/>
          <w:color w:val="262626"/>
          <w:sz w:val="22"/>
          <w:szCs w:val="22"/>
        </w:rPr>
        <w:t xml:space="preserve">When to build a custom engine agent</w:t>
      </w:r>
    </w:p>
    <w:p>
      <w:pPr>
        <w:spacing w:after="110"/>
        <w:ind w:left="360" w:hanging="360"/>
      </w:pPr>
      <w:r>
        <w:rPr>
          <w:rFonts w:ascii="Calibri" w:cs="Calibri" w:eastAsia="Calibri" w:hAnsi="Calibri"/>
          <w:b/>
          <w:bCs/>
          <w:color w:val="2E75B6"/>
          <w:sz w:val="22"/>
          <w:szCs w:val="22"/>
        </w:rPr>
        <w:t xml:space="preserve">7. </w:t>
      </w:r>
      <w:r>
        <w:rPr>
          <w:rFonts w:ascii="Calibri" w:cs="Calibri" w:eastAsia="Calibri" w:hAnsi="Calibri"/>
          <w:color w:val="262626"/>
          <w:sz w:val="22"/>
          <w:szCs w:val="22"/>
        </w:rPr>
        <w:t xml:space="preserve">When to build fully custom</w:t>
      </w:r>
    </w:p>
    <w:p>
      <w:pPr>
        <w:spacing w:after="110"/>
        <w:ind w:left="360" w:hanging="360"/>
      </w:pPr>
      <w:r>
        <w:rPr>
          <w:rFonts w:ascii="Calibri" w:cs="Calibri" w:eastAsia="Calibri" w:hAnsi="Calibri"/>
          <w:b/>
          <w:bCs/>
          <w:color w:val="2E75B6"/>
          <w:sz w:val="22"/>
          <w:szCs w:val="22"/>
        </w:rPr>
        <w:t xml:space="preserve">8. </w:t>
      </w:r>
      <w:r>
        <w:rPr>
          <w:rFonts w:ascii="Calibri" w:cs="Calibri" w:eastAsia="Calibri" w:hAnsi="Calibri"/>
          <w:color w:val="262626"/>
          <w:sz w:val="22"/>
          <w:szCs w:val="22"/>
        </w:rPr>
        <w:t xml:space="preserve">GitHub Copilot: agents, custom agents and skills</w:t>
      </w:r>
    </w:p>
    <w:p>
      <w:pPr>
        <w:spacing w:after="110"/>
        <w:ind w:left="360" w:hanging="360"/>
      </w:pPr>
      <w:r>
        <w:rPr>
          <w:rFonts w:ascii="Calibri" w:cs="Calibri" w:eastAsia="Calibri" w:hAnsi="Calibri"/>
          <w:b/>
          <w:bCs/>
          <w:color w:val="2E75B6"/>
          <w:sz w:val="22"/>
          <w:szCs w:val="22"/>
        </w:rPr>
        <w:t xml:space="preserve">9. </w:t>
      </w:r>
      <w:r>
        <w:rPr>
          <w:rFonts w:ascii="Calibri" w:cs="Calibri" w:eastAsia="Calibri" w:hAnsi="Calibri"/>
          <w:color w:val="262626"/>
          <w:sz w:val="22"/>
          <w:szCs w:val="22"/>
        </w:rPr>
        <w:t xml:space="preserve">Token limits, context windows and quotas</w:t>
      </w:r>
    </w:p>
    <w:p>
      <w:pPr>
        <w:spacing w:after="110"/>
        <w:ind w:left="360" w:hanging="360"/>
      </w:pPr>
      <w:r>
        <w:rPr>
          <w:rFonts w:ascii="Calibri" w:cs="Calibri" w:eastAsia="Calibri" w:hAnsi="Calibri"/>
          <w:b/>
          <w:bCs/>
          <w:color w:val="2E75B6"/>
          <w:sz w:val="22"/>
          <w:szCs w:val="22"/>
        </w:rPr>
        <w:t xml:space="preserve">10. </w:t>
      </w:r>
      <w:r>
        <w:rPr>
          <w:rFonts w:ascii="Calibri" w:cs="Calibri" w:eastAsia="Calibri" w:hAnsi="Calibri"/>
          <w:color w:val="262626"/>
          <w:sz w:val="22"/>
          <w:szCs w:val="22"/>
        </w:rPr>
        <w:t xml:space="preserve">Do’s and don’ts</w:t>
      </w:r>
    </w:p>
    <w:p>
      <w:pPr>
        <w:spacing w:after="110"/>
        <w:ind w:left="360" w:hanging="360"/>
      </w:pPr>
      <w:r>
        <w:rPr>
          <w:rFonts w:ascii="Calibri" w:cs="Calibri" w:eastAsia="Calibri" w:hAnsi="Calibri"/>
          <w:b/>
          <w:bCs/>
          <w:color w:val="2E75B6"/>
          <w:sz w:val="22"/>
          <w:szCs w:val="22"/>
        </w:rPr>
        <w:t xml:space="preserve">11. </w:t>
      </w:r>
      <w:r>
        <w:rPr>
          <w:rFonts w:ascii="Calibri" w:cs="Calibri" w:eastAsia="Calibri" w:hAnsi="Calibri"/>
          <w:color w:val="262626"/>
          <w:sz w:val="22"/>
          <w:szCs w:val="22"/>
        </w:rPr>
        <w:t xml:space="preserve">Cost and licensing comparison</w:t>
      </w:r>
    </w:p>
    <w:p>
      <w:pPr>
        <w:spacing w:after="110"/>
        <w:ind w:left="360" w:hanging="360"/>
      </w:pPr>
      <w:r>
        <w:rPr>
          <w:rFonts w:ascii="Calibri" w:cs="Calibri" w:eastAsia="Calibri" w:hAnsi="Calibri"/>
          <w:b/>
          <w:bCs/>
          <w:color w:val="2E75B6"/>
          <w:sz w:val="22"/>
          <w:szCs w:val="22"/>
        </w:rPr>
        <w:t xml:space="preserve">12. </w:t>
      </w:r>
      <w:r>
        <w:rPr>
          <w:rFonts w:ascii="Calibri" w:cs="Calibri" w:eastAsia="Calibri" w:hAnsi="Calibri"/>
          <w:color w:val="262626"/>
          <w:sz w:val="22"/>
          <w:szCs w:val="22"/>
        </w:rPr>
        <w:t xml:space="preserve">Governance and operating model</w:t>
      </w:r>
    </w:p>
    <w:p>
      <w:pPr>
        <w:spacing w:after="110"/>
        <w:ind w:left="360" w:hanging="360"/>
      </w:pPr>
      <w:r>
        <w:rPr>
          <w:rFonts w:ascii="Calibri" w:cs="Calibri" w:eastAsia="Calibri" w:hAnsi="Calibri"/>
          <w:b/>
          <w:bCs/>
          <w:color w:val="2E75B6"/>
          <w:sz w:val="22"/>
          <w:szCs w:val="22"/>
        </w:rPr>
        <w:t xml:space="preserve">13. </w:t>
      </w:r>
      <w:r>
        <w:rPr>
          <w:rFonts w:ascii="Calibri" w:cs="Calibri" w:eastAsia="Calibri" w:hAnsi="Calibri"/>
          <w:color w:val="262626"/>
          <w:sz w:val="22"/>
          <w:szCs w:val="22"/>
        </w:rPr>
        <w:t xml:space="preserve">A ninety-day adoption plan</w:t>
      </w:r>
    </w:p>
    <w:p>
      <w:pPr>
        <w:spacing w:after="110"/>
        <w:ind w:left="360" w:hanging="360"/>
      </w:pPr>
      <w:r>
        <w:rPr>
          <w:rFonts w:ascii="Calibri" w:cs="Calibri" w:eastAsia="Calibri" w:hAnsi="Calibri"/>
          <w:b/>
          <w:bCs/>
          <w:color w:val="2E75B6"/>
          <w:sz w:val="22"/>
          <w:szCs w:val="22"/>
        </w:rPr>
        <w:t xml:space="preserve">A. </w:t>
      </w:r>
      <w:r>
        <w:rPr>
          <w:rFonts w:ascii="Calibri" w:cs="Calibri" w:eastAsia="Calibri" w:hAnsi="Calibri"/>
          <w:color w:val="262626"/>
          <w:sz w:val="22"/>
          <w:szCs w:val="22"/>
        </w:rPr>
        <w:t xml:space="preserve">Appendix A — Glossary</w:t>
      </w:r>
    </w:p>
    <w:p>
      <w:pPr>
        <w:spacing w:after="110"/>
        <w:ind w:left="360" w:hanging="360"/>
      </w:pPr>
      <w:r>
        <w:rPr>
          <w:rFonts w:ascii="Calibri" w:cs="Calibri" w:eastAsia="Calibri" w:hAnsi="Calibri"/>
          <w:b/>
          <w:bCs/>
          <w:color w:val="2E75B6"/>
          <w:sz w:val="22"/>
          <w:szCs w:val="22"/>
        </w:rPr>
        <w:t xml:space="preserve">B. </w:t>
      </w:r>
      <w:r>
        <w:rPr>
          <w:rFonts w:ascii="Calibri" w:cs="Calibri" w:eastAsia="Calibri" w:hAnsi="Calibri"/>
          <w:color w:val="262626"/>
          <w:sz w:val="22"/>
          <w:szCs w:val="22"/>
        </w:rPr>
        <w:t xml:space="preserve">Appendix B — Sources</w:t>
      </w:r>
    </w:p>
    <w:p>
      <w:r>
        <w:br w:type="page"/>
      </w:r>
    </w:p>
    <w:p>
      <w:pPr>
        <w:pStyle w:val="Heading1"/>
        <w:pBdr>
          <w:bottom w:val="single" w:color="2E75B6" w:sz="12" w:space="6"/>
        </w:pBdr>
        <w:spacing w:after="200" w:before="0"/>
      </w:pPr>
      <w:r>
        <w:rPr>
          <w:rFonts w:ascii="Calibri" w:cs="Calibri" w:eastAsia="Calibri" w:hAnsi="Calibri"/>
          <w:b/>
          <w:bCs/>
          <w:color w:val="1F3864"/>
          <w:sz w:val="32"/>
          <w:szCs w:val="32"/>
        </w:rPr>
        <w:t xml:space="preserve">1. Executive summary</w:t>
      </w:r>
    </w:p>
    <w:p>
      <w:pPr>
        <w:spacing w:after="120" w:before="0" w:line="264"/>
        <w:jc w:val="left"/>
      </w:pPr>
      <w:r>
        <w:rPr>
          <w:rFonts w:ascii="Calibri" w:cs="Calibri" w:eastAsia="Calibri" w:hAnsi="Calibri"/>
          <w:color w:val="262626"/>
          <w:sz w:val="21"/>
          <w:szCs w:val="21"/>
        </w:rPr>
        <w:t xml:space="preserve">There are five credible ways to put an AI agent in front of our people and our customers. They are not competitors; they are rungs on a ladder, and the discipline this document asks for is simple: start at the lowest rung that solves the problem, and only climb when a specific, named requirement forces you to.</w:t>
      </w:r>
    </w:p>
    <w:tbl>
      <w:tblPr>
        <w:tblW w:type="dxa" w:w="10080"/>
        <w:tblBorders>
          <w:top w:val="single" w:color="BFBFBF" w:sz="4"/>
          <w:left w:val="single" w:color="BFBFBF" w:sz="4"/>
          <w:bottom w:val="single" w:color="BFBFBF" w:sz="4"/>
          <w:right w:val="single" w:color="BFBFBF" w:sz="4"/>
          <w:insideH w:val="single" w:color="D9D9D9" w:sz="2"/>
          <w:insideV w:val="single" w:color="D9D9D9" w:sz="2"/>
        </w:tblBorders>
      </w:tblPr>
      <w:tblGrid>
        <w:gridCol w:w="1512"/>
        <w:gridCol w:w="3125"/>
        <w:gridCol w:w="1411"/>
        <w:gridCol w:w="4032"/>
      </w:tblGrid>
      <w:tr>
        <w:trPr>
          <w:tblHeader/>
        </w:trPr>
        <w:tc>
          <w:tcPr>
            <w:tcW w:type="dxa" w:w="1512"/>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Rung</w:t>
            </w:r>
          </w:p>
        </w:tc>
        <w:tc>
          <w:tcPr>
            <w:tcW w:type="dxa" w:w="3125"/>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What it is</w:t>
            </w:r>
          </w:p>
        </w:tc>
        <w:tc>
          <w:tcPr>
            <w:tcW w:type="dxa" w:w="1411"/>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Build effort</w:t>
            </w:r>
          </w:p>
        </w:tc>
        <w:tc>
          <w:tcPr>
            <w:tcW w:type="dxa" w:w="4032"/>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Use it when</w:t>
            </w:r>
          </w:p>
        </w:tc>
      </w:tr>
      <w:tr>
        <w:trPr>
          <w:cantSplit/>
        </w:trPr>
        <w:tc>
          <w:tcPr>
            <w:tcW w:type="dxa" w:w="1512"/>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0 — Not an agent</w:t>
            </w:r>
          </w:p>
        </w:tc>
        <w:tc>
          <w:tcPr>
            <w:tcW w:type="dxa" w:w="3125"/>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Power Automate, Logic Apps, or ordinary code</w:t>
            </w:r>
          </w:p>
        </w:tc>
        <w:tc>
          <w:tcPr>
            <w:tcW w:type="dxa" w:w="1411"/>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Hours–days</w:t>
            </w:r>
          </w:p>
        </w:tc>
        <w:tc>
          <w:tcPr>
            <w:tcW w:type="dxa" w:w="4032"/>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The task is deterministic. No judgement over ambiguous input is required.</w:t>
            </w:r>
          </w:p>
        </w:tc>
      </w:tr>
      <w:tr>
        <w:trPr>
          <w:cantSplit/>
        </w:trPr>
        <w:tc>
          <w:tcPr>
            <w:tcW w:type="dxa" w:w="1512"/>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1 — Copilot standard</w:t>
            </w:r>
          </w:p>
        </w:tc>
        <w:tc>
          <w:tcPr>
            <w:tcW w:type="dxa" w:w="3125"/>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Microsoft 365 Copilot as licensed, plus Microsoft’s prebuilt agents (Researcher, Analyst, Facilitator)</w:t>
            </w:r>
          </w:p>
        </w:tc>
        <w:tc>
          <w:tcPr>
            <w:tcW w:type="dxa" w:w="1411"/>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Zero</w:t>
            </w:r>
          </w:p>
        </w:tc>
        <w:tc>
          <w:tcPr>
            <w:tcW w:type="dxa" w:w="4032"/>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The capability already ships. The gap is adoption and enablement, not engineering.</w:t>
            </w:r>
          </w:p>
        </w:tc>
      </w:tr>
      <w:tr>
        <w:trPr>
          <w:cantSplit/>
        </w:trPr>
        <w:tc>
          <w:tcPr>
            <w:tcW w:type="dxa" w:w="1512"/>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2 — Declarative agent</w:t>
            </w:r>
          </w:p>
        </w:tc>
        <w:tc>
          <w:tcPr>
            <w:tcW w:type="dxa" w:w="3125"/>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Your instructions, knowledge and actions running on Microsoft’s orchestrator and models</w:t>
            </w:r>
          </w:p>
        </w:tc>
        <w:tc>
          <w:tcPr>
            <w:tcW w:type="dxa" w:w="1411"/>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Days–weeks</w:t>
            </w:r>
          </w:p>
        </w:tc>
        <w:tc>
          <w:tcPr>
            <w:tcW w:type="dxa" w:w="4032"/>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Scope is a focused task over Microsoft 365 or curated web data, used inside Microsoft 365 apps.</w:t>
            </w:r>
          </w:p>
        </w:tc>
      </w:tr>
      <w:tr>
        <w:trPr>
          <w:cantSplit/>
        </w:trPr>
        <w:tc>
          <w:tcPr>
            <w:tcW w:type="dxa" w:w="1512"/>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3a — Custom engine agent (low-code)</w:t>
            </w:r>
          </w:p>
        </w:tc>
        <w:tc>
          <w:tcPr>
            <w:tcW w:type="dxa" w:w="3125"/>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Copilot Studio: your orchestration, your model choice, Power Platform connectors</w:t>
            </w:r>
          </w:p>
        </w:tc>
        <w:tc>
          <w:tcPr>
            <w:tcW w:type="dxa" w:w="1411"/>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Weeks</w:t>
            </w:r>
          </w:p>
        </w:tc>
        <w:tc>
          <w:tcPr>
            <w:tcW w:type="dxa" w:w="4032"/>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You need autonomous triggers, channels outside Microsoft 365, or connector-heavy integration — and low-code is sufficient.</w:t>
            </w:r>
          </w:p>
        </w:tc>
      </w:tr>
      <w:tr>
        <w:trPr>
          <w:cantSplit/>
        </w:trPr>
        <w:tc>
          <w:tcPr>
            <w:tcW w:type="dxa" w:w="1512"/>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3b — Custom build</w:t>
            </w:r>
          </w:p>
        </w:tc>
        <w:tc>
          <w:tcPr>
            <w:tcW w:type="dxa" w:w="3125"/>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Azure AI Foundry Agent Service / Microsoft Agent Framework / Semantic Kernel, hosted by us</w:t>
            </w:r>
          </w:p>
        </w:tc>
        <w:tc>
          <w:tcPr>
            <w:tcW w:type="dxa" w:w="1411"/>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Months</w:t>
            </w:r>
          </w:p>
        </w:tc>
        <w:tc>
          <w:tcPr>
            <w:tcW w:type="dxa" w:w="4032"/>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You need multi-agent orchestration, specific or fine-tuned models, hard latency and cost control, or deployment outside the Microsoft estate.</w:t>
            </w:r>
          </w:p>
        </w:tc>
      </w:tr>
      <w:tr>
        <w:trPr>
          <w:cantSplit/>
        </w:trPr>
        <w:tc>
          <w:tcPr>
            <w:tcW w:type="dxa" w:w="1512"/>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4 — GitHub Copilot track</w:t>
            </w:r>
          </w:p>
        </w:tc>
        <w:tc>
          <w:tcPr>
            <w:tcW w:type="dxa" w:w="3125"/>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Agent mode, cloud agent, custom agents and agent skills in the repository</w:t>
            </w:r>
          </w:p>
        </w:tc>
        <w:tc>
          <w:tcPr>
            <w:tcW w:type="dxa" w:w="1411"/>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Days (configuration)</w:t>
            </w:r>
          </w:p>
        </w:tc>
        <w:tc>
          <w:tcPr>
            <w:tcW w:type="dxa" w:w="4032"/>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The users are developers and the work lives in code repositories. This is a parallel track, not a rung above the others.</w:t>
            </w:r>
          </w:p>
        </w:tc>
      </w:tr>
    </w:tbl>
    <w:p>
      <w:pPr>
        <w:spacing w:after="160"/>
      </w:pPr>
      <w:r>
        <w:rPr>
          <w:rFonts w:ascii="Calibri" w:cs="Calibri" w:eastAsia="Calibri" w:hAnsi="Calibri"/>
          <w:color w:val="262626"/>
          <w:sz w:val="21"/>
          <w:szCs w:val="21"/>
        </w:rPr>
        <w:t xml:space="preserve"/>
      </w:r>
    </w:p>
    <w:p>
      <w:pPr>
        <w:pStyle w:val="Heading2"/>
        <w:spacing w:after="120" w:before="280"/>
      </w:pPr>
      <w:r>
        <w:rPr>
          <w:rFonts w:ascii="Calibri" w:cs="Calibri" w:eastAsia="Calibri" w:hAnsi="Calibri"/>
          <w:b/>
          <w:bCs/>
          <w:color w:val="2E75B6"/>
          <w:sz w:val="25"/>
          <w:szCs w:val="25"/>
        </w:rPr>
        <w:t xml:space="preserve">The five things leadership needs to take away</w:t>
      </w:r>
    </w:p>
    <w:p>
      <w:pPr>
        <w:pStyle w:val="ListParagraph"/>
        <w:numPr>
          <w:ilvl w:val="0"/>
          <w:numId w:val="2"/>
        </w:numPr>
        <w:spacing w:after="80" w:line="264"/>
      </w:pPr>
      <w:r>
        <w:rPr>
          <w:rFonts w:ascii="Calibri" w:cs="Calibri" w:eastAsia="Calibri" w:hAnsi="Calibri"/>
          <w:b/>
          <w:bCs/>
          <w:color w:val="262626"/>
          <w:sz w:val="21"/>
          <w:szCs w:val="21"/>
        </w:rPr>
        <w:t xml:space="preserve">Most "we need to build an agent" requests are enablement problems. </w:t>
      </w:r>
      <w:r>
        <w:rPr>
          <w:rFonts w:ascii="Calibri" w:cs="Calibri" w:eastAsia="Calibri" w:hAnsi="Calibri"/>
          <w:color w:val="262626"/>
          <w:sz w:val="21"/>
          <w:szCs w:val="21"/>
        </w:rPr>
        <w:t xml:space="preserve">Before any build is approved, someone must demonstrate that Microsoft 365 Copilot as licensed cannot already do it. In practice a large share of requests die at this gate, and that is a success, not a failure.</w:t>
      </w:r>
    </w:p>
    <w:p>
      <w:pPr>
        <w:pStyle w:val="ListParagraph"/>
        <w:numPr>
          <w:ilvl w:val="0"/>
          <w:numId w:val="2"/>
        </w:numPr>
        <w:spacing w:after="80" w:line="264"/>
      </w:pPr>
      <w:r>
        <w:rPr>
          <w:rFonts w:ascii="Calibri" w:cs="Calibri" w:eastAsia="Calibri" w:hAnsi="Calibri"/>
          <w:b/>
          <w:bCs/>
          <w:color w:val="262626"/>
          <w:sz w:val="21"/>
          <w:szCs w:val="21"/>
        </w:rPr>
        <w:t xml:space="preserve">The licence is the floor, not the ceiling, of the cost. </w:t>
      </w:r>
      <w:r>
        <w:rPr>
          <w:rFonts w:ascii="Calibri" w:cs="Calibri" w:eastAsia="Calibri" w:hAnsi="Calibri"/>
          <w:color w:val="262626"/>
          <w:sz w:val="21"/>
          <w:szCs w:val="21"/>
        </w:rPr>
        <w:t xml:space="preserve">Microsoft 365 Copilot is roughly US$30 per user per month on an annual commitment, on top of a qualifying Microsoft 365 plan. Agents built in Copilot Studio consume Copilot Credits on top of that. A custom build adds model tokens, Azure hosting and — by far the largest line — engineering time that never ends.</w:t>
      </w:r>
    </w:p>
    <w:p>
      <w:pPr>
        <w:pStyle w:val="ListParagraph"/>
        <w:numPr>
          <w:ilvl w:val="0"/>
          <w:numId w:val="2"/>
        </w:numPr>
        <w:spacing w:after="80" w:line="264"/>
      </w:pPr>
      <w:r>
        <w:rPr>
          <w:rFonts w:ascii="Calibri" w:cs="Calibri" w:eastAsia="Calibri" w:hAnsi="Calibri"/>
          <w:b/>
          <w:bCs/>
          <w:color w:val="262626"/>
          <w:sz w:val="21"/>
          <w:szCs w:val="21"/>
        </w:rPr>
        <w:t xml:space="preserve">Custom is a commitment to own compliance. </w:t>
      </w:r>
      <w:r>
        <w:rPr>
          <w:rFonts w:ascii="Calibri" w:cs="Calibri" w:eastAsia="Calibri" w:hAnsi="Calibri"/>
          <w:color w:val="262626"/>
          <w:sz w:val="21"/>
          <w:szCs w:val="21"/>
        </w:rPr>
        <w:t xml:space="preserve">Declarative agents inherit Microsoft 365’s security, compliance and responsible-AI posture. The moment we run our own orchestrator, that inheritance stops and we own content safety, data residency, auditability and red-teaming ourselves. That is the single most under-estimated cost of going custom.</w:t>
      </w:r>
    </w:p>
    <w:p>
      <w:pPr>
        <w:pStyle w:val="ListParagraph"/>
        <w:numPr>
          <w:ilvl w:val="0"/>
          <w:numId w:val="2"/>
        </w:numPr>
        <w:spacing w:after="80" w:line="264"/>
      </w:pPr>
      <w:r>
        <w:rPr>
          <w:rFonts w:ascii="Calibri" w:cs="Calibri" w:eastAsia="Calibri" w:hAnsi="Calibri"/>
          <w:b/>
          <w:bCs/>
          <w:color w:val="262626"/>
          <w:sz w:val="21"/>
          <w:szCs w:val="21"/>
        </w:rPr>
        <w:t xml:space="preserve">Token limits are a design constraint, not a trivia question. </w:t>
      </w:r>
      <w:r>
        <w:rPr>
          <w:rFonts w:ascii="Calibri" w:cs="Calibri" w:eastAsia="Calibri" w:hAnsi="Calibri"/>
          <w:color w:val="262626"/>
          <w:sz w:val="21"/>
          <w:szCs w:val="21"/>
        </w:rPr>
        <w:t xml:space="preserve">A one-million-token context window does not mean you should fill it. Cost scales with tokens, latency scales with tokens, and accuracy degrades well before the window is full. Section 9 gives the published limits; Section 10 gives the discipline.</w:t>
      </w:r>
    </w:p>
    <w:p>
      <w:pPr>
        <w:pStyle w:val="ListParagraph"/>
        <w:numPr>
          <w:ilvl w:val="0"/>
          <w:numId w:val="2"/>
        </w:numPr>
        <w:spacing w:after="80" w:line="264"/>
      </w:pPr>
      <w:r>
        <w:rPr>
          <w:rFonts w:ascii="Calibri" w:cs="Calibri" w:eastAsia="Calibri" w:hAnsi="Calibri"/>
          <w:b/>
          <w:bCs/>
          <w:color w:val="262626"/>
          <w:sz w:val="21"/>
          <w:szCs w:val="21"/>
        </w:rPr>
        <w:t xml:space="preserve">GitHub Copilot customisation is the highest-return work available to us right now. </w:t>
      </w:r>
      <w:r>
        <w:rPr>
          <w:rFonts w:ascii="Calibri" w:cs="Calibri" w:eastAsia="Calibri" w:hAnsi="Calibri"/>
          <w:color w:val="262626"/>
          <w:sz w:val="21"/>
          <w:szCs w:val="21"/>
        </w:rPr>
        <w:t xml:space="preserve">Custom agents and agent skills are Markdown files committed to a repository. They cost nothing beyond the licences we already hold, they are version-controlled and reviewable, and they encode our standards so every developer gets the same quality of help. Section 8 covers this in full.</w:t>
      </w:r>
    </w:p>
    <w:p>
      <w:pPr>
        <w:spacing w:after="160"/>
      </w:pPr>
      <w:r>
        <w:rPr>
          <w:rFonts w:ascii="Calibri" w:cs="Calibri" w:eastAsia="Calibri" w:hAnsi="Calibri"/>
          <w:color w:val="262626"/>
          <w:sz w:val="21"/>
          <w:szCs w:val="21"/>
        </w:rPr>
        <w:t xml:space="preserve"/>
      </w:r>
    </w:p>
    <w:tbl>
      <w:tblPr>
        <w:tblW w:type="dxa" w:w="10080"/>
        <w:tblBorders>
          <w:top w:val="none"/>
          <w:left w:val="single" w:color="538135" w:sz="24"/>
          <w:bottom w:val="none"/>
          <w:right w:val="none"/>
          <w:insideH w:val="none"/>
          <w:insideV w:val="none"/>
        </w:tblBorders>
      </w:tblPr>
      <w:tblGrid>
        <w:gridCol w:w="10080"/>
      </w:tblGrid>
      <w:tr>
        <w:tc>
          <w:tcPr>
            <w:tcW w:type="dxa" w:w="10080"/>
            <w:shd w:fill="EFF7EA" w:val="clear"/>
            <w:tcMar>
              <w:top w:type="dxa" w:w="140"/>
              <w:left w:type="dxa" w:w="200"/>
              <w:bottom w:type="dxa" w:w="140"/>
              <w:right w:type="dxa" w:w="200"/>
            </w:tcMar>
          </w:tcPr>
          <w:p>
            <w:pPr>
              <w:spacing w:after="0" w:line="264"/>
            </w:pPr>
            <w:r>
              <w:rPr>
                <w:rFonts w:ascii="Calibri" w:cs="Calibri" w:eastAsia="Calibri" w:hAnsi="Calibri"/>
                <w:b/>
                <w:bCs/>
                <w:color w:val="538135"/>
                <w:sz w:val="21"/>
                <w:szCs w:val="21"/>
              </w:rPr>
              <w:t xml:space="preserve">The one-line rule.  </w:t>
            </w:r>
            <w:r>
              <w:rPr>
                <w:rFonts w:ascii="Calibri" w:cs="Calibri" w:eastAsia="Calibri" w:hAnsi="Calibri"/>
                <w:color w:val="262626"/>
                <w:sz w:val="21"/>
                <w:szCs w:val="21"/>
              </w:rPr>
              <w:t xml:space="preserve">Use Copilot standard until you can name the capability it lacks. Build declarative until you can name the orchestration you need. Build custom only when you can name the requirement that Copilot Studio cannot meet — and are willing to staff it for three years.</w:t>
            </w:r>
          </w:p>
        </w:tc>
      </w:tr>
    </w:tbl>
    <w:p>
      <w:pPr>
        <w:pStyle w:val="Heading1"/>
        <w:pageBreakBefore/>
        <w:pBdr>
          <w:bottom w:val="single" w:color="2E75B6" w:sz="12" w:space="6"/>
        </w:pBdr>
        <w:spacing w:after="200" w:before="0"/>
      </w:pPr>
      <w:r>
        <w:rPr>
          <w:rFonts w:ascii="Calibri" w:cs="Calibri" w:eastAsia="Calibri" w:hAnsi="Calibri"/>
          <w:b/>
          <w:bCs/>
          <w:color w:val="1F3864"/>
          <w:sz w:val="32"/>
          <w:szCs w:val="32"/>
        </w:rPr>
        <w:t xml:space="preserve">2. The landscape: what each option actually is</w:t>
      </w:r>
    </w:p>
    <w:p>
      <w:pPr>
        <w:spacing w:after="120" w:before="0" w:line="264"/>
        <w:jc w:val="left"/>
      </w:pPr>
      <w:r>
        <w:rPr>
          <w:rFonts w:ascii="Calibri" w:cs="Calibri" w:eastAsia="Calibri" w:hAnsi="Calibri"/>
          <w:color w:val="262626"/>
          <w:sz w:val="21"/>
          <w:szCs w:val="21"/>
        </w:rPr>
        <w:t xml:space="preserve">The vocabulary in this space is genuinely confusing, partly because Microsoft reuses the word "Copilot" for a consumer chatbot, an enterprise product, a developer tool and a build platform. This section fixes the terms we will use for the rest of the document.</w:t>
      </w:r>
    </w:p>
    <w:p>
      <w:pPr>
        <w:pStyle w:val="Heading2"/>
        <w:spacing w:after="120" w:before="280"/>
      </w:pPr>
      <w:r>
        <w:rPr>
          <w:rFonts w:ascii="Calibri" w:cs="Calibri" w:eastAsia="Calibri" w:hAnsi="Calibri"/>
          <w:b/>
          <w:bCs/>
          <w:color w:val="2E75B6"/>
          <w:sz w:val="25"/>
          <w:szCs w:val="25"/>
        </w:rPr>
        <w:t xml:space="preserve">2.1 Microsoft 365 Copilot (“Copilot standard”)</w:t>
      </w:r>
    </w:p>
    <w:p>
      <w:pPr>
        <w:spacing w:after="120" w:before="0" w:line="264"/>
        <w:jc w:val="left"/>
      </w:pPr>
      <w:r>
        <w:rPr>
          <w:rFonts w:ascii="Calibri" w:cs="Calibri" w:eastAsia="Calibri" w:hAnsi="Calibri"/>
          <w:color w:val="262626"/>
          <w:sz w:val="21"/>
          <w:szCs w:val="21"/>
        </w:rPr>
        <w:t xml:space="preserve">The licensed product that puts Copilot inside Word, Excel, PowerPoint, Outlook, Teams and the Microsoft 365 Copilot chat experience. It is grounded in your tenant’s data through Microsoft Graph, and — this is the part that matters for governance — it only ever sees data the signed-in user is already permitted to see. Prompts are preprocessed and grounded against Graph before the model is called, and the interaction is stored in the user’s own chat history.</w:t>
      </w:r>
    </w:p>
    <w:p>
      <w:pPr>
        <w:spacing w:after="120" w:before="0" w:line="264"/>
        <w:jc w:val="left"/>
      </w:pPr>
      <w:r>
        <w:rPr>
          <w:rFonts w:ascii="Calibri" w:cs="Calibri" w:eastAsia="Calibri" w:hAnsi="Calibri"/>
          <w:color w:val="262626"/>
          <w:sz w:val="21"/>
          <w:szCs w:val="21"/>
        </w:rPr>
        <w:t xml:space="preserve">What people miss is how much ships in the box: AI-powered search across 100+ connectors, Copilot Notebooks, Copilot Analytics, and Microsoft’s own prebuilt agents including Researcher, Analyst and Facilitator. A meaningful share of internal "agent" requests are already answered here.</w:t>
      </w:r>
    </w:p>
    <w:p>
      <w:pPr>
        <w:pStyle w:val="Heading2"/>
        <w:spacing w:after="120" w:before="280"/>
      </w:pPr>
      <w:r>
        <w:rPr>
          <w:rFonts w:ascii="Calibri" w:cs="Calibri" w:eastAsia="Calibri" w:hAnsi="Calibri"/>
          <w:b/>
          <w:bCs/>
          <w:color w:val="2E75B6"/>
          <w:sz w:val="25"/>
          <w:szCs w:val="25"/>
        </w:rPr>
        <w:t xml:space="preserve">2.2 Declarative agents</w:t>
      </w:r>
    </w:p>
    <w:p>
      <w:pPr>
        <w:spacing w:after="120" w:before="0" w:line="264"/>
        <w:jc w:val="left"/>
      </w:pPr>
      <w:r>
        <w:rPr>
          <w:rFonts w:ascii="Calibri" w:cs="Calibri" w:eastAsia="Calibri" w:hAnsi="Calibri"/>
          <w:color w:val="262626"/>
          <w:sz w:val="21"/>
          <w:szCs w:val="21"/>
        </w:rPr>
        <w:t xml:space="preserve">A declarative agent is a configuration file, not an application. You declare four things — instructions, knowledge sources, actions, and conversation starters — and Microsoft’s orchestrator and foundation models do the rest. There is no runtime to host, no model to choose, and no infrastructure bill.</w:t>
      </w:r>
    </w:p>
    <w:p>
      <w:pPr>
        <w:spacing w:after="120" w:before="0" w:line="264"/>
        <w:jc w:val="left"/>
      </w:pPr>
      <w:r>
        <w:rPr>
          <w:rFonts w:ascii="Calibri" w:cs="Calibri" w:eastAsia="Calibri" w:hAnsi="Calibri"/>
          <w:color w:val="262626"/>
          <w:sz w:val="21"/>
          <w:szCs w:val="21"/>
        </w:rPr>
        <w:t xml:space="preserve">Because it runs inside the Microsoft 365 service boundary, it automatically inherits Microsoft 365 compliance, responsible-AI and security standards. The trade-off is real: it cannot act proactively (every interaction is user-initiated), it is limited to Microsoft 365 channels, and you are bound by what Copilot’s orchestrator can do.</w:t>
      </w:r>
    </w:p>
    <w:p>
      <w:pPr>
        <w:spacing w:after="120" w:before="0" w:line="264"/>
        <w:jc w:val="left"/>
      </w:pPr>
      <w:r>
        <w:rPr>
          <w:rFonts w:ascii="Calibri" w:cs="Calibri" w:eastAsia="Calibri" w:hAnsi="Calibri"/>
          <w:color w:val="262626"/>
          <w:sz w:val="21"/>
          <w:szCs w:val="21"/>
        </w:rPr>
        <w:t xml:space="preserve">Four tools build declarative agents, and the choice between them is about who is doing the building, not about what the agent can do:</w:t>
      </w:r>
    </w:p>
    <w:p>
      <w:pPr>
        <w:pStyle w:val="ListParagraph"/>
        <w:numPr>
          <w:ilvl w:val="0"/>
          <w:numId w:val="3"/>
        </w:numPr>
        <w:spacing w:after="80" w:line="264"/>
      </w:pPr>
      <w:r>
        <w:rPr>
          <w:rFonts w:ascii="Calibri" w:cs="Calibri" w:eastAsia="Calibri" w:hAnsi="Calibri"/>
          <w:b/>
          <w:bCs/>
          <w:color w:val="262626"/>
          <w:sz w:val="21"/>
          <w:szCs w:val="21"/>
        </w:rPr>
        <w:t xml:space="preserve">Agent Builder </w:t>
      </w:r>
      <w:r>
        <w:rPr>
          <w:rFonts w:ascii="Calibri" w:cs="Calibri" w:eastAsia="Calibri" w:hAnsi="Calibri"/>
          <w:color w:val="262626"/>
          <w:sz w:val="21"/>
          <w:szCs w:val="21"/>
        </w:rPr>
        <w:t xml:space="preserve">— no-code, natural-language authoring with a test pane. For business users. Does not handle complex workflows.</w:t>
      </w:r>
    </w:p>
    <w:p>
      <w:pPr>
        <w:pStyle w:val="ListParagraph"/>
        <w:numPr>
          <w:ilvl w:val="0"/>
          <w:numId w:val="3"/>
        </w:numPr>
        <w:spacing w:after="80" w:line="264"/>
      </w:pPr>
      <w:r>
        <w:rPr>
          <w:rFonts w:ascii="Calibri" w:cs="Calibri" w:eastAsia="Calibri" w:hAnsi="Calibri"/>
          <w:b/>
          <w:bCs/>
          <w:color w:val="262626"/>
          <w:sz w:val="21"/>
          <w:szCs w:val="21"/>
        </w:rPr>
        <w:t xml:space="preserve">SharePoint </w:t>
      </w:r>
      <w:r>
        <w:rPr>
          <w:rFonts w:ascii="Calibri" w:cs="Calibri" w:eastAsia="Calibri" w:hAnsi="Calibri"/>
          <w:color w:val="262626"/>
          <w:sz w:val="21"/>
          <w:szCs w:val="21"/>
        </w:rPr>
        <w:t xml:space="preserve">— no-code, scoped to specific sites and document libraries, discoverable in Teams. For site owners.</w:t>
      </w:r>
    </w:p>
    <w:p>
      <w:pPr>
        <w:pStyle w:val="ListParagraph"/>
        <w:numPr>
          <w:ilvl w:val="0"/>
          <w:numId w:val="3"/>
        </w:numPr>
        <w:spacing w:after="80" w:line="264"/>
      </w:pPr>
      <w:r>
        <w:rPr>
          <w:rFonts w:ascii="Calibri" w:cs="Calibri" w:eastAsia="Calibri" w:hAnsi="Calibri"/>
          <w:b/>
          <w:bCs/>
          <w:color w:val="262626"/>
          <w:sz w:val="21"/>
          <w:szCs w:val="21"/>
        </w:rPr>
        <w:t xml:space="preserve">Copilot Studio </w:t>
      </w:r>
      <w:r>
        <w:rPr>
          <w:rFonts w:ascii="Calibri" w:cs="Calibri" w:eastAsia="Calibri" w:hAnsi="Calibri"/>
          <w:color w:val="262626"/>
          <w:sz w:val="21"/>
          <w:szCs w:val="21"/>
        </w:rPr>
        <w:t xml:space="preserve">— low-code, drag-and-drop, hundreds of prebuilt Power Platform connectors, ALM through Power Platform pipelines. For information workers and departmental builders.</w:t>
      </w:r>
    </w:p>
    <w:p>
      <w:pPr>
        <w:pStyle w:val="ListParagraph"/>
        <w:numPr>
          <w:ilvl w:val="0"/>
          <w:numId w:val="3"/>
        </w:numPr>
        <w:spacing w:after="80" w:line="264"/>
      </w:pPr>
      <w:r>
        <w:rPr>
          <w:rFonts w:ascii="Calibri" w:cs="Calibri" w:eastAsia="Calibri" w:hAnsi="Calibri"/>
          <w:b/>
          <w:bCs/>
          <w:color w:val="262626"/>
          <w:sz w:val="21"/>
          <w:szCs w:val="21"/>
        </w:rPr>
        <w:t xml:space="preserve">Microsoft 365 Agents Toolkit </w:t>
      </w:r>
      <w:r>
        <w:rPr>
          <w:rFonts w:ascii="Calibri" w:cs="Calibri" w:eastAsia="Calibri" w:hAnsi="Calibri"/>
          <w:color w:val="262626"/>
          <w:sz w:val="21"/>
          <w:szCs w:val="21"/>
        </w:rPr>
        <w:t xml:space="preserve">— pro-code in VS Code / Visual Studio, custom API actions from OpenAPI specs, version control and CI/CD, full Adaptive Cards authoring, fastest access to new features. For professional developers. Note that agents built here cannot be reused in low-code tools.</w:t>
      </w:r>
    </w:p>
    <w:tbl>
      <w:tblPr>
        <w:tblW w:type="dxa" w:w="10080"/>
        <w:tblBorders>
          <w:top w:val="none"/>
          <w:left w:val="single" w:color="BF8F00" w:sz="24"/>
          <w:bottom w:val="none"/>
          <w:right w:val="none"/>
          <w:insideH w:val="none"/>
          <w:insideV w:val="none"/>
        </w:tblBorders>
      </w:tblPr>
      <w:tblGrid>
        <w:gridCol w:w="10080"/>
      </w:tblGrid>
      <w:tr>
        <w:tc>
          <w:tcPr>
            <w:tcW w:type="dxa" w:w="10080"/>
            <w:shd w:fill="FFF8E7" w:val="clear"/>
            <w:tcMar>
              <w:top w:type="dxa" w:w="140"/>
              <w:left w:type="dxa" w:w="200"/>
              <w:bottom w:type="dxa" w:w="140"/>
              <w:right w:type="dxa" w:w="200"/>
            </w:tcMar>
          </w:tcPr>
          <w:p>
            <w:pPr>
              <w:spacing w:after="0" w:line="264"/>
            </w:pPr>
            <w:r>
              <w:rPr>
                <w:rFonts w:ascii="Calibri" w:cs="Calibri" w:eastAsia="Calibri" w:hAnsi="Calibri"/>
                <w:b/>
                <w:bCs/>
                <w:color w:val="BF8F00"/>
                <w:sz w:val="21"/>
                <w:szCs w:val="21"/>
              </w:rPr>
              <w:t xml:space="preserve">Watch this trade-off.  </w:t>
            </w:r>
            <w:r>
              <w:rPr>
                <w:rFonts w:ascii="Calibri" w:cs="Calibri" w:eastAsia="Calibri" w:hAnsi="Calibri"/>
                <w:color w:val="262626"/>
                <w:sz w:val="21"/>
                <w:szCs w:val="21"/>
              </w:rPr>
              <w:t xml:space="preserve">Copilot Studio gives you connectors but less control over API calls and response formatting, and its Adaptive Cards support is pinned to schema 1.6. The Agents Toolkit gives you full control but no drag-and-drop connectors and requires hand-editing JSON. Pick based on which constraint hurts less in your use case.</w:t>
            </w:r>
          </w:p>
        </w:tc>
      </w:tr>
    </w:tbl>
    <w:p>
      <w:pPr>
        <w:pStyle w:val="Heading2"/>
        <w:spacing w:after="120" w:before="280"/>
      </w:pPr>
      <w:r>
        <w:rPr>
          <w:rFonts w:ascii="Calibri" w:cs="Calibri" w:eastAsia="Calibri" w:hAnsi="Calibri"/>
          <w:b/>
          <w:bCs/>
          <w:color w:val="2E75B6"/>
          <w:sz w:val="25"/>
          <w:szCs w:val="25"/>
        </w:rPr>
        <w:t xml:space="preserve">2.3 Custom engine agents</w:t>
      </w:r>
    </w:p>
    <w:p>
      <w:pPr>
        <w:spacing w:after="120" w:before="0" w:line="264"/>
        <w:jc w:val="left"/>
      </w:pPr>
      <w:r>
        <w:rPr>
          <w:rFonts w:ascii="Calibri" w:cs="Calibri" w:eastAsia="Calibri" w:hAnsi="Calibri"/>
          <w:color w:val="262626"/>
          <w:sz w:val="21"/>
          <w:szCs w:val="21"/>
        </w:rPr>
        <w:t xml:space="preserve">Here you bring your own orchestrator and your own model — a foundation model, a small language model, a fine-tuned model, or an industry-specific one. In exchange for complete control over behaviour and logic, you take on hosting costs and, critically, you must independently ensure compliance, responsible-AI practice and security.</w:t>
      </w:r>
    </w:p>
    <w:p>
      <w:pPr>
        <w:spacing w:after="120" w:before="0" w:line="264"/>
        <w:jc w:val="left"/>
      </w:pPr>
      <w:r>
        <w:rPr>
          <w:rFonts w:ascii="Calibri" w:cs="Calibri" w:eastAsia="Calibri" w:hAnsi="Calibri"/>
          <w:color w:val="262626"/>
          <w:sz w:val="21"/>
          <w:szCs w:val="21"/>
        </w:rPr>
        <w:t xml:space="preserve">Custom engine agents unlock four things declarative agents cannot do: proactive and autonomous interaction without a user prompt; channels outside Microsoft 365; group collaboration rather than individual use; and arbitrary business logic such as multi-step approval chains with branching rules.</w:t>
      </w:r>
    </w:p>
    <w:p>
      <w:pPr>
        <w:spacing w:after="120" w:before="0" w:line="264"/>
        <w:jc w:val="left"/>
      </w:pPr>
      <w:r>
        <w:rPr>
          <w:rFonts w:ascii="Calibri" w:cs="Calibri" w:eastAsia="Calibri" w:hAnsi="Calibri"/>
          <w:color w:val="262626"/>
          <w:sz w:val="21"/>
          <w:szCs w:val="21"/>
        </w:rPr>
        <w:t xml:space="preserve">They can be built low-code in Copilot Studio or pro-code with .NET, Python or JavaScript using Semantic Kernel, the Microsoft Agent Framework, or LangChain-family libraries.</w:t>
      </w:r>
    </w:p>
    <w:p>
      <w:pPr>
        <w:pStyle w:val="Heading2"/>
        <w:spacing w:after="120" w:before="280"/>
      </w:pPr>
      <w:r>
        <w:rPr>
          <w:rFonts w:ascii="Calibri" w:cs="Calibri" w:eastAsia="Calibri" w:hAnsi="Calibri"/>
          <w:b/>
          <w:bCs/>
          <w:color w:val="2E75B6"/>
          <w:sz w:val="25"/>
          <w:szCs w:val="25"/>
        </w:rPr>
        <w:t xml:space="preserve">2.4 Fully custom builds</w:t>
      </w:r>
    </w:p>
    <w:p>
      <w:pPr>
        <w:spacing w:after="120" w:before="0" w:line="264"/>
        <w:jc w:val="left"/>
      </w:pPr>
      <w:r>
        <w:rPr>
          <w:rFonts w:ascii="Calibri" w:cs="Calibri" w:eastAsia="Calibri" w:hAnsi="Calibri"/>
          <w:color w:val="262626"/>
          <w:sz w:val="21"/>
          <w:szCs w:val="21"/>
        </w:rPr>
        <w:t xml:space="preserve">At the far end, we own everything: the orchestrator, the retrieval layer, memory and state, the evaluation harness, the guardrails, the telemetry and the hosting. The common Microsoft-estate landing zone is Azure AI Foundry Agent Service, often with the Microsoft Agent Framework or Semantic Kernel for orchestration and the Model Context Protocol (MCP) for tool exposure.</w:t>
      </w:r>
    </w:p>
    <w:p>
      <w:pPr>
        <w:spacing w:after="120" w:before="0" w:line="264"/>
        <w:jc w:val="left"/>
      </w:pPr>
      <w:r>
        <w:rPr>
          <w:rFonts w:ascii="Calibri" w:cs="Calibri" w:eastAsia="Calibri" w:hAnsi="Calibri"/>
          <w:color w:val="262626"/>
          <w:sz w:val="21"/>
          <w:szCs w:val="21"/>
        </w:rPr>
        <w:t xml:space="preserve">This is the right answer for a narrow set of problems and the wrong answer for most. Section 5 sets the bar a request must clear to justify it.</w:t>
      </w:r>
    </w:p>
    <w:p>
      <w:pPr>
        <w:pStyle w:val="Heading2"/>
        <w:spacing w:after="120" w:before="280"/>
      </w:pPr>
      <w:r>
        <w:rPr>
          <w:rFonts w:ascii="Calibri" w:cs="Calibri" w:eastAsia="Calibri" w:hAnsi="Calibri"/>
          <w:b/>
          <w:bCs/>
          <w:color w:val="2E75B6"/>
          <w:sz w:val="25"/>
          <w:szCs w:val="25"/>
        </w:rPr>
        <w:t xml:space="preserve">2.5 GitHub Copilot — a parallel track</w:t>
      </w:r>
    </w:p>
    <w:p>
      <w:pPr>
        <w:spacing w:after="120" w:before="0" w:line="264"/>
        <w:jc w:val="left"/>
      </w:pPr>
      <w:r>
        <w:rPr>
          <w:rFonts w:ascii="Calibri" w:cs="Calibri" w:eastAsia="Calibri" w:hAnsi="Calibri"/>
          <w:color w:val="262626"/>
          <w:sz w:val="21"/>
          <w:szCs w:val="21"/>
        </w:rPr>
        <w:t xml:space="preserve">GitHub Copilot is not a rung on the same ladder; it serves a different population (developers) on a different surface (repositories and IDEs). It matters to this document for two reasons. First, it is where agent customisation pays back fastest, through custom agents and agent skills committed to the repo. Second, its billing model moved to token-based consumption on 1 June 2026, which makes it the clearest worked example of why token discipline matters. Section 8 covers it in full.</w:t>
      </w:r>
    </w:p>
    <w:p>
      <w:pPr>
        <w:pStyle w:val="Heading1"/>
        <w:pageBreakBefore/>
        <w:pBdr>
          <w:bottom w:val="single" w:color="2E75B6" w:sz="12" w:space="6"/>
        </w:pBdr>
        <w:spacing w:after="200" w:before="0"/>
      </w:pPr>
      <w:r>
        <w:rPr>
          <w:rFonts w:ascii="Calibri" w:cs="Calibri" w:eastAsia="Calibri" w:hAnsi="Calibri"/>
          <w:b/>
          <w:bCs/>
          <w:color w:val="1F3864"/>
          <w:sz w:val="32"/>
          <w:szCs w:val="32"/>
        </w:rPr>
        <w:t xml:space="preserve">3. The decision framework</w:t>
      </w:r>
    </w:p>
    <w:p>
      <w:pPr>
        <w:pStyle w:val="Heading2"/>
        <w:spacing w:after="120" w:before="280"/>
      </w:pPr>
      <w:r>
        <w:rPr>
          <w:rFonts w:ascii="Calibri" w:cs="Calibri" w:eastAsia="Calibri" w:hAnsi="Calibri"/>
          <w:b/>
          <w:bCs/>
          <w:color w:val="2E75B6"/>
          <w:sz w:val="25"/>
          <w:szCs w:val="25"/>
        </w:rPr>
        <w:t xml:space="preserve">3.1 The decision flowchart</w:t>
      </w:r>
    </w:p>
    <w:p>
      <w:pPr>
        <w:spacing w:after="120" w:before="0" w:line="264"/>
        <w:jc w:val="left"/>
      </w:pPr>
      <w:r>
        <w:rPr>
          <w:rFonts w:ascii="Calibri" w:cs="Calibri" w:eastAsia="Calibri" w:hAnsi="Calibri"/>
          <w:color w:val="262626"/>
          <w:sz w:val="21"/>
          <w:szCs w:val="21"/>
        </w:rPr>
        <w:t xml:space="preserve">Run every candidate use case through this before any build work is scheduled. The two gates that matter most are the first one — is this even an agent problem? — and the second — does Copilot already do it?</w:t>
      </w:r>
    </w:p>
    <w:p>
      <w:pPr>
        <w:spacing w:after="60"/>
      </w:pPr>
      <w:r>
        <w:rPr>
          <w:rFonts w:ascii="Calibri" w:cs="Calibri" w:eastAsia="Calibri" w:hAnsi="Calibri"/>
          <w:color w:val="262626"/>
          <w:sz w:val="21"/>
          <w:szCs w:val="21"/>
        </w:rPr>
        <w:t xml:space="preserv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Mar>
              <w:top w:type="dxa" w:w="0"/>
              <w:left w:type="dxa" w:w="0"/>
              <w:bottom w:type="dxa" w:w="0"/>
              <w:right w:type="dxa" w:w="0"/>
            </w:tcMar>
          </w:tcPr>
          <w:p>
            <w:pPr>
              <w:spacing w:after="0" w:before="0" w:line="240" w:lineRule="auto"/>
              <w:jc w:val="center"/>
            </w:pPr>
            <w:r>
              <w:drawing>
                <wp:inline distT="0" distB="0" distL="0" distR="0">
                  <wp:extent cx="5600700" cy="468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00700" cy="4686300"/>
                          </a:xfrm>
                          <a:prstGeom prst="rect">
                            <a:avLst/>
                          </a:prstGeom>
                        </pic:spPr>
                      </pic:pic>
                    </a:graphicData>
                  </a:graphic>
                </wp:inline>
              </w:drawing>
            </w:r>
          </w:p>
          <w:p>
            <w:pPr>
              <w:spacing w:after="0" w:before="100"/>
              <w:jc w:val="center"/>
            </w:pPr>
            <w:r>
              <w:rPr>
                <w:rFonts w:ascii="Calibri" w:cs="Calibri" w:eastAsia="Calibri" w:hAnsi="Calibri"/>
                <w:i/>
                <w:iCs/>
                <w:color w:val="595959"/>
                <w:sz w:val="18"/>
                <w:szCs w:val="18"/>
              </w:rPr>
              <w:t xml:space="preserve">Figure 1 — Agent build decision tree. Start at the top; stop at the first terminal box you reach.</w:t>
            </w:r>
          </w:p>
        </w:tc>
      </w:tr>
    </w:tbl>
    <w:p>
      <w:pPr>
        <w:spacing w:after="200"/>
      </w:pPr>
      <w:r>
        <w:rPr>
          <w:rFonts w:ascii="Calibri" w:cs="Calibri" w:eastAsia="Calibri" w:hAnsi="Calibri"/>
          <w:color w:val="262626"/>
          <w:sz w:val="21"/>
          <w:szCs w:val="21"/>
        </w:rPr>
        <w:t xml:space="preserve"/>
      </w:r>
    </w:p>
    <w:p>
      <w:pPr>
        <w:pStyle w:val="Heading2"/>
        <w:spacing w:after="120" w:before="280"/>
      </w:pPr>
      <w:r>
        <w:rPr>
          <w:rFonts w:ascii="Calibri" w:cs="Calibri" w:eastAsia="Calibri" w:hAnsi="Calibri"/>
          <w:b/>
          <w:bCs/>
          <w:color w:val="2E75B6"/>
          <w:sz w:val="25"/>
          <w:szCs w:val="25"/>
        </w:rPr>
        <w:t xml:space="preserve">3.2 The eight decision criteria</w:t>
      </w:r>
    </w:p>
    <w:p>
      <w:pPr>
        <w:spacing w:after="120" w:before="0" w:line="264"/>
        <w:jc w:val="left"/>
      </w:pPr>
      <w:r>
        <w:rPr>
          <w:rFonts w:ascii="Calibri" w:cs="Calibri" w:eastAsia="Calibri" w:hAnsi="Calibri"/>
          <w:color w:val="262626"/>
          <w:sz w:val="21"/>
          <w:szCs w:val="21"/>
        </w:rPr>
        <w:t xml:space="preserve">Where the flowchart gives a binary answer, the matrix below gives a weighted one. Score your use case 1–5 against each criterion, multiply by the weight, and compare totals. The weights below are our recommended defaults for an organisation of our size; adjust them deliberately and record why.</w:t>
      </w:r>
    </w:p>
    <w:p>
      <w:pPr>
        <w:spacing w:after="90" w:before="200"/>
      </w:pPr>
      <w:r>
        <w:rPr>
          <w:rFonts w:ascii="Calibri" w:cs="Calibri" w:eastAsia="Calibri" w:hAnsi="Calibri"/>
          <w:b/>
          <w:bCs/>
          <w:color w:val="1F3864"/>
          <w:sz w:val="19"/>
          <w:szCs w:val="19"/>
        </w:rPr>
        <w:t xml:space="preserve">Table 3.1 — Weighted decision matrix (5 = strongest fit)</w:t>
      </w:r>
    </w:p>
    <w:tbl>
      <w:tblPr>
        <w:tblW w:type="dxa" w:w="10080"/>
        <w:tblBorders>
          <w:top w:val="single" w:color="BFBFBF" w:sz="4"/>
          <w:left w:val="single" w:color="BFBFBF" w:sz="4"/>
          <w:bottom w:val="single" w:color="BFBFBF" w:sz="4"/>
          <w:right w:val="single" w:color="BFBFBF" w:sz="4"/>
          <w:insideH w:val="single" w:color="D9D9D9" w:sz="2"/>
          <w:insideV w:val="single" w:color="D9D9D9" w:sz="2"/>
        </w:tblBorders>
      </w:tblPr>
      <w:tblGrid>
        <w:gridCol w:w="3024"/>
        <w:gridCol w:w="806"/>
        <w:gridCol w:w="1512"/>
        <w:gridCol w:w="1512"/>
        <w:gridCol w:w="1613"/>
        <w:gridCol w:w="1613"/>
      </w:tblGrid>
      <w:tr>
        <w:trPr>
          <w:tblHeader/>
        </w:trPr>
        <w:tc>
          <w:tcPr>
            <w:tcW w:type="dxa" w:w="3024"/>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Criterion</w:t>
            </w:r>
          </w:p>
        </w:tc>
        <w:tc>
          <w:tcPr>
            <w:tcW w:type="dxa" w:w="806"/>
            <w:shd w:fill="1F3864" w:val="clear"/>
            <w:tcMar>
              <w:top w:type="dxa" w:w="90"/>
              <w:left w:type="dxa" w:w="120"/>
              <w:bottom w:type="dxa" w:w="90"/>
              <w:right w:type="dxa" w:w="120"/>
            </w:tcMar>
            <w:vAlign w:val="center"/>
          </w:tcPr>
          <w:p>
            <w:pPr>
              <w:spacing w:after="40" w:before="40" w:line="252"/>
              <w:jc w:val="center"/>
            </w:pPr>
            <w:r>
              <w:rPr>
                <w:rFonts w:ascii="Calibri" w:cs="Calibri" w:eastAsia="Calibri" w:hAnsi="Calibri"/>
                <w:b/>
                <w:bCs/>
                <w:color w:val="FFFFFF"/>
                <w:sz w:val="19"/>
                <w:szCs w:val="19"/>
              </w:rPr>
              <w:t xml:space="preserve">Wt</w:t>
            </w:r>
          </w:p>
        </w:tc>
        <w:tc>
          <w:tcPr>
            <w:tcW w:type="dxa" w:w="1512"/>
            <w:shd w:fill="1F3864" w:val="clear"/>
            <w:tcMar>
              <w:top w:type="dxa" w:w="90"/>
              <w:left w:type="dxa" w:w="120"/>
              <w:bottom w:type="dxa" w:w="90"/>
              <w:right w:type="dxa" w:w="120"/>
            </w:tcMar>
            <w:vAlign w:val="center"/>
          </w:tcPr>
          <w:p>
            <w:pPr>
              <w:spacing w:after="40" w:before="40" w:line="252"/>
              <w:jc w:val="center"/>
            </w:pPr>
            <w:r>
              <w:rPr>
                <w:rFonts w:ascii="Calibri" w:cs="Calibri" w:eastAsia="Calibri" w:hAnsi="Calibri"/>
                <w:b/>
                <w:bCs/>
                <w:color w:val="FFFFFF"/>
                <w:sz w:val="19"/>
                <w:szCs w:val="19"/>
              </w:rPr>
              <w:t xml:space="preserve">Copilot standard</w:t>
            </w:r>
          </w:p>
        </w:tc>
        <w:tc>
          <w:tcPr>
            <w:tcW w:type="dxa" w:w="1512"/>
            <w:shd w:fill="1F3864" w:val="clear"/>
            <w:tcMar>
              <w:top w:type="dxa" w:w="90"/>
              <w:left w:type="dxa" w:w="120"/>
              <w:bottom w:type="dxa" w:w="90"/>
              <w:right w:type="dxa" w:w="120"/>
            </w:tcMar>
            <w:vAlign w:val="center"/>
          </w:tcPr>
          <w:p>
            <w:pPr>
              <w:spacing w:after="40" w:before="40" w:line="252"/>
              <w:jc w:val="center"/>
            </w:pPr>
            <w:r>
              <w:rPr>
                <w:rFonts w:ascii="Calibri" w:cs="Calibri" w:eastAsia="Calibri" w:hAnsi="Calibri"/>
                <w:b/>
                <w:bCs/>
                <w:color w:val="FFFFFF"/>
                <w:sz w:val="19"/>
                <w:szCs w:val="19"/>
              </w:rPr>
              <w:t xml:space="preserve">Declarative agent</w:t>
            </w:r>
          </w:p>
        </w:tc>
        <w:tc>
          <w:tcPr>
            <w:tcW w:type="dxa" w:w="1613"/>
            <w:shd w:fill="1F3864" w:val="clear"/>
            <w:tcMar>
              <w:top w:type="dxa" w:w="90"/>
              <w:left w:type="dxa" w:w="120"/>
              <w:bottom w:type="dxa" w:w="90"/>
              <w:right w:type="dxa" w:w="120"/>
            </w:tcMar>
            <w:vAlign w:val="center"/>
          </w:tcPr>
          <w:p>
            <w:pPr>
              <w:spacing w:after="40" w:before="40" w:line="252"/>
              <w:jc w:val="center"/>
            </w:pPr>
            <w:r>
              <w:rPr>
                <w:rFonts w:ascii="Calibri" w:cs="Calibri" w:eastAsia="Calibri" w:hAnsi="Calibri"/>
                <w:b/>
                <w:bCs/>
                <w:color w:val="FFFFFF"/>
                <w:sz w:val="19"/>
                <w:szCs w:val="19"/>
              </w:rPr>
              <w:t xml:space="preserve">Custom engine (Studio)</w:t>
            </w:r>
          </w:p>
        </w:tc>
        <w:tc>
          <w:tcPr>
            <w:tcW w:type="dxa" w:w="1613"/>
            <w:shd w:fill="1F3864" w:val="clear"/>
            <w:tcMar>
              <w:top w:type="dxa" w:w="90"/>
              <w:left w:type="dxa" w:w="120"/>
              <w:bottom w:type="dxa" w:w="90"/>
              <w:right w:type="dxa" w:w="120"/>
            </w:tcMar>
            <w:vAlign w:val="center"/>
          </w:tcPr>
          <w:p>
            <w:pPr>
              <w:spacing w:after="40" w:before="40" w:line="252"/>
              <w:jc w:val="center"/>
            </w:pPr>
            <w:r>
              <w:rPr>
                <w:rFonts w:ascii="Calibri" w:cs="Calibri" w:eastAsia="Calibri" w:hAnsi="Calibri"/>
                <w:b/>
                <w:bCs/>
                <w:color w:val="FFFFFF"/>
                <w:sz w:val="19"/>
                <w:szCs w:val="19"/>
              </w:rPr>
              <w:t xml:space="preserve">Custom build</w:t>
            </w:r>
          </w:p>
        </w:tc>
      </w:tr>
      <w:tr>
        <w:trPr>
          <w:cantSplit/>
        </w:trPr>
        <w:tc>
          <w:tcPr>
            <w:tcW w:type="dxa" w:w="3024"/>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Time to first production value</w:t>
            </w:r>
          </w:p>
        </w:tc>
        <w:tc>
          <w:tcPr>
            <w:tcW w:type="dxa" w:w="806"/>
            <w:shd w:fill="F4F6F9"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15%</w:t>
            </w:r>
          </w:p>
        </w:tc>
        <w:tc>
          <w:tcPr>
            <w:tcW w:type="dxa" w:w="1512"/>
            <w:shd w:fill="F4F6F9"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5</w:t>
            </w:r>
          </w:p>
        </w:tc>
        <w:tc>
          <w:tcPr>
            <w:tcW w:type="dxa" w:w="1512"/>
            <w:shd w:fill="F4F6F9"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4</w:t>
            </w:r>
          </w:p>
        </w:tc>
        <w:tc>
          <w:tcPr>
            <w:tcW w:type="dxa" w:w="1613"/>
            <w:shd w:fill="F4F6F9"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3</w:t>
            </w:r>
          </w:p>
        </w:tc>
        <w:tc>
          <w:tcPr>
            <w:tcW w:type="dxa" w:w="1613"/>
            <w:shd w:fill="F4F6F9"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1</w:t>
            </w:r>
          </w:p>
        </w:tc>
      </w:tr>
      <w:tr>
        <w:trPr>
          <w:cantSplit/>
        </w:trPr>
        <w:tc>
          <w:tcPr>
            <w:tcW w:type="dxa" w:w="3024"/>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Control over orchestration &amp; model</w:t>
            </w:r>
          </w:p>
        </w:tc>
        <w:tc>
          <w:tcPr>
            <w:tcW w:type="dxa" w:w="806"/>
            <w:shd w:fill="FFFFFF"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10%</w:t>
            </w:r>
          </w:p>
        </w:tc>
        <w:tc>
          <w:tcPr>
            <w:tcW w:type="dxa" w:w="1512"/>
            <w:shd w:fill="FFFFFF"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1</w:t>
            </w:r>
          </w:p>
        </w:tc>
        <w:tc>
          <w:tcPr>
            <w:tcW w:type="dxa" w:w="1512"/>
            <w:shd w:fill="FFFFFF"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2</w:t>
            </w:r>
          </w:p>
        </w:tc>
        <w:tc>
          <w:tcPr>
            <w:tcW w:type="dxa" w:w="1613"/>
            <w:shd w:fill="FFFFFF"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4</w:t>
            </w:r>
          </w:p>
        </w:tc>
        <w:tc>
          <w:tcPr>
            <w:tcW w:type="dxa" w:w="1613"/>
            <w:shd w:fill="FFFFFF"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5</w:t>
            </w:r>
          </w:p>
        </w:tc>
      </w:tr>
      <w:tr>
        <w:trPr>
          <w:cantSplit/>
        </w:trPr>
        <w:tc>
          <w:tcPr>
            <w:tcW w:type="dxa" w:w="3024"/>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Breadth of data grounding</w:t>
            </w:r>
          </w:p>
        </w:tc>
        <w:tc>
          <w:tcPr>
            <w:tcW w:type="dxa" w:w="806"/>
            <w:shd w:fill="F4F6F9"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10%</w:t>
            </w:r>
          </w:p>
        </w:tc>
        <w:tc>
          <w:tcPr>
            <w:tcW w:type="dxa" w:w="1512"/>
            <w:shd w:fill="F4F6F9"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4</w:t>
            </w:r>
          </w:p>
        </w:tc>
        <w:tc>
          <w:tcPr>
            <w:tcW w:type="dxa" w:w="1512"/>
            <w:shd w:fill="F4F6F9"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4</w:t>
            </w:r>
          </w:p>
        </w:tc>
        <w:tc>
          <w:tcPr>
            <w:tcW w:type="dxa" w:w="1613"/>
            <w:shd w:fill="F4F6F9"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4</w:t>
            </w:r>
          </w:p>
        </w:tc>
        <w:tc>
          <w:tcPr>
            <w:tcW w:type="dxa" w:w="1613"/>
            <w:shd w:fill="F4F6F9"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5</w:t>
            </w:r>
          </w:p>
        </w:tc>
      </w:tr>
      <w:tr>
        <w:trPr>
          <w:cantSplit/>
        </w:trPr>
        <w:tc>
          <w:tcPr>
            <w:tcW w:type="dxa" w:w="3024"/>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Reach outside Microsoft 365 channels</w:t>
            </w:r>
          </w:p>
        </w:tc>
        <w:tc>
          <w:tcPr>
            <w:tcW w:type="dxa" w:w="806"/>
            <w:shd w:fill="FFFFFF"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10%</w:t>
            </w:r>
          </w:p>
        </w:tc>
        <w:tc>
          <w:tcPr>
            <w:tcW w:type="dxa" w:w="1512"/>
            <w:shd w:fill="FFFFFF"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1</w:t>
            </w:r>
          </w:p>
        </w:tc>
        <w:tc>
          <w:tcPr>
            <w:tcW w:type="dxa" w:w="1512"/>
            <w:shd w:fill="FFFFFF"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1</w:t>
            </w:r>
          </w:p>
        </w:tc>
        <w:tc>
          <w:tcPr>
            <w:tcW w:type="dxa" w:w="1613"/>
            <w:shd w:fill="FFFFFF"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4</w:t>
            </w:r>
          </w:p>
        </w:tc>
        <w:tc>
          <w:tcPr>
            <w:tcW w:type="dxa" w:w="1613"/>
            <w:shd w:fill="FFFFFF"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5</w:t>
            </w:r>
          </w:p>
        </w:tc>
      </w:tr>
      <w:tr>
        <w:trPr>
          <w:cantSplit/>
        </w:trPr>
        <w:tc>
          <w:tcPr>
            <w:tcW w:type="dxa" w:w="3024"/>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Compliance burden carried by Microsoft</w:t>
            </w:r>
          </w:p>
        </w:tc>
        <w:tc>
          <w:tcPr>
            <w:tcW w:type="dxa" w:w="806"/>
            <w:shd w:fill="F4F6F9"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15%</w:t>
            </w:r>
          </w:p>
        </w:tc>
        <w:tc>
          <w:tcPr>
            <w:tcW w:type="dxa" w:w="1512"/>
            <w:shd w:fill="F4F6F9"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5</w:t>
            </w:r>
          </w:p>
        </w:tc>
        <w:tc>
          <w:tcPr>
            <w:tcW w:type="dxa" w:w="1512"/>
            <w:shd w:fill="F4F6F9"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5</w:t>
            </w:r>
          </w:p>
        </w:tc>
        <w:tc>
          <w:tcPr>
            <w:tcW w:type="dxa" w:w="1613"/>
            <w:shd w:fill="F4F6F9"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3</w:t>
            </w:r>
          </w:p>
        </w:tc>
        <w:tc>
          <w:tcPr>
            <w:tcW w:type="dxa" w:w="1613"/>
            <w:shd w:fill="F4F6F9"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1</w:t>
            </w:r>
          </w:p>
        </w:tc>
      </w:tr>
      <w:tr>
        <w:trPr>
          <w:cantSplit/>
        </w:trPr>
        <w:tc>
          <w:tcPr>
            <w:tcW w:type="dxa" w:w="3024"/>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Unit economics at high volume</w:t>
            </w:r>
          </w:p>
        </w:tc>
        <w:tc>
          <w:tcPr>
            <w:tcW w:type="dxa" w:w="806"/>
            <w:shd w:fill="FFFFFF"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15%</w:t>
            </w:r>
          </w:p>
        </w:tc>
        <w:tc>
          <w:tcPr>
            <w:tcW w:type="dxa" w:w="1512"/>
            <w:shd w:fill="FFFFFF"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3</w:t>
            </w:r>
          </w:p>
        </w:tc>
        <w:tc>
          <w:tcPr>
            <w:tcW w:type="dxa" w:w="1512"/>
            <w:shd w:fill="FFFFFF"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4</w:t>
            </w:r>
          </w:p>
        </w:tc>
        <w:tc>
          <w:tcPr>
            <w:tcW w:type="dxa" w:w="1613"/>
            <w:shd w:fill="FFFFFF"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3</w:t>
            </w:r>
          </w:p>
        </w:tc>
        <w:tc>
          <w:tcPr>
            <w:tcW w:type="dxa" w:w="1613"/>
            <w:shd w:fill="FFFFFF"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5</w:t>
            </w:r>
          </w:p>
        </w:tc>
      </w:tr>
      <w:tr>
        <w:trPr>
          <w:cantSplit/>
        </w:trPr>
        <w:tc>
          <w:tcPr>
            <w:tcW w:type="dxa" w:w="3024"/>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Engineering skill required (5 = least)</w:t>
            </w:r>
          </w:p>
        </w:tc>
        <w:tc>
          <w:tcPr>
            <w:tcW w:type="dxa" w:w="806"/>
            <w:shd w:fill="F4F6F9"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15%</w:t>
            </w:r>
          </w:p>
        </w:tc>
        <w:tc>
          <w:tcPr>
            <w:tcW w:type="dxa" w:w="1512"/>
            <w:shd w:fill="F4F6F9"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5</w:t>
            </w:r>
          </w:p>
        </w:tc>
        <w:tc>
          <w:tcPr>
            <w:tcW w:type="dxa" w:w="1512"/>
            <w:shd w:fill="F4F6F9"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4</w:t>
            </w:r>
          </w:p>
        </w:tc>
        <w:tc>
          <w:tcPr>
            <w:tcW w:type="dxa" w:w="1613"/>
            <w:shd w:fill="F4F6F9"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3</w:t>
            </w:r>
          </w:p>
        </w:tc>
        <w:tc>
          <w:tcPr>
            <w:tcW w:type="dxa" w:w="1613"/>
            <w:shd w:fill="F4F6F9"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1</w:t>
            </w:r>
          </w:p>
        </w:tc>
      </w:tr>
      <w:tr>
        <w:trPr>
          <w:cantSplit/>
        </w:trPr>
        <w:tc>
          <w:tcPr>
            <w:tcW w:type="dxa" w:w="3024"/>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Freedom from platform lock-in</w:t>
            </w:r>
          </w:p>
        </w:tc>
        <w:tc>
          <w:tcPr>
            <w:tcW w:type="dxa" w:w="806"/>
            <w:shd w:fill="FFFFFF"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10%</w:t>
            </w:r>
          </w:p>
        </w:tc>
        <w:tc>
          <w:tcPr>
            <w:tcW w:type="dxa" w:w="1512"/>
            <w:shd w:fill="FFFFFF"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1</w:t>
            </w:r>
          </w:p>
        </w:tc>
        <w:tc>
          <w:tcPr>
            <w:tcW w:type="dxa" w:w="1512"/>
            <w:shd w:fill="FFFFFF"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1</w:t>
            </w:r>
          </w:p>
        </w:tc>
        <w:tc>
          <w:tcPr>
            <w:tcW w:type="dxa" w:w="1613"/>
            <w:shd w:fill="FFFFFF"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2</w:t>
            </w:r>
          </w:p>
        </w:tc>
        <w:tc>
          <w:tcPr>
            <w:tcW w:type="dxa" w:w="1613"/>
            <w:shd w:fill="FFFFFF"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5</w:t>
            </w:r>
          </w:p>
        </w:tc>
      </w:tr>
    </w:tbl>
    <w:p>
      <w:pPr>
        <w:spacing w:after="160" w:before="60"/>
      </w:pPr>
      <w:r>
        <w:rPr>
          <w:rFonts w:ascii="Calibri" w:cs="Calibri" w:eastAsia="Calibri" w:hAnsi="Calibri"/>
          <w:i/>
          <w:iCs/>
          <w:color w:val="595959"/>
          <w:sz w:val="18"/>
          <w:szCs w:val="18"/>
        </w:rPr>
        <w:t xml:space="preserve">Weighted totals using the default weights: Copilot standard 3.40 · Declarative agent 3.35 · Custom engine (Studio) 3.20 · Custom build 3.20. The margins are narrow by design — the matrix is a conversation tool, not an oracle. If your use case scores custom highest, you should be able to point at the specific criteria that drove it.</w:t>
      </w:r>
    </w:p>
    <w:p>
      <w:pPr>
        <w:pStyle w:val="Heading2"/>
        <w:spacing w:after="120" w:before="280"/>
      </w:pPr>
      <w:r>
        <w:rPr>
          <w:rFonts w:ascii="Calibri" w:cs="Calibri" w:eastAsia="Calibri" w:hAnsi="Calibri"/>
          <w:b/>
          <w:bCs/>
          <w:color w:val="2E75B6"/>
          <w:sz w:val="25"/>
          <w:szCs w:val="25"/>
        </w:rPr>
        <w:t xml:space="preserve">3.3 Requirements that genuinely justify going custom</w:t>
      </w:r>
    </w:p>
    <w:p>
      <w:pPr>
        <w:spacing w:after="120" w:before="0" w:line="264"/>
        <w:jc w:val="left"/>
      </w:pPr>
      <w:r>
        <w:rPr>
          <w:rFonts w:ascii="Calibri" w:cs="Calibri" w:eastAsia="Calibri" w:hAnsi="Calibri"/>
          <w:color w:val="262626"/>
          <w:sz w:val="21"/>
          <w:szCs w:val="21"/>
        </w:rPr>
        <w:t xml:space="preserve">A build request should name at least one of the following, with evidence. "It would be more flexible" is not on the list.</w:t>
      </w:r>
    </w:p>
    <w:p>
      <w:pPr>
        <w:pStyle w:val="ListParagraph"/>
        <w:numPr>
          <w:ilvl w:val="0"/>
          <w:numId w:val="3"/>
        </w:numPr>
        <w:spacing w:after="80" w:line="264"/>
      </w:pPr>
      <w:r>
        <w:rPr>
          <w:rFonts w:ascii="Calibri" w:cs="Calibri" w:eastAsia="Calibri" w:hAnsi="Calibri"/>
          <w:b/>
          <w:bCs/>
          <w:color w:val="262626"/>
          <w:sz w:val="21"/>
          <w:szCs w:val="21"/>
        </w:rPr>
        <w:t xml:space="preserve">Orchestration we cannot express. </w:t>
      </w:r>
      <w:r>
        <w:rPr>
          <w:rFonts w:ascii="Calibri" w:cs="Calibri" w:eastAsia="Calibri" w:hAnsi="Calibri"/>
          <w:color w:val="262626"/>
          <w:sz w:val="21"/>
          <w:szCs w:val="21"/>
        </w:rPr>
        <w:t xml:space="preserve">Multi-agent planning, supervisor/worker patterns, explicit state machines, or branching business logic that Copilot Studio’s topic model cannot represent cleanly.</w:t>
      </w:r>
    </w:p>
    <w:p>
      <w:pPr>
        <w:pStyle w:val="ListParagraph"/>
        <w:numPr>
          <w:ilvl w:val="0"/>
          <w:numId w:val="3"/>
        </w:numPr>
        <w:spacing w:after="80" w:line="264"/>
      </w:pPr>
      <w:r>
        <w:rPr>
          <w:rFonts w:ascii="Calibri" w:cs="Calibri" w:eastAsia="Calibri" w:hAnsi="Calibri"/>
          <w:b/>
          <w:bCs/>
          <w:color w:val="262626"/>
          <w:sz w:val="21"/>
          <w:szCs w:val="21"/>
        </w:rPr>
        <w:t xml:space="preserve">A model requirement. </w:t>
      </w:r>
      <w:r>
        <w:rPr>
          <w:rFonts w:ascii="Calibri" w:cs="Calibri" w:eastAsia="Calibri" w:hAnsi="Calibri"/>
          <w:color w:val="262626"/>
          <w:sz w:val="21"/>
          <w:szCs w:val="21"/>
        </w:rPr>
        <w:t xml:space="preserve">A fine-tuned, domain-specific, or small/cheap model is required for accuracy, cost or latency, and the available Copilot models demonstrably miss the bar on a measured evaluation set.</w:t>
      </w:r>
    </w:p>
    <w:p>
      <w:pPr>
        <w:pStyle w:val="ListParagraph"/>
        <w:numPr>
          <w:ilvl w:val="0"/>
          <w:numId w:val="3"/>
        </w:numPr>
        <w:spacing w:after="80" w:line="264"/>
      </w:pPr>
      <w:r>
        <w:rPr>
          <w:rFonts w:ascii="Calibri" w:cs="Calibri" w:eastAsia="Calibri" w:hAnsi="Calibri"/>
          <w:b/>
          <w:bCs/>
          <w:color w:val="262626"/>
          <w:sz w:val="21"/>
          <w:szCs w:val="21"/>
        </w:rPr>
        <w:t xml:space="preserve">Latency or throughput beyond published limits. </w:t>
      </w:r>
      <w:r>
        <w:rPr>
          <w:rFonts w:ascii="Calibri" w:cs="Calibri" w:eastAsia="Calibri" w:hAnsi="Calibri"/>
          <w:color w:val="262626"/>
          <w:sz w:val="21"/>
          <w:szCs w:val="21"/>
        </w:rPr>
        <w:t xml:space="preserve">Measured peak traffic exceeds Copilot Studio’s generative-AI rate limits and a throughput increase has been refused or is insufficient. "Measured" means pilot data, not projections — Microsoft will not accept estimates either.</w:t>
      </w:r>
    </w:p>
    <w:p>
      <w:pPr>
        <w:pStyle w:val="ListParagraph"/>
        <w:numPr>
          <w:ilvl w:val="0"/>
          <w:numId w:val="3"/>
        </w:numPr>
        <w:spacing w:after="80" w:line="264"/>
      </w:pPr>
      <w:r>
        <w:rPr>
          <w:rFonts w:ascii="Calibri" w:cs="Calibri" w:eastAsia="Calibri" w:hAnsi="Calibri"/>
          <w:b/>
          <w:bCs/>
          <w:color w:val="262626"/>
          <w:sz w:val="21"/>
          <w:szCs w:val="21"/>
        </w:rPr>
        <w:t xml:space="preserve">Deployment outside the Microsoft estate. </w:t>
      </w:r>
      <w:r>
        <w:rPr>
          <w:rFonts w:ascii="Calibri" w:cs="Calibri" w:eastAsia="Calibri" w:hAnsi="Calibri"/>
          <w:color w:val="262626"/>
          <w:sz w:val="21"/>
          <w:szCs w:val="21"/>
        </w:rPr>
        <w:t xml:space="preserve">The agent must run in a sovereign region, in a customer’s own tenant, on-premises, or embedded in a product we ship.</w:t>
      </w:r>
    </w:p>
    <w:p>
      <w:pPr>
        <w:pStyle w:val="ListParagraph"/>
        <w:numPr>
          <w:ilvl w:val="0"/>
          <w:numId w:val="3"/>
        </w:numPr>
        <w:spacing w:after="80" w:line="264"/>
      </w:pPr>
      <w:r>
        <w:rPr>
          <w:rFonts w:ascii="Calibri" w:cs="Calibri" w:eastAsia="Calibri" w:hAnsi="Calibri"/>
          <w:b/>
          <w:bCs/>
          <w:color w:val="262626"/>
          <w:sz w:val="21"/>
          <w:szCs w:val="21"/>
        </w:rPr>
        <w:t xml:space="preserve">It is the product. </w:t>
      </w:r>
      <w:r>
        <w:rPr>
          <w:rFonts w:ascii="Calibri" w:cs="Calibri" w:eastAsia="Calibri" w:hAnsi="Calibri"/>
          <w:color w:val="262626"/>
          <w:sz w:val="21"/>
          <w:szCs w:val="21"/>
        </w:rPr>
        <w:t xml:space="preserve">If the agent is what we sell, the orchestration layer is our intellectual property and should not be a configuration file in someone else’s SaaS.</w:t>
      </w:r>
    </w:p>
    <w:p>
      <w:pPr>
        <w:pStyle w:val="ListParagraph"/>
        <w:numPr>
          <w:ilvl w:val="0"/>
          <w:numId w:val="3"/>
        </w:numPr>
        <w:spacing w:after="80" w:line="264"/>
      </w:pPr>
      <w:r>
        <w:rPr>
          <w:rFonts w:ascii="Calibri" w:cs="Calibri" w:eastAsia="Calibri" w:hAnsi="Calibri"/>
          <w:b/>
          <w:bCs/>
          <w:color w:val="262626"/>
          <w:sz w:val="21"/>
          <w:szCs w:val="21"/>
        </w:rPr>
        <w:t xml:space="preserve">Evaluation and safety requirements beyond what the platform exposes. </w:t>
      </w:r>
      <w:r>
        <w:rPr>
          <w:rFonts w:ascii="Calibri" w:cs="Calibri" w:eastAsia="Calibri" w:hAnsi="Calibri"/>
          <w:color w:val="262626"/>
          <w:sz w:val="21"/>
          <w:szCs w:val="21"/>
        </w:rPr>
        <w:t xml:space="preserve">Regulated workloads needing bespoke guardrails, custom red-teaming, reproducible evaluation gates in CI, or audit evidence the platform does not produce.</w:t>
      </w:r>
    </w:p>
    <w:p>
      <w:pPr>
        <w:pStyle w:val="Heading2"/>
        <w:spacing w:after="120" w:before="280"/>
      </w:pPr>
      <w:r>
        <w:rPr>
          <w:rFonts w:ascii="Calibri" w:cs="Calibri" w:eastAsia="Calibri" w:hAnsi="Calibri"/>
          <w:b/>
          <w:bCs/>
          <w:color w:val="2E75B6"/>
          <w:sz w:val="25"/>
          <w:szCs w:val="25"/>
        </w:rPr>
        <w:t xml:space="preserve">3.4 Reasons that look good but are not</w:t>
      </w:r>
    </w:p>
    <w:tbl>
      <w:tblPr>
        <w:tblW w:type="dxa" w:w="10080"/>
        <w:tblBorders>
          <w:top w:val="single" w:color="BFBFBF" w:sz="4"/>
          <w:left w:val="single" w:color="BFBFBF" w:sz="4"/>
          <w:bottom w:val="single" w:color="BFBFBF" w:sz="4"/>
          <w:right w:val="single" w:color="BFBFBF" w:sz="4"/>
          <w:insideH w:val="single" w:color="D9D9D9" w:sz="2"/>
          <w:insideV w:val="single" w:color="D9D9D9" w:sz="2"/>
        </w:tblBorders>
      </w:tblPr>
      <w:tblGrid>
        <w:gridCol w:w="2419"/>
        <w:gridCol w:w="3629"/>
        <w:gridCol w:w="4032"/>
      </w:tblGrid>
      <w:tr>
        <w:trPr>
          <w:tblHeader/>
        </w:trPr>
        <w:tc>
          <w:tcPr>
            <w:tcW w:type="dxa" w:w="2419"/>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Stated reason</w:t>
            </w:r>
          </w:p>
        </w:tc>
        <w:tc>
          <w:tcPr>
            <w:tcW w:type="dxa" w:w="3629"/>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What is usually going on</w:t>
            </w:r>
          </w:p>
        </w:tc>
        <w:tc>
          <w:tcPr>
            <w:tcW w:type="dxa" w:w="4032"/>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Better response</w:t>
            </w:r>
          </w:p>
        </w:tc>
      </w:tr>
      <w:tr>
        <w:trPr>
          <w:cantSplit/>
        </w:trPr>
        <w:tc>
          <w:tcPr>
            <w:tcW w:type="dxa" w:w="2419"/>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"We need full control"</w:t>
            </w:r>
          </w:p>
        </w:tc>
        <w:tc>
          <w:tcPr>
            <w:tcW w:type="dxa" w:w="3629"/>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Nobody has defined which control is missing</w:t>
            </w:r>
          </w:p>
        </w:tc>
        <w:tc>
          <w:tcPr>
            <w:tcW w:type="dxa" w:w="4032"/>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Ask for the specific behaviour. Nine times in ten it is achievable with instructions plus one action.</w:t>
            </w:r>
          </w:p>
        </w:tc>
      </w:tr>
      <w:tr>
        <w:trPr>
          <w:cantSplit/>
        </w:trPr>
        <w:tc>
          <w:tcPr>
            <w:tcW w:type="dxa" w:w="2419"/>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"Copilot gave a wrong answer"</w:t>
            </w:r>
          </w:p>
        </w:tc>
        <w:tc>
          <w:tcPr>
            <w:tcW w:type="dxa" w:w="3629"/>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Poor grounding, stale SharePoint content, or permissions gaps</w:t>
            </w:r>
          </w:p>
        </w:tc>
        <w:tc>
          <w:tcPr>
            <w:tcW w:type="dxa" w:w="4032"/>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Fix the content and the grounding. A custom build on the same bad data gives the same bad answers, slower.</w:t>
            </w:r>
          </w:p>
        </w:tc>
      </w:tr>
      <w:tr>
        <w:trPr>
          <w:cantSplit/>
        </w:trPr>
        <w:tc>
          <w:tcPr>
            <w:tcW w:type="dxa" w:w="2419"/>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"We want to avoid vendor lock-in"</w:t>
            </w:r>
          </w:p>
        </w:tc>
        <w:tc>
          <w:tcPr>
            <w:tcW w:type="dxa" w:w="3629"/>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Real concern, wrong remedy</w:t>
            </w:r>
          </w:p>
        </w:tc>
        <w:tc>
          <w:tcPr>
            <w:tcW w:type="dxa" w:w="4032"/>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Keep prompts, evaluation sets and tool schemas portable. Do not rebuild the runtime to hedge.</w:t>
            </w:r>
          </w:p>
        </w:tc>
      </w:tr>
      <w:tr>
        <w:trPr>
          <w:cantSplit/>
        </w:trPr>
        <w:tc>
          <w:tcPr>
            <w:tcW w:type="dxa" w:w="2419"/>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"The team wants to learn the technology"</w:t>
            </w:r>
          </w:p>
        </w:tc>
        <w:tc>
          <w:tcPr>
            <w:tcW w:type="dxa" w:w="3629"/>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Legitimate, but not a production justification</w:t>
            </w:r>
          </w:p>
        </w:tc>
        <w:tc>
          <w:tcPr>
            <w:tcW w:type="dxa" w:w="4032"/>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Fund an explicit spike with a fixed budget and a written-up outcome. Do not disguise it as delivery.</w:t>
            </w:r>
          </w:p>
        </w:tc>
      </w:tr>
      <w:tr>
        <w:trPr>
          <w:cantSplit/>
        </w:trPr>
        <w:tc>
          <w:tcPr>
            <w:tcW w:type="dxa" w:w="2419"/>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"It will be cheaper at scale"</w:t>
            </w:r>
          </w:p>
        </w:tc>
        <w:tc>
          <w:tcPr>
            <w:tcW w:type="dxa" w:w="3629"/>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Token cost is compared against licence cost; engineering cost is omitted</w:t>
            </w:r>
          </w:p>
        </w:tc>
        <w:tc>
          <w:tcPr>
            <w:tcW w:type="dxa" w:w="4032"/>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Model the fully-loaded three-year cost including maintenance, evals and on-call (Section 11).</w:t>
            </w:r>
          </w:p>
        </w:tc>
      </w:tr>
      <w:tr>
        <w:trPr>
          <w:cantSplit/>
        </w:trPr>
        <w:tc>
          <w:tcPr>
            <w:tcW w:type="dxa" w:w="2419"/>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"Copilot Studio feels limiting"</w:t>
            </w:r>
          </w:p>
        </w:tc>
        <w:tc>
          <w:tcPr>
            <w:tcW w:type="dxa" w:w="3629"/>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Usually hit a knowledge or topic limit that has a design fix</w:t>
            </w:r>
          </w:p>
        </w:tc>
        <w:tc>
          <w:tcPr>
            <w:tcW w:type="dxa" w:w="4032"/>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Check the published limits (Section 9.4) and redesign the agent’s scope before changing platform.</w:t>
            </w:r>
          </w:p>
        </w:tc>
      </w:tr>
    </w:tbl>
    <w:p>
      <w:pPr>
        <w:pStyle w:val="Heading2"/>
        <w:spacing w:after="120" w:before="280"/>
      </w:pPr>
      <w:r>
        <w:rPr>
          <w:rFonts w:ascii="Calibri" w:cs="Calibri" w:eastAsia="Calibri" w:hAnsi="Calibri"/>
          <w:b/>
          <w:bCs/>
          <w:color w:val="2E75B6"/>
          <w:sz w:val="25"/>
          <w:szCs w:val="25"/>
        </w:rPr>
        <w:t xml:space="preserve">3.5 The scope test: one agent, one job</w:t>
      </w:r>
    </w:p>
    <w:p>
      <w:pPr>
        <w:spacing w:after="120" w:before="0" w:line="264"/>
        <w:jc w:val="left"/>
      </w:pPr>
      <w:r>
        <w:rPr>
          <w:rFonts w:ascii="Calibri" w:cs="Calibri" w:eastAsia="Calibri" w:hAnsi="Calibri"/>
          <w:color w:val="262626"/>
          <w:sz w:val="21"/>
          <w:szCs w:val="21"/>
        </w:rPr>
        <w:t xml:space="preserve">The single strongest predictor of an agent that works is a narrow scope. An agent that answers HR policy questions is a good agent. An agent that answers HR, IT and finance questions is three agents wearing a trench coat, and it will be worse at all three because retrieval has to span unrelated corpora and the instructions have to hedge.</w:t>
      </w:r>
    </w:p>
    <w:p>
      <w:pPr>
        <w:spacing w:after="120" w:before="0" w:line="264"/>
        <w:jc w:val="left"/>
      </w:pPr>
      <w:r>
        <w:rPr>
          <w:rFonts w:ascii="Calibri" w:cs="Calibri" w:eastAsia="Calibri" w:hAnsi="Calibri"/>
          <w:color w:val="262626"/>
          <w:sz w:val="21"/>
          <w:szCs w:val="21"/>
        </w:rPr>
        <w:t xml:space="preserve">Before building, write one sentence in this shape and make sure it is true: </w:t>
      </w:r>
    </w:p>
    <w:p>
      <w:pPr>
        <w:spacing w:after="200" w:before="60"/>
        <w:ind w:left="400"/>
      </w:pPr>
      <w:r>
        <w:rPr>
          <w:rFonts w:ascii="Calibri" w:cs="Calibri" w:eastAsia="Calibri" w:hAnsi="Calibri"/>
          <w:i/>
          <w:iCs/>
          <w:color w:val="404040"/>
          <w:sz w:val="21"/>
          <w:szCs w:val="21"/>
        </w:rPr>
        <w:t xml:space="preserve">“This agent helps </w:t>
      </w:r>
      <w:r>
        <w:rPr>
          <w:rFonts w:ascii="Calibri" w:cs="Calibri" w:eastAsia="Calibri" w:hAnsi="Calibri"/>
          <w:b/>
          <w:bCs/>
          <w:i/>
          <w:iCs/>
          <w:color w:val="2E75B6"/>
          <w:sz w:val="21"/>
          <w:szCs w:val="21"/>
        </w:rPr>
        <w:t xml:space="preserve">[specific role]</w:t>
      </w:r>
      <w:r>
        <w:rPr>
          <w:rFonts w:ascii="Calibri" w:cs="Calibri" w:eastAsia="Calibri" w:hAnsi="Calibri"/>
          <w:i/>
          <w:iCs/>
          <w:color w:val="404040"/>
          <w:sz w:val="21"/>
          <w:szCs w:val="21"/>
        </w:rPr>
        <w:t xml:space="preserve"> do </w:t>
      </w:r>
      <w:r>
        <w:rPr>
          <w:rFonts w:ascii="Calibri" w:cs="Calibri" w:eastAsia="Calibri" w:hAnsi="Calibri"/>
          <w:b/>
          <w:bCs/>
          <w:i/>
          <w:iCs/>
          <w:color w:val="2E75B6"/>
          <w:sz w:val="21"/>
          <w:szCs w:val="21"/>
        </w:rPr>
        <w:t xml:space="preserve">[specific task]</w:t>
      </w:r>
      <w:r>
        <w:rPr>
          <w:rFonts w:ascii="Calibri" w:cs="Calibri" w:eastAsia="Calibri" w:hAnsi="Calibri"/>
          <w:i/>
          <w:iCs/>
          <w:color w:val="404040"/>
          <w:sz w:val="21"/>
          <w:szCs w:val="21"/>
        </w:rPr>
        <w:t xml:space="preserve"> using </w:t>
      </w:r>
      <w:r>
        <w:rPr>
          <w:rFonts w:ascii="Calibri" w:cs="Calibri" w:eastAsia="Calibri" w:hAnsi="Calibri"/>
          <w:b/>
          <w:bCs/>
          <w:i/>
          <w:iCs/>
          <w:color w:val="2E75B6"/>
          <w:sz w:val="21"/>
          <w:szCs w:val="21"/>
        </w:rPr>
        <w:t xml:space="preserve">[named sources]</w:t>
      </w:r>
      <w:r>
        <w:rPr>
          <w:rFonts w:ascii="Calibri" w:cs="Calibri" w:eastAsia="Calibri" w:hAnsi="Calibri"/>
          <w:i/>
          <w:iCs/>
          <w:color w:val="404040"/>
          <w:sz w:val="21"/>
          <w:szCs w:val="21"/>
        </w:rPr>
        <w:t xml:space="preserve">, and it must never </w:t>
      </w:r>
      <w:r>
        <w:rPr>
          <w:rFonts w:ascii="Calibri" w:cs="Calibri" w:eastAsia="Calibri" w:hAnsi="Calibri"/>
          <w:b/>
          <w:bCs/>
          <w:i/>
          <w:iCs/>
          <w:color w:val="2E75B6"/>
          <w:sz w:val="21"/>
          <w:szCs w:val="21"/>
        </w:rPr>
        <w:t xml:space="preserve">[explicit boundary]</w:t>
      </w:r>
      <w:r>
        <w:rPr>
          <w:rFonts w:ascii="Calibri" w:cs="Calibri" w:eastAsia="Calibri" w:hAnsi="Calibri"/>
          <w:i/>
          <w:iCs/>
          <w:color w:val="404040"/>
          <w:sz w:val="21"/>
          <w:szCs w:val="21"/>
        </w:rPr>
        <w:t xml:space="preserve">.”</w:t>
      </w:r>
    </w:p>
    <w:p>
      <w:pPr>
        <w:spacing w:after="120" w:before="0" w:line="264"/>
        <w:jc w:val="left"/>
      </w:pPr>
      <w:r>
        <w:rPr>
          <w:rFonts w:ascii="Calibri" w:cs="Calibri" w:eastAsia="Calibri" w:hAnsi="Calibri"/>
          <w:color w:val="262626"/>
          <w:sz w:val="21"/>
          <w:szCs w:val="21"/>
        </w:rPr>
        <w:t xml:space="preserve">If the sentence needs an "and" in the task slot, split the agent.</w:t>
      </w:r>
    </w:p>
    <w:p>
      <w:pPr>
        <w:pStyle w:val="Heading1"/>
        <w:pageBreakBefore/>
        <w:pBdr>
          <w:bottom w:val="single" w:color="2E75B6" w:sz="12" w:space="6"/>
        </w:pBdr>
        <w:spacing w:after="200" w:before="0"/>
      </w:pPr>
      <w:r>
        <w:rPr>
          <w:rFonts w:ascii="Calibri" w:cs="Calibri" w:eastAsia="Calibri" w:hAnsi="Calibri"/>
          <w:b/>
          <w:bCs/>
          <w:color w:val="1F3864"/>
          <w:sz w:val="32"/>
          <w:szCs w:val="32"/>
        </w:rPr>
        <w:t xml:space="preserve">4. When to use Copilot standard</w:t>
      </w:r>
    </w:p>
    <w:p>
      <w:pPr>
        <w:spacing w:after="120" w:before="0" w:line="264"/>
        <w:jc w:val="left"/>
      </w:pPr>
      <w:r>
        <w:rPr>
          <w:rFonts w:ascii="Calibri" w:cs="Calibri" w:eastAsia="Calibri" w:hAnsi="Calibri"/>
          <w:color w:val="262626"/>
          <w:sz w:val="21"/>
          <w:szCs w:val="21"/>
        </w:rPr>
        <w:t xml:space="preserve">This is the default, and the hardest discipline to hold because building something is more interesting than configuring something. The test is simple: if Microsoft 365 Copilot plus its prebuilt agents can do the job today, the correct engineering decision is to do no engineering.</w:t>
      </w:r>
    </w:p>
    <w:p>
      <w:pPr>
        <w:pStyle w:val="Heading2"/>
        <w:spacing w:after="120" w:before="280"/>
      </w:pPr>
      <w:r>
        <w:rPr>
          <w:rFonts w:ascii="Calibri" w:cs="Calibri" w:eastAsia="Calibri" w:hAnsi="Calibri"/>
          <w:b/>
          <w:bCs/>
          <w:color w:val="2E75B6"/>
          <w:sz w:val="25"/>
          <w:szCs w:val="25"/>
        </w:rPr>
        <w:t xml:space="preserve">4.1 Use Copilot standard when</w:t>
      </w:r>
    </w:p>
    <w:p>
      <w:pPr>
        <w:pStyle w:val="ListParagraph"/>
        <w:numPr>
          <w:ilvl w:val="0"/>
          <w:numId w:val="3"/>
        </w:numPr>
        <w:spacing w:after="80" w:line="264"/>
      </w:pPr>
      <w:r>
        <w:rPr>
          <w:rFonts w:ascii="Calibri" w:cs="Calibri" w:eastAsia="Calibri" w:hAnsi="Calibri"/>
          <w:color w:val="262626"/>
          <w:sz w:val="21"/>
          <w:szCs w:val="21"/>
        </w:rPr>
        <w:t xml:space="preserve">The task is summarising, drafting, rewriting, analysing or searching across content the user can already access.</w:t>
      </w:r>
    </w:p>
    <w:p>
      <w:pPr>
        <w:pStyle w:val="ListParagraph"/>
        <w:numPr>
          <w:ilvl w:val="0"/>
          <w:numId w:val="3"/>
        </w:numPr>
        <w:spacing w:after="80" w:line="264"/>
      </w:pPr>
      <w:r>
        <w:rPr>
          <w:rFonts w:ascii="Calibri" w:cs="Calibri" w:eastAsia="Calibri" w:hAnsi="Calibri"/>
          <w:color w:val="262626"/>
          <w:sz w:val="21"/>
          <w:szCs w:val="21"/>
        </w:rPr>
        <w:t xml:space="preserve">Grounding needs are satisfied by Microsoft Graph — email, chat, calendar, SharePoint, OneDrive — plus the Copilot connectors already configured in the tenant.</w:t>
      </w:r>
    </w:p>
    <w:p>
      <w:pPr>
        <w:pStyle w:val="ListParagraph"/>
        <w:numPr>
          <w:ilvl w:val="0"/>
          <w:numId w:val="3"/>
        </w:numPr>
        <w:spacing w:after="80" w:line="264"/>
      </w:pPr>
      <w:r>
        <w:rPr>
          <w:rFonts w:ascii="Calibri" w:cs="Calibri" w:eastAsia="Calibri" w:hAnsi="Calibri"/>
          <w:color w:val="262626"/>
          <w:sz w:val="21"/>
          <w:szCs w:val="21"/>
        </w:rPr>
        <w:t xml:space="preserve">The work happens inside Word, Excel, PowerPoint, Outlook, Teams or Copilot chat.</w:t>
      </w:r>
    </w:p>
    <w:p>
      <w:pPr>
        <w:pStyle w:val="ListParagraph"/>
        <w:numPr>
          <w:ilvl w:val="0"/>
          <w:numId w:val="3"/>
        </w:numPr>
        <w:spacing w:after="80" w:line="264"/>
      </w:pPr>
      <w:r>
        <w:rPr>
          <w:rFonts w:ascii="Calibri" w:cs="Calibri" w:eastAsia="Calibri" w:hAnsi="Calibri"/>
          <w:color w:val="262626"/>
          <w:sz w:val="21"/>
          <w:szCs w:val="21"/>
        </w:rPr>
        <w:t xml:space="preserve">A prebuilt Microsoft agent covers it: Researcher for multi-step research across work and web data, Analyst for data analysis, Facilitator for meeting and chat facilitation.</w:t>
      </w:r>
    </w:p>
    <w:p>
      <w:pPr>
        <w:pStyle w:val="ListParagraph"/>
        <w:numPr>
          <w:ilvl w:val="0"/>
          <w:numId w:val="3"/>
        </w:numPr>
        <w:spacing w:after="80" w:line="264"/>
      </w:pPr>
      <w:r>
        <w:rPr>
          <w:rFonts w:ascii="Calibri" w:cs="Calibri" w:eastAsia="Calibri" w:hAnsi="Calibri"/>
          <w:color w:val="262626"/>
          <w:sz w:val="21"/>
          <w:szCs w:val="21"/>
        </w:rPr>
        <w:t xml:space="preserve">The real gap is that users do not know how to prompt well, or the content they need is badly organised — both of which are fixed by enablement and information architecture, not by code.</w:t>
      </w:r>
    </w:p>
    <w:p>
      <w:pPr>
        <w:pStyle w:val="Heading2"/>
        <w:spacing w:after="120" w:before="280"/>
      </w:pPr>
      <w:r>
        <w:rPr>
          <w:rFonts w:ascii="Calibri" w:cs="Calibri" w:eastAsia="Calibri" w:hAnsi="Calibri"/>
          <w:b/>
          <w:bCs/>
          <w:color w:val="2E75B6"/>
          <w:sz w:val="25"/>
          <w:szCs w:val="25"/>
        </w:rPr>
        <w:t xml:space="preserve">4.2 Do not use Copilot standard when</w:t>
      </w:r>
    </w:p>
    <w:p>
      <w:pPr>
        <w:pStyle w:val="ListParagraph"/>
        <w:numPr>
          <w:ilvl w:val="0"/>
          <w:numId w:val="3"/>
        </w:numPr>
        <w:spacing w:after="80" w:line="264"/>
      </w:pPr>
      <w:r>
        <w:rPr>
          <w:rFonts w:ascii="Calibri" w:cs="Calibri" w:eastAsia="Calibri" w:hAnsi="Calibri"/>
          <w:color w:val="262626"/>
          <w:sz w:val="21"/>
          <w:szCs w:val="21"/>
        </w:rPr>
        <w:t xml:space="preserve">The agent must be grounded in a system Graph and the connectors do not reach, and no connector exists.</w:t>
      </w:r>
    </w:p>
    <w:p>
      <w:pPr>
        <w:pStyle w:val="ListParagraph"/>
        <w:numPr>
          <w:ilvl w:val="0"/>
          <w:numId w:val="3"/>
        </w:numPr>
        <w:spacing w:after="80" w:line="264"/>
      </w:pPr>
      <w:r>
        <w:rPr>
          <w:rFonts w:ascii="Calibri" w:cs="Calibri" w:eastAsia="Calibri" w:hAnsi="Calibri"/>
          <w:color w:val="262626"/>
          <w:sz w:val="21"/>
          <w:szCs w:val="21"/>
        </w:rPr>
        <w:t xml:space="preserve">The task needs a repeatable, constrained procedure every time — Copilot standard is general-purpose by design, and consistency is exactly what instructions in a declarative agent buy you.</w:t>
      </w:r>
    </w:p>
    <w:p>
      <w:pPr>
        <w:pStyle w:val="ListParagraph"/>
        <w:numPr>
          <w:ilvl w:val="0"/>
          <w:numId w:val="3"/>
        </w:numPr>
        <w:spacing w:after="80" w:line="264"/>
      </w:pPr>
      <w:r>
        <w:rPr>
          <w:rFonts w:ascii="Calibri" w:cs="Calibri" w:eastAsia="Calibri" w:hAnsi="Calibri"/>
          <w:color w:val="262626"/>
          <w:sz w:val="21"/>
          <w:szCs w:val="21"/>
        </w:rPr>
        <w:t xml:space="preserve">The agent must act on a schedule or in response to an event rather than a user prompt.</w:t>
      </w:r>
    </w:p>
    <w:p>
      <w:pPr>
        <w:pStyle w:val="ListParagraph"/>
        <w:numPr>
          <w:ilvl w:val="0"/>
          <w:numId w:val="3"/>
        </w:numPr>
        <w:spacing w:after="80" w:line="264"/>
      </w:pPr>
      <w:r>
        <w:rPr>
          <w:rFonts w:ascii="Calibri" w:cs="Calibri" w:eastAsia="Calibri" w:hAnsi="Calibri"/>
          <w:color w:val="262626"/>
          <w:sz w:val="21"/>
          <w:szCs w:val="21"/>
        </w:rPr>
        <w:t xml:space="preserve">The output must be consumed outside Microsoft 365.</w:t>
      </w:r>
    </w:p>
    <w:p>
      <w:pPr>
        <w:pStyle w:val="Heading2"/>
        <w:spacing w:after="120" w:before="280"/>
      </w:pPr>
      <w:r>
        <w:rPr>
          <w:rFonts w:ascii="Calibri" w:cs="Calibri" w:eastAsia="Calibri" w:hAnsi="Calibri"/>
          <w:b/>
          <w:bCs/>
          <w:color w:val="2E75B6"/>
          <w:sz w:val="25"/>
          <w:szCs w:val="25"/>
        </w:rPr>
        <w:t xml:space="preserve">4.3 What "enablement instead of engineering" actually looks like</w:t>
      </w:r>
    </w:p>
    <w:p>
      <w:pPr>
        <w:spacing w:after="120" w:before="0" w:line="264"/>
        <w:jc w:val="left"/>
      </w:pPr>
      <w:r>
        <w:rPr>
          <w:rFonts w:ascii="Calibri" w:cs="Calibri" w:eastAsia="Calibri" w:hAnsi="Calibri"/>
          <w:color w:val="262626"/>
          <w:sz w:val="21"/>
          <w:szCs w:val="21"/>
        </w:rPr>
        <w:t xml:space="preserve">When the answer is Copilot standard, the delivery is still real work — it is just different work. A credible enablement package for a department contains:</w:t>
      </w:r>
    </w:p>
    <w:p>
      <w:pPr>
        <w:pStyle w:val="ListParagraph"/>
        <w:numPr>
          <w:ilvl w:val="0"/>
          <w:numId w:val="4"/>
        </w:numPr>
        <w:spacing w:after="80" w:line="264"/>
      </w:pPr>
      <w:r>
        <w:rPr>
          <w:rFonts w:ascii="Calibri" w:cs="Calibri" w:eastAsia="Calibri" w:hAnsi="Calibri"/>
          <w:color w:val="262626"/>
          <w:sz w:val="21"/>
          <w:szCs w:val="21"/>
        </w:rPr>
        <w:t xml:space="preserve">A content audit: what the team actually needs Copilot to find, and whether it is in SharePoint, labelled correctly, and not duplicated across six sites.</w:t>
      </w:r>
    </w:p>
    <w:p>
      <w:pPr>
        <w:pStyle w:val="ListParagraph"/>
        <w:numPr>
          <w:ilvl w:val="0"/>
          <w:numId w:val="4"/>
        </w:numPr>
        <w:spacing w:after="80" w:line="264"/>
      </w:pPr>
      <w:r>
        <w:rPr>
          <w:rFonts w:ascii="Calibri" w:cs="Calibri" w:eastAsia="Calibri" w:hAnsi="Calibri"/>
          <w:color w:val="262626"/>
          <w:sz w:val="21"/>
          <w:szCs w:val="21"/>
        </w:rPr>
        <w:t xml:space="preserve">Permission hygiene: Copilot surfaces everything the user can already open. Over-permissioned sites become visible the week Copilot is switched on, not before. Run Restricted SharePoint Search and SharePoint Advanced Management reviews before rollout, not after the first incident.</w:t>
      </w:r>
    </w:p>
    <w:p>
      <w:pPr>
        <w:pStyle w:val="ListParagraph"/>
        <w:numPr>
          <w:ilvl w:val="0"/>
          <w:numId w:val="4"/>
        </w:numPr>
        <w:spacing w:after="80" w:line="264"/>
      </w:pPr>
      <w:r>
        <w:rPr>
          <w:rFonts w:ascii="Calibri" w:cs="Calibri" w:eastAsia="Calibri" w:hAnsi="Calibri"/>
          <w:color w:val="262626"/>
          <w:sz w:val="21"/>
          <w:szCs w:val="21"/>
        </w:rPr>
        <w:t xml:space="preserve">A prompt library for the team’s ten most common tasks, written in their language, stored where they work.</w:t>
      </w:r>
    </w:p>
    <w:p>
      <w:pPr>
        <w:pStyle w:val="ListParagraph"/>
        <w:numPr>
          <w:ilvl w:val="0"/>
          <w:numId w:val="4"/>
        </w:numPr>
        <w:spacing w:after="80" w:line="264"/>
      </w:pPr>
      <w:r>
        <w:rPr>
          <w:rFonts w:ascii="Calibri" w:cs="Calibri" w:eastAsia="Calibri" w:hAnsi="Calibri"/>
          <w:color w:val="262626"/>
          <w:sz w:val="21"/>
          <w:szCs w:val="21"/>
        </w:rPr>
        <w:t xml:space="preserve">A named champion per team, with time allocated.</w:t>
      </w:r>
    </w:p>
    <w:p>
      <w:pPr>
        <w:pStyle w:val="ListParagraph"/>
        <w:numPr>
          <w:ilvl w:val="0"/>
          <w:numId w:val="4"/>
        </w:numPr>
        <w:spacing w:after="80" w:line="264"/>
      </w:pPr>
      <w:r>
        <w:rPr>
          <w:rFonts w:ascii="Calibri" w:cs="Calibri" w:eastAsia="Calibri" w:hAnsi="Calibri"/>
          <w:color w:val="262626"/>
          <w:sz w:val="21"/>
          <w:szCs w:val="21"/>
        </w:rPr>
        <w:t xml:space="preserve">A measurement baseline taken before rollout, so the "did this help?" conversation in ninety days has data in it.</w:t>
      </w:r>
    </w:p>
    <w:tbl>
      <w:tblPr>
        <w:tblW w:type="dxa" w:w="10080"/>
        <w:tblBorders>
          <w:top w:val="none"/>
          <w:left w:val="single" w:color="BF8F00" w:sz="24"/>
          <w:bottom w:val="none"/>
          <w:right w:val="none"/>
          <w:insideH w:val="none"/>
          <w:insideV w:val="none"/>
        </w:tblBorders>
      </w:tblPr>
      <w:tblGrid>
        <w:gridCol w:w="10080"/>
      </w:tblGrid>
      <w:tr>
        <w:tc>
          <w:tcPr>
            <w:tcW w:type="dxa" w:w="10080"/>
            <w:shd w:fill="FFF8E7" w:val="clear"/>
            <w:tcMar>
              <w:top w:type="dxa" w:w="140"/>
              <w:left w:type="dxa" w:w="200"/>
              <w:bottom w:type="dxa" w:w="140"/>
              <w:right w:type="dxa" w:w="200"/>
            </w:tcMar>
          </w:tcPr>
          <w:p>
            <w:pPr>
              <w:spacing w:after="0" w:line="264"/>
            </w:pPr>
            <w:r>
              <w:rPr>
                <w:rFonts w:ascii="Calibri" w:cs="Calibri" w:eastAsia="Calibri" w:hAnsi="Calibri"/>
                <w:b/>
                <w:bCs/>
                <w:color w:val="BF8F00"/>
                <w:sz w:val="21"/>
                <w:szCs w:val="21"/>
              </w:rPr>
              <w:t xml:space="preserve">Governance note.  </w:t>
            </w:r>
            <w:r>
              <w:rPr>
                <w:rFonts w:ascii="Calibri" w:cs="Calibri" w:eastAsia="Calibri" w:hAnsi="Calibri"/>
                <w:color w:val="262626"/>
                <w:sz w:val="21"/>
                <w:szCs w:val="21"/>
              </w:rPr>
              <w:t xml:space="preserve">Copilot does not change anyone’s permissions — but it does change how easy it is to discover what those permissions already allow. Treat the first Copilot rollout in any department as a forcing function for an access review. This is the most common post-deployment surprise in the industry, and it is entirely preventable.</w:t>
            </w:r>
          </w:p>
        </w:tc>
      </w:tr>
    </w:tbl>
    <w:p>
      <w:pPr>
        <w:pStyle w:val="Heading1"/>
        <w:pageBreakBefore/>
        <w:pBdr>
          <w:bottom w:val="single" w:color="2E75B6" w:sz="12" w:space="6"/>
        </w:pBdr>
        <w:spacing w:after="200" w:before="0"/>
      </w:pPr>
      <w:r>
        <w:rPr>
          <w:rFonts w:ascii="Calibri" w:cs="Calibri" w:eastAsia="Calibri" w:hAnsi="Calibri"/>
          <w:b/>
          <w:bCs/>
          <w:color w:val="1F3864"/>
          <w:sz w:val="32"/>
          <w:szCs w:val="32"/>
        </w:rPr>
        <w:t xml:space="preserve">5. When to build a declarative agent</w:t>
      </w:r>
    </w:p>
    <w:p>
      <w:pPr>
        <w:spacing w:after="120" w:before="0" w:line="264"/>
        <w:jc w:val="left"/>
      </w:pPr>
      <w:r>
        <w:rPr>
          <w:rFonts w:ascii="Calibri" w:cs="Calibri" w:eastAsia="Calibri" w:hAnsi="Calibri"/>
          <w:color w:val="262626"/>
          <w:sz w:val="21"/>
          <w:szCs w:val="21"/>
        </w:rPr>
        <w:t xml:space="preserve">Declarative agents are the highest-leverage build in the Microsoft stack: days of work, no infrastructure, and compliance inherited from the platform. If a use case fits here, it should be built here.</w:t>
      </w:r>
    </w:p>
    <w:p>
      <w:pPr>
        <w:pStyle w:val="Heading2"/>
        <w:spacing w:after="120" w:before="280"/>
      </w:pPr>
      <w:r>
        <w:rPr>
          <w:rFonts w:ascii="Calibri" w:cs="Calibri" w:eastAsia="Calibri" w:hAnsi="Calibri"/>
          <w:b/>
          <w:bCs/>
          <w:color w:val="2E75B6"/>
          <w:sz w:val="25"/>
          <w:szCs w:val="25"/>
        </w:rPr>
        <w:t xml:space="preserve">5.1 The fit test</w:t>
      </w:r>
    </w:p>
    <w:tbl>
      <w:tblPr>
        <w:tblW w:type="dxa" w:w="10080"/>
        <w:tblBorders>
          <w:top w:val="single" w:color="BFBFBF" w:sz="4"/>
          <w:left w:val="single" w:color="BFBFBF" w:sz="4"/>
          <w:bottom w:val="single" w:color="BFBFBF" w:sz="4"/>
          <w:right w:val="single" w:color="BFBFBF" w:sz="4"/>
          <w:insideH w:val="single" w:color="D9D9D9" w:sz="2"/>
          <w:insideV w:val="single" w:color="D9D9D9" w:sz="2"/>
        </w:tblBorders>
      </w:tblPr>
      <w:tblGrid>
        <w:gridCol w:w="1814"/>
        <w:gridCol w:w="8266"/>
      </w:tblGrid>
      <w:tr>
        <w:trPr>
          <w:tblHeader/>
        </w:trPr>
        <w:tc>
          <w:tcPr>
            <w:tcW w:type="dxa" w:w="1814"/>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Signal</w:t>
            </w:r>
          </w:p>
        </w:tc>
        <w:tc>
          <w:tcPr>
            <w:tcW w:type="dxa" w:w="8266"/>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Fits a declarative agent</w:t>
            </w:r>
          </w:p>
        </w:tc>
      </w:tr>
      <w:tr>
        <w:trPr>
          <w:cantSplit/>
        </w:trPr>
        <w:tc>
          <w:tcPr>
            <w:tcW w:type="dxa" w:w="1814"/>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Scope</w:t>
            </w:r>
          </w:p>
        </w:tc>
        <w:tc>
          <w:tcPr>
            <w:tcW w:type="dxa" w:w="8266"/>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One focused task for one audience — "answer questions about our travel policy", not "be a general assistant".</w:t>
            </w:r>
          </w:p>
        </w:tc>
      </w:tr>
      <w:tr>
        <w:trPr>
          <w:cantSplit/>
        </w:trPr>
        <w:tc>
          <w:tcPr>
            <w:tcW w:type="dxa" w:w="1814"/>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Grounding</w:t>
            </w:r>
          </w:p>
        </w:tc>
        <w:tc>
          <w:tcPr>
            <w:tcW w:type="dxa" w:w="8266"/>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SharePoint sites and libraries, Graph data, Copilot connectors, and up to four curated public web domains.</w:t>
            </w:r>
          </w:p>
        </w:tc>
      </w:tr>
      <w:tr>
        <w:trPr>
          <w:cantSplit/>
        </w:trPr>
        <w:tc>
          <w:tcPr>
            <w:tcW w:type="dxa" w:w="1814"/>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Actions</w:t>
            </w:r>
          </w:p>
        </w:tc>
        <w:tc>
          <w:tcPr>
            <w:tcW w:type="dxa" w:w="8266"/>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A handful of API calls described by an OpenAPI specification, or a remote MCP server.</w:t>
            </w:r>
          </w:p>
        </w:tc>
      </w:tr>
      <w:tr>
        <w:trPr>
          <w:cantSplit/>
        </w:trPr>
        <w:tc>
          <w:tcPr>
            <w:tcW w:type="dxa" w:w="1814"/>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Surface</w:t>
            </w:r>
          </w:p>
        </w:tc>
        <w:tc>
          <w:tcPr>
            <w:tcW w:type="dxa" w:w="8266"/>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Inside Microsoft 365 — Teams, Copilot chat, SharePoint, the Office apps.</w:t>
            </w:r>
          </w:p>
        </w:tc>
      </w:tr>
      <w:tr>
        <w:trPr>
          <w:cantSplit/>
        </w:trPr>
        <w:tc>
          <w:tcPr>
            <w:tcW w:type="dxa" w:w="1814"/>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Initiation</w:t>
            </w:r>
          </w:p>
        </w:tc>
        <w:tc>
          <w:tcPr>
            <w:tcW w:type="dxa" w:w="8266"/>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Always user-initiated. No scheduled or event-driven behaviour required.</w:t>
            </w:r>
          </w:p>
        </w:tc>
      </w:tr>
      <w:tr>
        <w:trPr>
          <w:cantSplit/>
        </w:trPr>
        <w:tc>
          <w:tcPr>
            <w:tcW w:type="dxa" w:w="1814"/>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Audience</w:t>
            </w:r>
          </w:p>
        </w:tc>
        <w:tc>
          <w:tcPr>
            <w:tcW w:type="dxa" w:w="8266"/>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Individual productivity. Group collaboration and proactive messaging need a custom engine agent.</w:t>
            </w:r>
          </w:p>
        </w:tc>
      </w:tr>
    </w:tbl>
    <w:p>
      <w:pPr>
        <w:pStyle w:val="Heading2"/>
        <w:spacing w:after="120" w:before="280"/>
      </w:pPr>
      <w:r>
        <w:rPr>
          <w:rFonts w:ascii="Calibri" w:cs="Calibri" w:eastAsia="Calibri" w:hAnsi="Calibri"/>
          <w:b/>
          <w:bCs/>
          <w:color w:val="2E75B6"/>
          <w:sz w:val="25"/>
          <w:szCs w:val="25"/>
        </w:rPr>
        <w:t xml:space="preserve">5.2 Reference architecture A — declarative agent</w:t>
      </w:r>
    </w:p>
    <w:p>
      <w:pPr>
        <w:spacing w:after="120" w:before="0" w:line="264"/>
        <w:jc w:val="left"/>
      </w:pPr>
      <w:r>
        <w:rPr>
          <w:rFonts w:ascii="Calibri" w:cs="Calibri" w:eastAsia="Calibri" w:hAnsi="Calibri"/>
          <w:color w:val="262626"/>
          <w:sz w:val="21"/>
          <w:szCs w:val="21"/>
        </w:rPr>
        <w:t xml:space="preserve">The pattern below covers the large majority of internal knowledge-and-action agents: grounded in SharePoint and connector data, with one or two write actions behind an OpenAPI plugin or MCP server, surfaced in Teams.</w:t>
      </w:r>
    </w:p>
    <w:p>
      <w:pPr>
        <w:spacing w:after="60"/>
      </w:pPr>
      <w:r>
        <w:rPr>
          <w:rFonts w:ascii="Calibri" w:cs="Calibri" w:eastAsia="Calibri" w:hAnsi="Calibri"/>
          <w:color w:val="262626"/>
          <w:sz w:val="21"/>
          <w:szCs w:val="21"/>
        </w:rPr>
        <w:t xml:space="preserv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Mar>
              <w:top w:type="dxa" w:w="0"/>
              <w:left w:type="dxa" w:w="0"/>
              <w:bottom w:type="dxa" w:w="0"/>
              <w:right w:type="dxa" w:w="0"/>
            </w:tcMar>
          </w:tcPr>
          <w:p>
            <w:pPr>
              <w:spacing w:after="0" w:before="0" w:line="240" w:lineRule="auto"/>
              <w:jc w:val="center"/>
            </w:pPr>
            <w:r>
              <w:drawing>
                <wp:inline distT="0" distB="0" distL="0" distR="0">
                  <wp:extent cx="6096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1866900"/>
                          </a:xfrm>
                          <a:prstGeom prst="rect">
                            <a:avLst/>
                          </a:prstGeom>
                        </pic:spPr>
                      </pic:pic>
                    </a:graphicData>
                  </a:graphic>
                </wp:inline>
              </w:drawing>
            </w:r>
          </w:p>
          <w:p>
            <w:pPr>
              <w:spacing w:after="0" w:before="100"/>
              <w:jc w:val="center"/>
            </w:pPr>
            <w:r>
              <w:rPr>
                <w:rFonts w:ascii="Calibri" w:cs="Calibri" w:eastAsia="Calibri" w:hAnsi="Calibri"/>
                <w:i/>
                <w:iCs/>
                <w:color w:val="595959"/>
                <w:sz w:val="18"/>
                <w:szCs w:val="18"/>
              </w:rPr>
              <w:t xml:space="preserve">Figure 2 — Reference architecture A: declarative agent on the Copilot orchestrator. Nothing in this diagram is hosted by us.</w:t>
            </w:r>
          </w:p>
        </w:tc>
      </w:tr>
    </w:tbl>
    <w:p>
      <w:pPr>
        <w:spacing w:after="200"/>
      </w:pPr>
      <w:r>
        <w:rPr>
          <w:rFonts w:ascii="Calibri" w:cs="Calibri" w:eastAsia="Calibri" w:hAnsi="Calibri"/>
          <w:color w:val="262626"/>
          <w:sz w:val="21"/>
          <w:szCs w:val="21"/>
        </w:rPr>
        <w:t xml:space="preserve"/>
      </w:r>
    </w:p>
    <w:p>
      <w:pPr>
        <w:spacing w:after="120" w:before="0" w:line="264"/>
        <w:jc w:val="left"/>
      </w:pPr>
      <w:r>
        <w:rPr>
          <w:rFonts w:ascii="Calibri" w:cs="Calibri" w:eastAsia="Calibri" w:hAnsi="Calibri"/>
          <w:color w:val="262626"/>
          <w:sz w:val="21"/>
          <w:szCs w:val="21"/>
        </w:rPr>
        <w:t xml:space="preserve">The important property of this architecture is the Microsoft Graph boundary. The agent never has its own view of the data; it sees what the signed-in user sees. That single design fact removes an entire category of data-leakage risk that a custom build has to engineer around with on-behalf-of token flows and careful index-level trimming.</w:t>
      </w:r>
    </w:p>
    <w:p>
      <w:pPr>
        <w:pStyle w:val="Heading2"/>
        <w:spacing w:after="120" w:before="280"/>
      </w:pPr>
      <w:r>
        <w:rPr>
          <w:rFonts w:ascii="Calibri" w:cs="Calibri" w:eastAsia="Calibri" w:hAnsi="Calibri"/>
          <w:b/>
          <w:bCs/>
          <w:color w:val="2E75B6"/>
          <w:sz w:val="25"/>
          <w:szCs w:val="25"/>
        </w:rPr>
        <w:t xml:space="preserve">5.3 Design rules for declarative agents</w:t>
      </w:r>
    </w:p>
    <w:p>
      <w:pPr>
        <w:pStyle w:val="ListParagraph"/>
        <w:numPr>
          <w:ilvl w:val="0"/>
          <w:numId w:val="5"/>
        </w:numPr>
        <w:spacing w:after="80" w:line="264"/>
      </w:pPr>
      <w:r>
        <w:rPr>
          <w:rFonts w:ascii="Calibri" w:cs="Calibri" w:eastAsia="Calibri" w:hAnsi="Calibri"/>
          <w:b/>
          <w:bCs/>
          <w:color w:val="262626"/>
          <w:sz w:val="21"/>
          <w:szCs w:val="21"/>
        </w:rPr>
        <w:t xml:space="preserve">Write instructions as policy, not prose. </w:t>
      </w:r>
      <w:r>
        <w:rPr>
          <w:rFonts w:ascii="Calibri" w:cs="Calibri" w:eastAsia="Calibri" w:hAnsi="Calibri"/>
          <w:color w:val="262626"/>
          <w:sz w:val="21"/>
          <w:szCs w:val="21"/>
        </w:rPr>
        <w:t xml:space="preserve">You have 8,000 characters. Spend them on boundaries, refusal conditions, output format and tone — not on explaining things the model already knows.</w:t>
      </w:r>
    </w:p>
    <w:p>
      <w:pPr>
        <w:pStyle w:val="ListParagraph"/>
        <w:numPr>
          <w:ilvl w:val="0"/>
          <w:numId w:val="5"/>
        </w:numPr>
        <w:spacing w:after="80" w:line="264"/>
      </w:pPr>
      <w:r>
        <w:rPr>
          <w:rFonts w:ascii="Calibri" w:cs="Calibri" w:eastAsia="Calibri" w:hAnsi="Calibri"/>
          <w:b/>
          <w:bCs/>
          <w:color w:val="262626"/>
          <w:sz w:val="21"/>
          <w:szCs w:val="21"/>
        </w:rPr>
        <w:t xml:space="preserve">Name the sources explicitly. </w:t>
      </w:r>
      <w:r>
        <w:rPr>
          <w:rFonts w:ascii="Calibri" w:cs="Calibri" w:eastAsia="Calibri" w:hAnsi="Calibri"/>
          <w:color w:val="262626"/>
          <w:sz w:val="21"/>
          <w:szCs w:val="21"/>
        </w:rPr>
        <w:t xml:space="preserve">Point at specific SharePoint sites and libraries rather than the whole tenant. Retrieval quality is a function of corpus precision far more than corpus size.</w:t>
      </w:r>
    </w:p>
    <w:p>
      <w:pPr>
        <w:pStyle w:val="ListParagraph"/>
        <w:numPr>
          <w:ilvl w:val="0"/>
          <w:numId w:val="5"/>
        </w:numPr>
        <w:spacing w:after="80" w:line="264"/>
      </w:pPr>
      <w:r>
        <w:rPr>
          <w:rFonts w:ascii="Calibri" w:cs="Calibri" w:eastAsia="Calibri" w:hAnsi="Calibri"/>
          <w:b/>
          <w:bCs/>
          <w:color w:val="262626"/>
          <w:sz w:val="21"/>
          <w:szCs w:val="21"/>
        </w:rPr>
        <w:t xml:space="preserve">Curate the web, do not open it. </w:t>
      </w:r>
      <w:r>
        <w:rPr>
          <w:rFonts w:ascii="Calibri" w:cs="Calibri" w:eastAsia="Calibri" w:hAnsi="Calibri"/>
          <w:color w:val="262626"/>
          <w:sz w:val="21"/>
          <w:szCs w:val="21"/>
        </w:rPr>
        <w:t xml:space="preserve">The web search capability allows a maximum of four sites, with a maximum of two path segments and no query parameters. Treat that limit as a feature: it forces you to decide which external sources you actually trust.</w:t>
      </w:r>
    </w:p>
    <w:p>
      <w:pPr>
        <w:pStyle w:val="ListParagraph"/>
        <w:numPr>
          <w:ilvl w:val="0"/>
          <w:numId w:val="5"/>
        </w:numPr>
        <w:spacing w:after="80" w:line="264"/>
      </w:pPr>
      <w:r>
        <w:rPr>
          <w:rFonts w:ascii="Calibri" w:cs="Calibri" w:eastAsia="Calibri" w:hAnsi="Calibri"/>
          <w:b/>
          <w:bCs/>
          <w:color w:val="262626"/>
          <w:sz w:val="21"/>
          <w:szCs w:val="21"/>
        </w:rPr>
        <w:t xml:space="preserve">Use conversation starters as training. </w:t>
      </w:r>
      <w:r>
        <w:rPr>
          <w:rFonts w:ascii="Calibri" w:cs="Calibri" w:eastAsia="Calibri" w:hAnsi="Calibri"/>
          <w:color w:val="262626"/>
          <w:sz w:val="21"/>
          <w:szCs w:val="21"/>
        </w:rPr>
        <w:t xml:space="preserve">You get up to twelve. They are the cheapest user enablement available — most people will only ever use the agent the way the starters suggest.</w:t>
      </w:r>
    </w:p>
    <w:p>
      <w:pPr>
        <w:pStyle w:val="ListParagraph"/>
        <w:numPr>
          <w:ilvl w:val="0"/>
          <w:numId w:val="5"/>
        </w:numPr>
        <w:spacing w:after="80" w:line="264"/>
      </w:pPr>
      <w:r>
        <w:rPr>
          <w:rFonts w:ascii="Calibri" w:cs="Calibri" w:eastAsia="Calibri" w:hAnsi="Calibri"/>
          <w:b/>
          <w:bCs/>
          <w:color w:val="262626"/>
          <w:sz w:val="21"/>
          <w:szCs w:val="21"/>
        </w:rPr>
        <w:t xml:space="preserve">Add a disclaimer when the agent touches a regulated or advisory domain. </w:t>
      </w:r>
      <w:r>
        <w:rPr>
          <w:rFonts w:ascii="Calibri" w:cs="Calibri" w:eastAsia="Calibri" w:hAnsi="Calibri"/>
          <w:color w:val="262626"/>
          <w:sz w:val="21"/>
          <w:szCs w:val="21"/>
        </w:rPr>
        <w:t xml:space="preserve">You have 500 characters for it.</w:t>
      </w:r>
    </w:p>
    <w:p>
      <w:pPr>
        <w:pStyle w:val="ListParagraph"/>
        <w:numPr>
          <w:ilvl w:val="0"/>
          <w:numId w:val="5"/>
        </w:numPr>
        <w:spacing w:after="80" w:line="264"/>
      </w:pPr>
      <w:r>
        <w:rPr>
          <w:rFonts w:ascii="Calibri" w:cs="Calibri" w:eastAsia="Calibri" w:hAnsi="Calibri"/>
          <w:b/>
          <w:bCs/>
          <w:color w:val="262626"/>
          <w:sz w:val="21"/>
          <w:szCs w:val="21"/>
        </w:rPr>
        <w:t xml:space="preserve">Put the agent in source control. </w:t>
      </w:r>
      <w:r>
        <w:rPr>
          <w:rFonts w:ascii="Calibri" w:cs="Calibri" w:eastAsia="Calibri" w:hAnsi="Calibri"/>
          <w:color w:val="262626"/>
          <w:sz w:val="21"/>
          <w:szCs w:val="21"/>
        </w:rPr>
        <w:t xml:space="preserve">Even a no-code agent should have its manifest exported and committed. Agents built in a UI with no versioning become unmaintainable within two quarters.</w:t>
      </w:r>
    </w:p>
    <w:p>
      <w:pPr>
        <w:pStyle w:val="Heading2"/>
        <w:spacing w:after="120" w:before="280"/>
      </w:pPr>
      <w:r>
        <w:rPr>
          <w:rFonts w:ascii="Calibri" w:cs="Calibri" w:eastAsia="Calibri" w:hAnsi="Calibri"/>
          <w:b/>
          <w:bCs/>
          <w:color w:val="2E75B6"/>
          <w:sz w:val="25"/>
          <w:szCs w:val="25"/>
        </w:rPr>
        <w:t xml:space="preserve">5.4 Choosing the authoring tool</w:t>
      </w:r>
    </w:p>
    <w:tbl>
      <w:tblPr>
        <w:tblW w:type="dxa" w:w="10080"/>
        <w:tblBorders>
          <w:top w:val="single" w:color="BFBFBF" w:sz="4"/>
          <w:left w:val="single" w:color="BFBFBF" w:sz="4"/>
          <w:bottom w:val="single" w:color="BFBFBF" w:sz="4"/>
          <w:right w:val="single" w:color="BFBFBF" w:sz="4"/>
          <w:insideH w:val="single" w:color="D9D9D9" w:sz="2"/>
          <w:insideV w:val="single" w:color="D9D9D9" w:sz="2"/>
        </w:tblBorders>
      </w:tblPr>
      <w:tblGrid>
        <w:gridCol w:w="1915"/>
        <w:gridCol w:w="4032"/>
        <w:gridCol w:w="4133"/>
      </w:tblGrid>
      <w:tr>
        <w:trPr>
          <w:tblHeader/>
        </w:trPr>
        <w:tc>
          <w:tcPr>
            <w:tcW w:type="dxa" w:w="1915"/>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Choose</w:t>
            </w:r>
          </w:p>
        </w:tc>
        <w:tc>
          <w:tcPr>
            <w:tcW w:type="dxa" w:w="4032"/>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When</w:t>
            </w:r>
          </w:p>
        </w:tc>
        <w:tc>
          <w:tcPr>
            <w:tcW w:type="dxa" w:w="4133"/>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Main limitation to accept</w:t>
            </w:r>
          </w:p>
        </w:tc>
      </w:tr>
      <w:tr>
        <w:trPr>
          <w:cantSplit/>
        </w:trPr>
        <w:tc>
          <w:tcPr>
            <w:tcW w:type="dxa" w:w="1915"/>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Agent Builder</w:t>
            </w:r>
          </w:p>
        </w:tc>
        <w:tc>
          <w:tcPr>
            <w:tcW w:type="dxa" w:w="4032"/>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A business user owns the agent and the scope is stable</w:t>
            </w:r>
          </w:p>
        </w:tc>
        <w:tc>
          <w:tcPr>
            <w:tcW w:type="dxa" w:w="4133"/>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No complex workflows; features arrive later than in the Toolkit</w:t>
            </w:r>
          </w:p>
        </w:tc>
      </w:tr>
      <w:tr>
        <w:trPr>
          <w:cantSplit/>
        </w:trPr>
        <w:tc>
          <w:tcPr>
            <w:tcW w:type="dxa" w:w="1915"/>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SharePoint</w:t>
            </w:r>
          </w:p>
        </w:tc>
        <w:tc>
          <w:tcPr>
            <w:tcW w:type="dxa" w:w="4032"/>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The agent is a front door to one site or library</w:t>
            </w:r>
          </w:p>
        </w:tc>
        <w:tc>
          <w:tcPr>
            <w:tcW w:type="dxa" w:w="4133"/>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Weak integration with agents built elsewhere; not for scale</w:t>
            </w:r>
          </w:p>
        </w:tc>
      </w:tr>
      <w:tr>
        <w:trPr>
          <w:cantSplit/>
        </w:trPr>
        <w:tc>
          <w:tcPr>
            <w:tcW w:type="dxa" w:w="1915"/>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Copilot Studio</w:t>
            </w:r>
          </w:p>
        </w:tc>
        <w:tc>
          <w:tcPr>
            <w:tcW w:type="dxa" w:w="4032"/>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You need Power Platform connectors and departmental ALM</w:t>
            </w:r>
          </w:p>
        </w:tc>
        <w:tc>
          <w:tcPr>
            <w:tcW w:type="dxa" w:w="4133"/>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Less control over API calls and formatting; Adaptive Cards pinned to schema 1.6</w:t>
            </w:r>
          </w:p>
        </w:tc>
      </w:tr>
      <w:tr>
        <w:trPr>
          <w:cantSplit/>
        </w:trPr>
        <w:tc>
          <w:tcPr>
            <w:tcW w:type="dxa" w:w="1915"/>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Agents Toolkit</w:t>
            </w:r>
          </w:p>
        </w:tc>
        <w:tc>
          <w:tcPr>
            <w:tcW w:type="dxa" w:w="4032"/>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Professional developers own it and it needs CI/CD</w:t>
            </w:r>
          </w:p>
        </w:tc>
        <w:tc>
          <w:tcPr>
            <w:tcW w:type="dxa" w:w="4133"/>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No drag-and-drop connectors; manual JSON; cannot be reused in low-code tools; publishing unsupported in Government tenants</w:t>
            </w:r>
          </w:p>
        </w:tc>
      </w:tr>
    </w:tbl>
    <w:p>
      <w:pPr>
        <w:pStyle w:val="Heading1"/>
        <w:pageBreakBefore/>
        <w:pBdr>
          <w:bottom w:val="single" w:color="2E75B6" w:sz="12" w:space="6"/>
        </w:pBdr>
        <w:spacing w:after="200" w:before="0"/>
      </w:pPr>
      <w:r>
        <w:rPr>
          <w:rFonts w:ascii="Calibri" w:cs="Calibri" w:eastAsia="Calibri" w:hAnsi="Calibri"/>
          <w:b/>
          <w:bCs/>
          <w:color w:val="1F3864"/>
          <w:sz w:val="32"/>
          <w:szCs w:val="32"/>
        </w:rPr>
        <w:t xml:space="preserve">6. When to build a custom engine agent</w:t>
      </w:r>
    </w:p>
    <w:p>
      <w:pPr>
        <w:spacing w:after="120" w:before="0" w:line="264"/>
        <w:jc w:val="left"/>
      </w:pPr>
      <w:r>
        <w:rPr>
          <w:rFonts w:ascii="Calibri" w:cs="Calibri" w:eastAsia="Calibri" w:hAnsi="Calibri"/>
          <w:color w:val="262626"/>
          <w:sz w:val="21"/>
          <w:szCs w:val="21"/>
        </w:rPr>
        <w:t xml:space="preserve">A custom engine agent is the first rung where we take on real ownership. The capability gained is specific and the obligation gained is specific; both should be written down before approval.</w:t>
      </w:r>
    </w:p>
    <w:p>
      <w:pPr>
        <w:pStyle w:val="Heading2"/>
        <w:spacing w:after="120" w:before="280"/>
      </w:pPr>
      <w:r>
        <w:rPr>
          <w:rFonts w:ascii="Calibri" w:cs="Calibri" w:eastAsia="Calibri" w:hAnsi="Calibri"/>
          <w:b/>
          <w:bCs/>
          <w:color w:val="2E75B6"/>
          <w:sz w:val="25"/>
          <w:szCs w:val="25"/>
        </w:rPr>
        <w:t xml:space="preserve">6.1 What you gain, and what you take on</w:t>
      </w:r>
    </w:p>
    <w:tbl>
      <w:tblPr>
        <w:tblW w:type="dxa" w:w="10080"/>
        <w:tblBorders>
          <w:top w:val="single" w:color="BFBFBF" w:sz="4"/>
          <w:left w:val="single" w:color="BFBFBF" w:sz="4"/>
          <w:bottom w:val="single" w:color="BFBFBF" w:sz="4"/>
          <w:right w:val="single" w:color="BFBFBF" w:sz="4"/>
          <w:insideH w:val="single" w:color="D9D9D9" w:sz="2"/>
          <w:insideV w:val="single" w:color="D9D9D9" w:sz="2"/>
        </w:tblBorders>
      </w:tblPr>
      <w:tblGrid>
        <w:gridCol w:w="2419"/>
        <w:gridCol w:w="3629"/>
        <w:gridCol w:w="4032"/>
      </w:tblGrid>
      <w:tr>
        <w:trPr>
          <w:tblHeader/>
        </w:trPr>
        <w:tc>
          <w:tcPr>
            <w:tcW w:type="dxa" w:w="2419"/>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Dimension</w:t>
            </w:r>
          </w:p>
        </w:tc>
        <w:tc>
          <w:tcPr>
            <w:tcW w:type="dxa" w:w="3629"/>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Declarative agent</w:t>
            </w:r>
          </w:p>
        </w:tc>
        <w:tc>
          <w:tcPr>
            <w:tcW w:type="dxa" w:w="4032"/>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Custom engine agent</w:t>
            </w:r>
          </w:p>
        </w:tc>
      </w:tr>
      <w:tr>
        <w:trPr>
          <w:cantSplit/>
        </w:trPr>
        <w:tc>
          <w:tcPr>
            <w:tcW w:type="dxa" w:w="2419"/>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Orchestration</w:t>
            </w:r>
          </w:p>
        </w:tc>
        <w:tc>
          <w:tcPr>
            <w:tcW w:type="dxa" w:w="3629"/>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Copilot’s built-in orchestrator</w:t>
            </w:r>
          </w:p>
        </w:tc>
        <w:tc>
          <w:tcPr>
            <w:tcW w:type="dxa" w:w="4032"/>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Yours — full control over workflow and logic</w:t>
            </w:r>
          </w:p>
        </w:tc>
      </w:tr>
      <w:tr>
        <w:trPr>
          <w:cantSplit/>
        </w:trPr>
        <w:tc>
          <w:tcPr>
            <w:tcW w:type="dxa" w:w="2419"/>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Model</w:t>
            </w:r>
          </w:p>
        </w:tc>
        <w:tc>
          <w:tcPr>
            <w:tcW w:type="dxa" w:w="3629"/>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Copilot’s foundation models only</w:t>
            </w:r>
          </w:p>
        </w:tc>
        <w:tc>
          <w:tcPr>
            <w:tcW w:type="dxa" w:w="4032"/>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Foundation, small, fine-tuned or industry-specific models</w:t>
            </w:r>
          </w:p>
        </w:tc>
      </w:tr>
      <w:tr>
        <w:trPr>
          <w:cantSplit/>
        </w:trPr>
        <w:tc>
          <w:tcPr>
            <w:tcW w:type="dxa" w:w="2419"/>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Hosting</w:t>
            </w:r>
          </w:p>
        </w:tc>
        <w:tc>
          <w:tcPr>
            <w:tcW w:type="dxa" w:w="3629"/>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Microsoft 365 — no infrastructure cost</w:t>
            </w:r>
          </w:p>
        </w:tc>
        <w:tc>
          <w:tcPr>
            <w:tcW w:type="dxa" w:w="4032"/>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Copilot Studio (Microsoft-hosted) or your own Azure footprint</w:t>
            </w:r>
          </w:p>
        </w:tc>
      </w:tr>
      <w:tr>
        <w:trPr>
          <w:cantSplit/>
        </w:trPr>
        <w:tc>
          <w:tcPr>
            <w:tcW w:type="dxa" w:w="2419"/>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Compliance &amp; responsible AI</w:t>
            </w:r>
          </w:p>
        </w:tc>
        <w:tc>
          <w:tcPr>
            <w:tcW w:type="dxa" w:w="3629"/>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Inherited from Microsoft 365</w:t>
            </w:r>
          </w:p>
        </w:tc>
        <w:tc>
          <w:tcPr>
            <w:tcW w:type="dxa" w:w="4032"/>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Your responsibility to implement and evidence</w:t>
            </w:r>
          </w:p>
        </w:tc>
      </w:tr>
      <w:tr>
        <w:trPr>
          <w:cantSplit/>
        </w:trPr>
        <w:tc>
          <w:tcPr>
            <w:tcW w:type="dxa" w:w="2419"/>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Proactive / autonomous behaviour</w:t>
            </w:r>
          </w:p>
        </w:tc>
        <w:tc>
          <w:tcPr>
            <w:tcW w:type="dxa" w:w="3629"/>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Not supported</w:t>
            </w:r>
          </w:p>
        </w:tc>
        <w:tc>
          <w:tcPr>
            <w:tcW w:type="dxa" w:w="4032"/>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Supported — schedules, events, record changes</w:t>
            </w:r>
          </w:p>
        </w:tc>
      </w:tr>
      <w:tr>
        <w:trPr>
          <w:cantSplit/>
        </w:trPr>
        <w:tc>
          <w:tcPr>
            <w:tcW w:type="dxa" w:w="2419"/>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Channels</w:t>
            </w:r>
          </w:p>
        </w:tc>
        <w:tc>
          <w:tcPr>
            <w:tcW w:type="dxa" w:w="3629"/>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Microsoft 365 apps only</w:t>
            </w:r>
          </w:p>
        </w:tc>
        <w:tc>
          <w:tcPr>
            <w:tcW w:type="dxa" w:w="4032"/>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Microsoft 365 plus external channels</w:t>
            </w:r>
          </w:p>
        </w:tc>
      </w:tr>
      <w:tr>
        <w:trPr>
          <w:cantSplit/>
        </w:trPr>
        <w:tc>
          <w:tcPr>
            <w:tcW w:type="dxa" w:w="2419"/>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Collaboration</w:t>
            </w:r>
          </w:p>
        </w:tc>
        <w:tc>
          <w:tcPr>
            <w:tcW w:type="dxa" w:w="3629"/>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Individual use</w:t>
            </w:r>
          </w:p>
        </w:tc>
        <w:tc>
          <w:tcPr>
            <w:tcW w:type="dxa" w:w="4032"/>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Individual and group — Teams channels and meetings</w:t>
            </w:r>
          </w:p>
        </w:tc>
      </w:tr>
      <w:tr>
        <w:trPr>
          <w:cantSplit/>
        </w:trPr>
        <w:tc>
          <w:tcPr>
            <w:tcW w:type="dxa" w:w="2419"/>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Cost shape</w:t>
            </w:r>
          </w:p>
        </w:tc>
        <w:tc>
          <w:tcPr>
            <w:tcW w:type="dxa" w:w="3629"/>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Covered by the Microsoft 365 subscription</w:t>
            </w:r>
          </w:p>
        </w:tc>
        <w:tc>
          <w:tcPr>
            <w:tcW w:type="dxa" w:w="4032"/>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Copilot Credits and/or Azure hosting and model tokens</w:t>
            </w:r>
          </w:p>
        </w:tc>
      </w:tr>
    </w:tbl>
    <w:p>
      <w:pPr>
        <w:pStyle w:val="Heading2"/>
        <w:spacing w:after="120" w:before="280"/>
      </w:pPr>
      <w:r>
        <w:rPr>
          <w:rFonts w:ascii="Calibri" w:cs="Calibri" w:eastAsia="Calibri" w:hAnsi="Calibri"/>
          <w:b/>
          <w:bCs/>
          <w:color w:val="2E75B6"/>
          <w:sz w:val="25"/>
          <w:szCs w:val="25"/>
        </w:rPr>
        <w:t xml:space="preserve">6.2 The four triggers</w:t>
      </w:r>
    </w:p>
    <w:p>
      <w:pPr>
        <w:spacing w:after="120" w:before="0" w:line="264"/>
        <w:jc w:val="left"/>
      </w:pPr>
      <w:r>
        <w:rPr>
          <w:rFonts w:ascii="Calibri" w:cs="Calibri" w:eastAsia="Calibri" w:hAnsi="Calibri"/>
          <w:color w:val="262626"/>
          <w:sz w:val="21"/>
          <w:szCs w:val="21"/>
        </w:rPr>
        <w:t xml:space="preserve">Build a custom engine agent when at least one of these is true and documented:</w:t>
      </w:r>
    </w:p>
    <w:p>
      <w:pPr>
        <w:pStyle w:val="ListParagraph"/>
        <w:numPr>
          <w:ilvl w:val="0"/>
          <w:numId w:val="3"/>
        </w:numPr>
        <w:spacing w:after="80" w:line="264"/>
      </w:pPr>
      <w:r>
        <w:rPr>
          <w:rFonts w:ascii="Calibri" w:cs="Calibri" w:eastAsia="Calibri" w:hAnsi="Calibri"/>
          <w:b/>
          <w:bCs/>
          <w:color w:val="262626"/>
          <w:sz w:val="21"/>
          <w:szCs w:val="21"/>
        </w:rPr>
        <w:t xml:space="preserve">Autonomy. </w:t>
      </w:r>
      <w:r>
        <w:rPr>
          <w:rFonts w:ascii="Calibri" w:cs="Calibri" w:eastAsia="Calibri" w:hAnsi="Calibri"/>
          <w:color w:val="262626"/>
          <w:sz w:val="21"/>
          <w:szCs w:val="21"/>
        </w:rPr>
        <w:t xml:space="preserve">The agent must act without a user prompt — on a schedule, on an inbound event, or when a record changes. This alone rules out declarative agents.</w:t>
      </w:r>
    </w:p>
    <w:p>
      <w:pPr>
        <w:pStyle w:val="ListParagraph"/>
        <w:numPr>
          <w:ilvl w:val="0"/>
          <w:numId w:val="3"/>
        </w:numPr>
        <w:spacing w:after="80" w:line="264"/>
      </w:pPr>
      <w:r>
        <w:rPr>
          <w:rFonts w:ascii="Calibri" w:cs="Calibri" w:eastAsia="Calibri" w:hAnsi="Calibri"/>
          <w:b/>
          <w:bCs/>
          <w:color w:val="262626"/>
          <w:sz w:val="21"/>
          <w:szCs w:val="21"/>
        </w:rPr>
        <w:t xml:space="preserve">Reach. </w:t>
      </w:r>
      <w:r>
        <w:rPr>
          <w:rFonts w:ascii="Calibri" w:cs="Calibri" w:eastAsia="Calibri" w:hAnsi="Calibri"/>
          <w:color w:val="262626"/>
          <w:sz w:val="21"/>
          <w:szCs w:val="21"/>
        </w:rPr>
        <w:t xml:space="preserve">The agent must serve a public website, a contact centre, WhatsApp, voice, or an embedded surface outside Microsoft 365.</w:t>
      </w:r>
    </w:p>
    <w:p>
      <w:pPr>
        <w:pStyle w:val="ListParagraph"/>
        <w:numPr>
          <w:ilvl w:val="0"/>
          <w:numId w:val="3"/>
        </w:numPr>
        <w:spacing w:after="80" w:line="264"/>
      </w:pPr>
      <w:r>
        <w:rPr>
          <w:rFonts w:ascii="Calibri" w:cs="Calibri" w:eastAsia="Calibri" w:hAnsi="Calibri"/>
          <w:b/>
          <w:bCs/>
          <w:color w:val="262626"/>
          <w:sz w:val="21"/>
          <w:szCs w:val="21"/>
        </w:rPr>
        <w:t xml:space="preserve">Logic. </w:t>
      </w:r>
      <w:r>
        <w:rPr>
          <w:rFonts w:ascii="Calibri" w:cs="Calibri" w:eastAsia="Calibri" w:hAnsi="Calibri"/>
          <w:color w:val="262626"/>
          <w:sz w:val="21"/>
          <w:szCs w:val="21"/>
        </w:rPr>
        <w:t xml:space="preserve">Decisions depend on business rules with real branching — a loan assessment that runs several credit checks and applies policy thresholds, not a question-and-answer flow.</w:t>
      </w:r>
    </w:p>
    <w:p>
      <w:pPr>
        <w:pStyle w:val="ListParagraph"/>
        <w:numPr>
          <w:ilvl w:val="0"/>
          <w:numId w:val="3"/>
        </w:numPr>
        <w:spacing w:after="80" w:line="264"/>
      </w:pPr>
      <w:r>
        <w:rPr>
          <w:rFonts w:ascii="Calibri" w:cs="Calibri" w:eastAsia="Calibri" w:hAnsi="Calibri"/>
          <w:b/>
          <w:bCs/>
          <w:color w:val="262626"/>
          <w:sz w:val="21"/>
          <w:szCs w:val="21"/>
        </w:rPr>
        <w:t xml:space="preserve">Model fit. </w:t>
      </w:r>
      <w:r>
        <w:rPr>
          <w:rFonts w:ascii="Calibri" w:cs="Calibri" w:eastAsia="Calibri" w:hAnsi="Calibri"/>
          <w:color w:val="262626"/>
          <w:sz w:val="21"/>
          <w:szCs w:val="21"/>
        </w:rPr>
        <w:t xml:space="preserve">A domain-specific, multimodal or fine-tuned model is required, evidenced by evaluation results rather than preference.</w:t>
      </w:r>
    </w:p>
    <w:p>
      <w:pPr>
        <w:pStyle w:val="Heading2"/>
        <w:spacing w:after="120" w:before="280"/>
      </w:pPr>
      <w:r>
        <w:rPr>
          <w:rFonts w:ascii="Calibri" w:cs="Calibri" w:eastAsia="Calibri" w:hAnsi="Calibri"/>
          <w:b/>
          <w:bCs/>
          <w:color w:val="2E75B6"/>
          <w:sz w:val="25"/>
          <w:szCs w:val="25"/>
        </w:rPr>
        <w:t xml:space="preserve">6.3 Reference architecture B — custom engine agent in Copilot Studio</w:t>
      </w:r>
    </w:p>
    <w:p>
      <w:pPr>
        <w:spacing w:after="120" w:before="0" w:line="264"/>
        <w:jc w:val="left"/>
      </w:pPr>
      <w:r>
        <w:rPr>
          <w:rFonts w:ascii="Calibri" w:cs="Calibri" w:eastAsia="Calibri" w:hAnsi="Calibri"/>
          <w:color w:val="262626"/>
          <w:sz w:val="21"/>
          <w:szCs w:val="21"/>
        </w:rPr>
        <w:t xml:space="preserve">This is the pattern for a connector-heavy, multi-channel agent that still benefits from being Microsoft-hosted — for example a customer service agent that answers from a knowledge base, looks up order status in the system of record, and escalates to a human when confidence is low.</w:t>
      </w:r>
    </w:p>
    <w:p>
      <w:pPr>
        <w:spacing w:after="60"/>
      </w:pPr>
      <w:r>
        <w:rPr>
          <w:rFonts w:ascii="Calibri" w:cs="Calibri" w:eastAsia="Calibri" w:hAnsi="Calibri"/>
          <w:color w:val="262626"/>
          <w:sz w:val="21"/>
          <w:szCs w:val="21"/>
        </w:rPr>
        <w:t xml:space="preserv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Mar>
              <w:top w:type="dxa" w:w="0"/>
              <w:left w:type="dxa" w:w="0"/>
              <w:bottom w:type="dxa" w:w="0"/>
              <w:right w:type="dxa" w:w="0"/>
            </w:tcMar>
          </w:tcPr>
          <w:p>
            <w:pPr>
              <w:spacing w:after="0" w:before="0" w:line="240" w:lineRule="auto"/>
              <w:jc w:val="center"/>
            </w:pPr>
            <w:r>
              <w:drawing>
                <wp:inline distT="0" distB="0" distL="0" distR="0">
                  <wp:extent cx="6096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381250"/>
                          </a:xfrm>
                          <a:prstGeom prst="rect">
                            <a:avLst/>
                          </a:prstGeom>
                        </pic:spPr>
                      </pic:pic>
                    </a:graphicData>
                  </a:graphic>
                </wp:inline>
              </w:drawing>
            </w:r>
          </w:p>
          <w:p>
            <w:pPr>
              <w:spacing w:after="0" w:before="100"/>
              <w:jc w:val="center"/>
            </w:pPr>
            <w:r>
              <w:rPr>
                <w:rFonts w:ascii="Calibri" w:cs="Calibri" w:eastAsia="Calibri" w:hAnsi="Calibri"/>
                <w:i/>
                <w:iCs/>
                <w:color w:val="595959"/>
                <w:sz w:val="18"/>
                <w:szCs w:val="18"/>
              </w:rPr>
              <w:t xml:space="preserve">Figure 3 — Reference architecture B: custom engine agent in Copilot Studio with autonomous triggers and human handoff.</w:t>
            </w:r>
          </w:p>
        </w:tc>
      </w:tr>
    </w:tbl>
    <w:p>
      <w:pPr>
        <w:spacing w:after="200"/>
      </w:pPr>
      <w:r>
        <w:rPr>
          <w:rFonts w:ascii="Calibri" w:cs="Calibri" w:eastAsia="Calibri" w:hAnsi="Calibri"/>
          <w:color w:val="262626"/>
          <w:sz w:val="21"/>
          <w:szCs w:val="21"/>
        </w:rPr>
        <w:t xml:space="preserve"/>
      </w:r>
    </w:p>
    <w:p>
      <w:pPr>
        <w:spacing w:after="120" w:before="0" w:line="264"/>
        <w:jc w:val="left"/>
      </w:pPr>
      <w:r>
        <w:rPr>
          <w:rFonts w:ascii="Calibri" w:cs="Calibri" w:eastAsia="Calibri" w:hAnsi="Calibri"/>
          <w:color w:val="262626"/>
          <w:sz w:val="21"/>
          <w:szCs w:val="21"/>
        </w:rPr>
        <w:t xml:space="preserve">Two design decisions in this diagram do most of the work. First, deterministic steps are pushed into Power Automate flows rather than being described in instructions — the model decides what to do, the flow decides how, and the flow is testable. Second, the human handoff is a first-class path, not an error case. Agents that cannot hand off reliably produce the worst customer outcomes in the industry.</w:t>
      </w:r>
    </w:p>
    <w:p>
      <w:pPr>
        <w:pStyle w:val="Heading2"/>
        <w:spacing w:after="120" w:before="280"/>
      </w:pPr>
      <w:r>
        <w:rPr>
          <w:rFonts w:ascii="Calibri" w:cs="Calibri" w:eastAsia="Calibri" w:hAnsi="Calibri"/>
          <w:b/>
          <w:bCs/>
          <w:color w:val="2E75B6"/>
          <w:sz w:val="25"/>
          <w:szCs w:val="25"/>
        </w:rPr>
        <w:t xml:space="preserve">6.4 Capacity planning is part of the design</w:t>
      </w:r>
    </w:p>
    <w:p>
      <w:pPr>
        <w:spacing w:after="120" w:before="0" w:line="264"/>
        <w:jc w:val="left"/>
      </w:pPr>
      <w:r>
        <w:rPr>
          <w:rFonts w:ascii="Calibri" w:cs="Calibri" w:eastAsia="Calibri" w:hAnsi="Calibri"/>
          <w:color w:val="262626"/>
          <w:sz w:val="21"/>
          <w:szCs w:val="21"/>
        </w:rPr>
        <w:t xml:space="preserve">Copilot Studio throttles on requests per minute and per hour, separately for standard messages and generative-AI messages, and the generative limits scale with how much capacity you have purchased. This means throughput is a procurement decision as much as an architectural one, and it must be sized before launch rather than discovered during it.</w:t>
      </w:r>
    </w:p>
    <w:p>
      <w:pPr>
        <w:spacing w:after="120" w:before="0" w:line="264"/>
        <w:jc w:val="left"/>
      </w:pPr>
      <w:r>
        <w:rPr>
          <w:rFonts w:ascii="Calibri" w:cs="Calibri" w:eastAsia="Calibri" w:hAnsi="Calibri"/>
          <w:color w:val="262626"/>
          <w:sz w:val="21"/>
          <w:szCs w:val="21"/>
        </w:rPr>
        <w:t xml:space="preserve">Microsoft’s own guidance is explicit that a request to raise throughput requires measured pilot data — a minimum of one week covering complete business cycles and peak windows. Design estimates, small UAT runs and synthetic load tests are not accepted. Plan the pilot accordingly.</w:t>
      </w:r>
    </w:p>
    <w:tbl>
      <w:tblPr>
        <w:tblW w:type="dxa" w:w="10080"/>
        <w:tblBorders>
          <w:top w:val="none"/>
          <w:left w:val="single" w:color="2E75B6" w:sz="24"/>
          <w:bottom w:val="none"/>
          <w:right w:val="none"/>
          <w:insideH w:val="none"/>
          <w:insideV w:val="none"/>
        </w:tblBorders>
      </w:tblPr>
      <w:tblGrid>
        <w:gridCol w:w="10080"/>
      </w:tblGrid>
      <w:tr>
        <w:tc>
          <w:tcPr>
            <w:tcW w:type="dxa" w:w="10080"/>
            <w:shd w:fill="F2F6FB" w:val="clear"/>
            <w:tcMar>
              <w:top w:type="dxa" w:w="140"/>
              <w:left w:type="dxa" w:w="200"/>
              <w:bottom w:type="dxa" w:w="140"/>
              <w:right w:type="dxa" w:w="200"/>
            </w:tcMar>
          </w:tcPr>
          <w:p>
            <w:pPr>
              <w:spacing w:after="0" w:line="264"/>
            </w:pPr>
            <w:r>
              <w:rPr>
                <w:rFonts w:ascii="Calibri" w:cs="Calibri" w:eastAsia="Calibri" w:hAnsi="Calibri"/>
                <w:b/>
                <w:bCs/>
                <w:color w:val="2E75B6"/>
                <w:sz w:val="21"/>
                <w:szCs w:val="21"/>
              </w:rPr>
              <w:t xml:space="preserve">Sizing formula.  </w:t>
            </w:r>
            <w:r>
              <w:rPr>
                <w:rFonts w:ascii="Calibri" w:cs="Calibri" w:eastAsia="Calibri" w:hAnsi="Calibri"/>
                <w:color w:val="262626"/>
                <w:sz w:val="21"/>
                <w:szCs w:val="21"/>
              </w:rPr>
              <w:t xml:space="preserve">Peak requirement at full scale = observed peak traffic × (full audience size ÷ pilot audience size). Compute it per minute and per hour, never from a monthly average — throttling happens in the burst, and a 5–6 p.m. spike will break an agent that looks comfortable on a monthly mean.</w:t>
            </w:r>
          </w:p>
        </w:tc>
      </w:tr>
    </w:tbl>
    <w:p>
      <w:pPr>
        <w:pStyle w:val="Heading1"/>
        <w:pageBreakBefore/>
        <w:pBdr>
          <w:bottom w:val="single" w:color="2E75B6" w:sz="12" w:space="6"/>
        </w:pBdr>
        <w:spacing w:after="200" w:before="0"/>
      </w:pPr>
      <w:r>
        <w:rPr>
          <w:rFonts w:ascii="Calibri" w:cs="Calibri" w:eastAsia="Calibri" w:hAnsi="Calibri"/>
          <w:b/>
          <w:bCs/>
          <w:color w:val="1F3864"/>
          <w:sz w:val="32"/>
          <w:szCs w:val="32"/>
        </w:rPr>
        <w:t xml:space="preserve">7. When to build fully custom</w:t>
      </w:r>
    </w:p>
    <w:p>
      <w:pPr>
        <w:spacing w:after="120" w:before="0" w:line="264"/>
        <w:jc w:val="left"/>
      </w:pPr>
      <w:r>
        <w:rPr>
          <w:rFonts w:ascii="Calibri" w:cs="Calibri" w:eastAsia="Calibri" w:hAnsi="Calibri"/>
          <w:color w:val="262626"/>
          <w:sz w:val="21"/>
          <w:szCs w:val="21"/>
        </w:rPr>
        <w:t xml:space="preserve">A fully custom build means we own the orchestrator, the retrieval layer, memory, guardrails, evaluation, telemetry and hosting. It is the right answer when the agent is a product, or when a hard constraint genuinely cannot be met on a managed platform. It is the wrong answer when the motivation is flexibility in the abstract.</w:t>
      </w:r>
    </w:p>
    <w:p>
      <w:pPr>
        <w:pStyle w:val="Heading2"/>
        <w:spacing w:after="120" w:before="280"/>
      </w:pPr>
      <w:r>
        <w:rPr>
          <w:rFonts w:ascii="Calibri" w:cs="Calibri" w:eastAsia="Calibri" w:hAnsi="Calibri"/>
          <w:b/>
          <w:bCs/>
          <w:color w:val="2E75B6"/>
          <w:sz w:val="25"/>
          <w:szCs w:val="25"/>
        </w:rPr>
        <w:t xml:space="preserve">7.1 The bar</w:t>
      </w:r>
    </w:p>
    <w:p>
      <w:pPr>
        <w:spacing w:after="120" w:before="0" w:line="264"/>
        <w:jc w:val="left"/>
      </w:pPr>
      <w:r>
        <w:rPr>
          <w:rFonts w:ascii="Calibri" w:cs="Calibri" w:eastAsia="Calibri" w:hAnsi="Calibri"/>
          <w:color w:val="262626"/>
          <w:sz w:val="21"/>
          <w:szCs w:val="21"/>
        </w:rPr>
        <w:t xml:space="preserve">A fully custom build should not be approved unless all four of these are true:</w:t>
      </w:r>
    </w:p>
    <w:p>
      <w:pPr>
        <w:pStyle w:val="ListParagraph"/>
        <w:numPr>
          <w:ilvl w:val="0"/>
          <w:numId w:val="6"/>
        </w:numPr>
        <w:spacing w:after="80" w:line="264"/>
      </w:pPr>
      <w:r>
        <w:rPr>
          <w:rFonts w:ascii="Calibri" w:cs="Calibri" w:eastAsia="Calibri" w:hAnsi="Calibri"/>
          <w:color w:val="262626"/>
          <w:sz w:val="21"/>
          <w:szCs w:val="21"/>
        </w:rPr>
        <w:t xml:space="preserve">A named requirement from Section 3.3 is documented, with evidence, and a managed-platform alternative has been attempted or ruled out in writing.</w:t>
      </w:r>
    </w:p>
    <w:p>
      <w:pPr>
        <w:pStyle w:val="ListParagraph"/>
        <w:numPr>
          <w:ilvl w:val="0"/>
          <w:numId w:val="6"/>
        </w:numPr>
        <w:spacing w:after="80" w:line="264"/>
      </w:pPr>
      <w:r>
        <w:rPr>
          <w:rFonts w:ascii="Calibri" w:cs="Calibri" w:eastAsia="Calibri" w:hAnsi="Calibri"/>
          <w:color w:val="262626"/>
          <w:sz w:val="21"/>
          <w:szCs w:val="21"/>
        </w:rPr>
        <w:t xml:space="preserve">A named owning team exists with capacity for the next three years — not just to build it, but to maintain evaluations, chase model deprecations, and carry the pager.</w:t>
      </w:r>
    </w:p>
    <w:p>
      <w:pPr>
        <w:pStyle w:val="ListParagraph"/>
        <w:numPr>
          <w:ilvl w:val="0"/>
          <w:numId w:val="6"/>
        </w:numPr>
        <w:spacing w:after="80" w:line="264"/>
      </w:pPr>
      <w:r>
        <w:rPr>
          <w:rFonts w:ascii="Calibri" w:cs="Calibri" w:eastAsia="Calibri" w:hAnsi="Calibri"/>
          <w:color w:val="262626"/>
          <w:sz w:val="21"/>
          <w:szCs w:val="21"/>
        </w:rPr>
        <w:t xml:space="preserve">A fully-loaded three-year cost model exists, including engineering time, and it has been compared against the licence-plus-credits alternative.</w:t>
      </w:r>
    </w:p>
    <w:p>
      <w:pPr>
        <w:pStyle w:val="ListParagraph"/>
        <w:numPr>
          <w:ilvl w:val="0"/>
          <w:numId w:val="6"/>
        </w:numPr>
        <w:spacing w:after="80" w:line="264"/>
      </w:pPr>
      <w:r>
        <w:rPr>
          <w:rFonts w:ascii="Calibri" w:cs="Calibri" w:eastAsia="Calibri" w:hAnsi="Calibri"/>
          <w:color w:val="262626"/>
          <w:sz w:val="21"/>
          <w:szCs w:val="21"/>
        </w:rPr>
        <w:t xml:space="preserve">The compliance obligations transferring to us — content safety, data residency, auditability, responsible-AI evidence, red-teaming — have been accepted by a named accountable owner, not assumed.</w:t>
      </w:r>
    </w:p>
    <w:p>
      <w:pPr>
        <w:pStyle w:val="Heading2"/>
        <w:spacing w:after="120" w:before="280"/>
      </w:pPr>
      <w:r>
        <w:rPr>
          <w:rFonts w:ascii="Calibri" w:cs="Calibri" w:eastAsia="Calibri" w:hAnsi="Calibri"/>
          <w:b/>
          <w:bCs/>
          <w:color w:val="2E75B6"/>
          <w:sz w:val="25"/>
          <w:szCs w:val="25"/>
        </w:rPr>
        <w:t xml:space="preserve">7.2 Reference architecture C — fully custom agent platform</w:t>
      </w:r>
    </w:p>
    <w:p>
      <w:pPr>
        <w:spacing w:after="60"/>
      </w:pPr>
      <w:r>
        <w:rPr>
          <w:rFonts w:ascii="Calibri" w:cs="Calibri" w:eastAsia="Calibri" w:hAnsi="Calibri"/>
          <w:color w:val="262626"/>
          <w:sz w:val="21"/>
          <w:szCs w:val="21"/>
        </w:rPr>
        <w:t xml:space="preserv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Mar>
              <w:top w:type="dxa" w:w="0"/>
              <w:left w:type="dxa" w:w="0"/>
              <w:bottom w:type="dxa" w:w="0"/>
              <w:right w:type="dxa" w:w="0"/>
            </w:tcMar>
          </w:tcPr>
          <w:p>
            <w:pPr>
              <w:spacing w:after="0" w:before="0" w:line="240" w:lineRule="auto"/>
              <w:jc w:val="center"/>
            </w:pPr>
            <w:r>
              <w:drawing>
                <wp:inline distT="0" distB="0" distL="0" distR="0">
                  <wp:extent cx="6096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2314575"/>
                          </a:xfrm>
                          <a:prstGeom prst="rect">
                            <a:avLst/>
                          </a:prstGeom>
                        </pic:spPr>
                      </pic:pic>
                    </a:graphicData>
                  </a:graphic>
                </wp:inline>
              </w:drawing>
            </w:r>
          </w:p>
          <w:p>
            <w:pPr>
              <w:spacing w:after="0" w:before="100"/>
              <w:jc w:val="center"/>
            </w:pPr>
            <w:r>
              <w:rPr>
                <w:rFonts w:ascii="Calibri" w:cs="Calibri" w:eastAsia="Calibri" w:hAnsi="Calibri"/>
                <w:i/>
                <w:iCs/>
                <w:color w:val="595959"/>
                <w:sz w:val="18"/>
                <w:szCs w:val="18"/>
              </w:rPr>
              <w:t xml:space="preserve">Figure 4 — Reference architecture C: custom multi-agent platform on Azure, optionally surfaced back into Microsoft 365 as a custom engine agent.</w:t>
            </w:r>
          </w:p>
        </w:tc>
      </w:tr>
    </w:tbl>
    <w:p>
      <w:pPr>
        <w:spacing w:after="200"/>
      </w:pPr>
      <w:r>
        <w:rPr>
          <w:rFonts w:ascii="Calibri" w:cs="Calibri" w:eastAsia="Calibri" w:hAnsi="Calibri"/>
          <w:color w:val="262626"/>
          <w:sz w:val="21"/>
          <w:szCs w:val="21"/>
        </w:rPr>
        <w:t xml:space="preserve"/>
      </w:r>
    </w:p>
    <w:p>
      <w:pPr>
        <w:pStyle w:val="Heading2"/>
        <w:spacing w:after="120" w:before="280"/>
      </w:pPr>
      <w:r>
        <w:rPr>
          <w:rFonts w:ascii="Calibri" w:cs="Calibri" w:eastAsia="Calibri" w:hAnsi="Calibri"/>
          <w:b/>
          <w:bCs/>
          <w:color w:val="2E75B6"/>
          <w:sz w:val="25"/>
          <w:szCs w:val="25"/>
        </w:rPr>
        <w:t xml:space="preserve">7.3 The components people forget to budget</w:t>
      </w:r>
    </w:p>
    <w:tbl>
      <w:tblPr>
        <w:tblW w:type="dxa" w:w="10080"/>
        <w:tblBorders>
          <w:top w:val="single" w:color="BFBFBF" w:sz="4"/>
          <w:left w:val="single" w:color="BFBFBF" w:sz="4"/>
          <w:bottom w:val="single" w:color="BFBFBF" w:sz="4"/>
          <w:right w:val="single" w:color="BFBFBF" w:sz="4"/>
          <w:insideH w:val="single" w:color="D9D9D9" w:sz="2"/>
          <w:insideV w:val="single" w:color="D9D9D9" w:sz="2"/>
        </w:tblBorders>
      </w:tblPr>
      <w:tblGrid>
        <w:gridCol w:w="2318"/>
        <w:gridCol w:w="5040"/>
        <w:gridCol w:w="2722"/>
      </w:tblGrid>
      <w:tr>
        <w:trPr>
          <w:tblHeader/>
        </w:trPr>
        <w:tc>
          <w:tcPr>
            <w:tcW w:type="dxa" w:w="2318"/>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Component</w:t>
            </w:r>
          </w:p>
        </w:tc>
        <w:tc>
          <w:tcPr>
            <w:tcW w:type="dxa" w:w="5040"/>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Why it is not optional</w:t>
            </w:r>
          </w:p>
        </w:tc>
        <w:tc>
          <w:tcPr>
            <w:tcW w:type="dxa" w:w="2722"/>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Typical effort</w:t>
            </w:r>
          </w:p>
        </w:tc>
      </w:tr>
      <w:tr>
        <w:trPr>
          <w:cantSplit/>
        </w:trPr>
        <w:tc>
          <w:tcPr>
            <w:tcW w:type="dxa" w:w="2318"/>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Evaluation harness</w:t>
            </w:r>
          </w:p>
        </w:tc>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Without a golden set and a regression gate in CI, every prompt change is a guess and every model upgrade is a coin flip</w:t>
            </w:r>
          </w:p>
        </w:tc>
        <w:tc>
          <w:tcPr>
            <w:tcW w:type="dxa" w:w="2722"/>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2–4 weeks to build; ongoing curation forever</w:t>
            </w:r>
          </w:p>
        </w:tc>
      </w:tr>
      <w:tr>
        <w:trPr>
          <w:cantSplit/>
        </w:trPr>
        <w:tc>
          <w:tcPr>
            <w:tcW w:type="dxa" w:w="2318"/>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Retrieval quality work</w:t>
            </w:r>
          </w:p>
        </w:tc>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Hybrid search, chunking strategy, reranking and freshness handling drive accuracy far more than model choice</w:t>
            </w:r>
          </w:p>
        </w:tc>
        <w:tc>
          <w:tcPr>
            <w:tcW w:type="dxa" w:w="2722"/>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3–6 weeks initially; continuous thereafter</w:t>
            </w:r>
          </w:p>
        </w:tc>
      </w:tr>
      <w:tr>
        <w:trPr>
          <w:cantSplit/>
        </w:trPr>
        <w:tc>
          <w:tcPr>
            <w:tcW w:type="dxa" w:w="2318"/>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Guardrails</w:t>
            </w:r>
          </w:p>
        </w:tc>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Content safety, PII handling, prompt-injection defence, output policy — inherited free on the Microsoft platform, built by hand here</w:t>
            </w:r>
          </w:p>
        </w:tc>
        <w:tc>
          <w:tcPr>
            <w:tcW w:type="dxa" w:w="2722"/>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2–4 weeks plus ongoing</w:t>
            </w:r>
          </w:p>
        </w:tc>
      </w:tr>
      <w:tr>
        <w:trPr>
          <w:cantSplit/>
        </w:trPr>
        <w:tc>
          <w:tcPr>
            <w:tcW w:type="dxa" w:w="2318"/>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Token and cost telemetry</w:t>
            </w:r>
          </w:p>
        </w:tc>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You cannot control a cost you cannot see per request, per user and per tool call</w:t>
            </w:r>
          </w:p>
        </w:tc>
        <w:tc>
          <w:tcPr>
            <w:tcW w:type="dxa" w:w="2722"/>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1–2 weeks</w:t>
            </w:r>
          </w:p>
        </w:tc>
      </w:tr>
      <w:tr>
        <w:trPr>
          <w:cantSplit/>
        </w:trPr>
        <w:tc>
          <w:tcPr>
            <w:tcW w:type="dxa" w:w="2318"/>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Model migration capacity</w:t>
            </w:r>
          </w:p>
        </w:tc>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Models are deprecated on vendor timelines, not ours. Assume at least one forced migration per year</w:t>
            </w:r>
          </w:p>
        </w:tc>
        <w:tc>
          <w:tcPr>
            <w:tcW w:type="dxa" w:w="2722"/>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1–3 weeks per event</w:t>
            </w:r>
          </w:p>
        </w:tc>
      </w:tr>
      <w:tr>
        <w:trPr>
          <w:cantSplit/>
        </w:trPr>
        <w:tc>
          <w:tcPr>
            <w:tcW w:type="dxa" w:w="2318"/>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Identity and delegation</w:t>
            </w:r>
          </w:p>
        </w:tc>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On-behalf-of flows so the agent never exceeds the calling user’s permissions — free on Graph, engineered here</w:t>
            </w:r>
          </w:p>
        </w:tc>
        <w:tc>
          <w:tcPr>
            <w:tcW w:type="dxa" w:w="2722"/>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2–3 weeks</w:t>
            </w:r>
          </w:p>
        </w:tc>
      </w:tr>
      <w:tr>
        <w:trPr>
          <w:cantSplit/>
        </w:trPr>
        <w:tc>
          <w:tcPr>
            <w:tcW w:type="dxa" w:w="2318"/>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Human-in-the-loop surfaces</w:t>
            </w:r>
          </w:p>
        </w:tc>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Approval, escalation and correction paths for anything that writes to a system of record</w:t>
            </w:r>
          </w:p>
        </w:tc>
        <w:tc>
          <w:tcPr>
            <w:tcW w:type="dxa" w:w="2722"/>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2–4 weeks</w:t>
            </w:r>
          </w:p>
        </w:tc>
      </w:tr>
    </w:tbl>
    <w:p>
      <w:pPr>
        <w:spacing w:after="160" w:before="60"/>
      </w:pPr>
      <w:r>
        <w:rPr>
          <w:rFonts w:ascii="Calibri" w:cs="Calibri" w:eastAsia="Calibri" w:hAnsi="Calibri"/>
          <w:i/>
          <w:iCs/>
          <w:color w:val="595959"/>
          <w:sz w:val="18"/>
          <w:szCs w:val="18"/>
        </w:rPr>
        <w:t xml:space="preserve">Effort figures are planning heuristics for a team new to agent engineering, not estimates for a specific project.</w:t>
      </w:r>
    </w:p>
    <w:p>
      <w:pPr>
        <w:pStyle w:val="Heading2"/>
        <w:spacing w:after="120" w:before="280"/>
      </w:pPr>
      <w:r>
        <w:rPr>
          <w:rFonts w:ascii="Calibri" w:cs="Calibri" w:eastAsia="Calibri" w:hAnsi="Calibri"/>
          <w:b/>
          <w:bCs/>
          <w:color w:val="2E75B6"/>
          <w:sz w:val="25"/>
          <w:szCs w:val="25"/>
        </w:rPr>
        <w:t xml:space="preserve">7.4 Framework selection, briefly</w:t>
      </w:r>
    </w:p>
    <w:tbl>
      <w:tblPr>
        <w:tblW w:type="dxa" w:w="10080"/>
        <w:tblBorders>
          <w:top w:val="single" w:color="BFBFBF" w:sz="4"/>
          <w:left w:val="single" w:color="BFBFBF" w:sz="4"/>
          <w:bottom w:val="single" w:color="BFBFBF" w:sz="4"/>
          <w:right w:val="single" w:color="BFBFBF" w:sz="4"/>
          <w:insideH w:val="single" w:color="D9D9D9" w:sz="2"/>
          <w:insideV w:val="single" w:color="D9D9D9" w:sz="2"/>
        </w:tblBorders>
      </w:tblPr>
      <w:tblGrid>
        <w:gridCol w:w="2621"/>
        <w:gridCol w:w="3730"/>
        <w:gridCol w:w="3729"/>
      </w:tblGrid>
      <w:tr>
        <w:trPr>
          <w:tblHeader/>
        </w:trPr>
        <w:tc>
          <w:tcPr>
            <w:tcW w:type="dxa" w:w="2621"/>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Framework</w:t>
            </w:r>
          </w:p>
        </w:tc>
        <w:tc>
          <w:tcPr>
            <w:tcW w:type="dxa" w:w="3730"/>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Best for</w:t>
            </w:r>
          </w:p>
        </w:tc>
        <w:tc>
          <w:tcPr>
            <w:tcW w:type="dxa" w:w="3729"/>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Caution</w:t>
            </w:r>
          </w:p>
        </w:tc>
      </w:tr>
      <w:tr>
        <w:trPr>
          <w:cantSplit/>
        </w:trPr>
        <w:tc>
          <w:tcPr>
            <w:tcW w:type="dxa" w:w="2621"/>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Azure AI Foundry Agent Service</w:t>
            </w:r>
          </w:p>
        </w:tc>
        <w:tc>
          <w:tcPr>
            <w:tcW w:type="dxa" w:w="3730"/>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Managed agent runtime, threads and tool calling inside the Azure estate; the default landing zone for us</w:t>
            </w:r>
          </w:p>
        </w:tc>
        <w:tc>
          <w:tcPr>
            <w:tcW w:type="dxa" w:w="3729"/>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Still a managed service — verify regional availability and data-residency commitments for your workload</w:t>
            </w:r>
          </w:p>
        </w:tc>
      </w:tr>
      <w:tr>
        <w:trPr>
          <w:cantSplit/>
        </w:trPr>
        <w:tc>
          <w:tcPr>
            <w:tcW w:type="dxa" w:w="2621"/>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Microsoft Agent Framework / Semantic Kernel</w:t>
            </w:r>
          </w:p>
        </w:tc>
        <w:tc>
          <w:tcPr>
            <w:tcW w:type="dxa" w:w="3730"/>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In-process orchestration in .NET or Python where you want the runtime inside your own application</w:t>
            </w:r>
          </w:p>
        </w:tc>
        <w:tc>
          <w:tcPr>
            <w:tcW w:type="dxa" w:w="3729"/>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You own scaling, state and observability</w:t>
            </w:r>
          </w:p>
        </w:tc>
      </w:tr>
      <w:tr>
        <w:trPr>
          <w:cantSplit/>
        </w:trPr>
        <w:tc>
          <w:tcPr>
            <w:tcW w:type="dxa" w:w="2621"/>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LangGraph and similar</w:t>
            </w:r>
          </w:p>
        </w:tc>
        <w:tc>
          <w:tcPr>
            <w:tcW w:type="dxa" w:w="3730"/>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Explicit graph-based state machines; strong where the control flow is the hard part</w:t>
            </w:r>
          </w:p>
        </w:tc>
        <w:tc>
          <w:tcPr>
            <w:tcW w:type="dxa" w:w="3729"/>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Vendor-neutral but opinionated; ensure the team can read the execution trace when it misbehaves</w:t>
            </w:r>
          </w:p>
        </w:tc>
      </w:tr>
      <w:tr>
        <w:trPr>
          <w:cantSplit/>
        </w:trPr>
        <w:tc>
          <w:tcPr>
            <w:tcW w:type="dxa" w:w="2621"/>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Model Context Protocol (MCP)</w:t>
            </w:r>
          </w:p>
        </w:tc>
        <w:tc>
          <w:tcPr>
            <w:tcW w:type="dxa" w:w="3730"/>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Exposing tools once and consuming them from Copilot, GitHub Copilot and custom agents alike</w:t>
            </w:r>
          </w:p>
        </w:tc>
        <w:tc>
          <w:tcPr>
            <w:tcW w:type="dxa" w:w="3729"/>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A tool server is an attack surface. Type the inputs, scope the permissions, and log every call</w:t>
            </w:r>
          </w:p>
        </w:tc>
      </w:tr>
    </w:tbl>
    <w:tbl>
      <w:tblPr>
        <w:tblW w:type="dxa" w:w="10080"/>
        <w:tblBorders>
          <w:top w:val="none"/>
          <w:left w:val="single" w:color="538135" w:sz="24"/>
          <w:bottom w:val="none"/>
          <w:right w:val="none"/>
          <w:insideH w:val="none"/>
          <w:insideV w:val="none"/>
        </w:tblBorders>
      </w:tblPr>
      <w:tblGrid>
        <w:gridCol w:w="10080"/>
      </w:tblGrid>
      <w:tr>
        <w:tc>
          <w:tcPr>
            <w:tcW w:type="dxa" w:w="10080"/>
            <w:shd w:fill="EFF7EA" w:val="clear"/>
            <w:tcMar>
              <w:top w:type="dxa" w:w="140"/>
              <w:left w:type="dxa" w:w="200"/>
              <w:bottom w:type="dxa" w:w="140"/>
              <w:right w:type="dxa" w:w="200"/>
            </w:tcMar>
          </w:tcPr>
          <w:p>
            <w:pPr>
              <w:spacing w:after="0" w:line="264"/>
            </w:pPr>
            <w:r>
              <w:rPr>
                <w:rFonts w:ascii="Calibri" w:cs="Calibri" w:eastAsia="Calibri" w:hAnsi="Calibri"/>
                <w:b/>
                <w:bCs/>
                <w:color w:val="538135"/>
                <w:sz w:val="21"/>
                <w:szCs w:val="21"/>
              </w:rPr>
              <w:t xml:space="preserve">Portability advice.  </w:t>
            </w:r>
            <w:r>
              <w:rPr>
                <w:rFonts w:ascii="Calibri" w:cs="Calibri" w:eastAsia="Calibri" w:hAnsi="Calibri"/>
                <w:color w:val="262626"/>
                <w:sz w:val="21"/>
                <w:szCs w:val="21"/>
              </w:rPr>
              <w:t xml:space="preserve">The durable assets in any agent system are the prompts, the evaluation sets, the tool schemas and the retrieval corpus — not the orchestration code. Keep those four in formats you could move in a fortnight, and the framework choice stops being a one-way door.</w:t>
            </w:r>
          </w:p>
        </w:tc>
      </w:tr>
    </w:tbl>
    <w:p>
      <w:pPr>
        <w:pStyle w:val="Heading1"/>
        <w:pageBreakBefore/>
        <w:pBdr>
          <w:bottom w:val="single" w:color="2E75B6" w:sz="12" w:space="6"/>
        </w:pBdr>
        <w:spacing w:after="200" w:before="0"/>
      </w:pPr>
      <w:r>
        <w:rPr>
          <w:rFonts w:ascii="Calibri" w:cs="Calibri" w:eastAsia="Calibri" w:hAnsi="Calibri"/>
          <w:b/>
          <w:bCs/>
          <w:color w:val="1F3864"/>
          <w:sz w:val="32"/>
          <w:szCs w:val="32"/>
        </w:rPr>
        <w:t xml:space="preserve">8. GitHub Copilot: agents, custom agents and skills</w:t>
      </w:r>
    </w:p>
    <w:p>
      <w:pPr>
        <w:spacing w:after="120" w:before="0" w:line="264"/>
        <w:jc w:val="left"/>
      </w:pPr>
      <w:r>
        <w:rPr>
          <w:rFonts w:ascii="Calibri" w:cs="Calibri" w:eastAsia="Calibri" w:hAnsi="Calibri"/>
          <w:color w:val="262626"/>
          <w:sz w:val="21"/>
          <w:szCs w:val="21"/>
        </w:rPr>
        <w:t xml:space="preserve">This section is the practical core of the document for the engineering team. Everything here is configuration committed to a repository — reviewable, versionable, and free of additional licensing beyond the seats we already hold.</w:t>
      </w:r>
    </w:p>
    <w:p>
      <w:pPr>
        <w:pStyle w:val="Heading2"/>
        <w:spacing w:after="120" w:before="280"/>
      </w:pPr>
      <w:r>
        <w:rPr>
          <w:rFonts w:ascii="Calibri" w:cs="Calibri" w:eastAsia="Calibri" w:hAnsi="Calibri"/>
          <w:b/>
          <w:bCs/>
          <w:color w:val="2E75B6"/>
          <w:sz w:val="25"/>
          <w:szCs w:val="25"/>
        </w:rPr>
        <w:t xml:space="preserve">8.1 The three modes, and what each is for</w:t>
      </w:r>
    </w:p>
    <w:tbl>
      <w:tblPr>
        <w:tblW w:type="dxa" w:w="10080"/>
        <w:tblBorders>
          <w:top w:val="single" w:color="BFBFBF" w:sz="4"/>
          <w:left w:val="single" w:color="BFBFBF" w:sz="4"/>
          <w:bottom w:val="single" w:color="BFBFBF" w:sz="4"/>
          <w:right w:val="single" w:color="BFBFBF" w:sz="4"/>
          <w:insideH w:val="single" w:color="D9D9D9" w:sz="2"/>
          <w:insideV w:val="single" w:color="D9D9D9" w:sz="2"/>
        </w:tblBorders>
      </w:tblPr>
      <w:tblGrid>
        <w:gridCol w:w="1714"/>
        <w:gridCol w:w="2520"/>
        <w:gridCol w:w="3528"/>
        <w:gridCol w:w="2318"/>
      </w:tblGrid>
      <w:tr>
        <w:trPr>
          <w:tblHeader/>
        </w:trPr>
        <w:tc>
          <w:tcPr>
            <w:tcW w:type="dxa" w:w="1714"/>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Mode</w:t>
            </w:r>
          </w:p>
        </w:tc>
        <w:tc>
          <w:tcPr>
            <w:tcW w:type="dxa" w:w="2520"/>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Where it runs</w:t>
            </w:r>
          </w:p>
        </w:tc>
        <w:tc>
          <w:tcPr>
            <w:tcW w:type="dxa" w:w="3528"/>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What it is for</w:t>
            </w:r>
          </w:p>
        </w:tc>
        <w:tc>
          <w:tcPr>
            <w:tcW w:type="dxa" w:w="2318"/>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Cost behaviour</w:t>
            </w:r>
          </w:p>
        </w:tc>
      </w:tr>
      <w:tr>
        <w:trPr>
          <w:cantSplit/>
        </w:trPr>
        <w:tc>
          <w:tcPr>
            <w:tcW w:type="dxa" w:w="1714"/>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Code completions</w:t>
            </w:r>
          </w:p>
        </w:tc>
        <w:tc>
          <w:tcPr>
            <w:tcW w:type="dxa" w:w="2520"/>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In the editor, inline</w:t>
            </w:r>
          </w:p>
        </w:tc>
        <w:tc>
          <w:tcPr>
            <w:tcW w:type="dxa" w:w="3528"/>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Line- and block-level suggestions as you type</w:t>
            </w:r>
          </w:p>
        </w:tc>
        <w:tc>
          <w:tcPr>
            <w:tcW w:type="dxa" w:w="2318"/>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Unlimited and free on all paid plans — consumes no credits</w:t>
            </w:r>
          </w:p>
        </w:tc>
      </w:tr>
      <w:tr>
        <w:trPr>
          <w:cantSplit/>
        </w:trPr>
        <w:tc>
          <w:tcPr>
            <w:tcW w:type="dxa" w:w="1714"/>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Agent mode / chat</w:t>
            </w:r>
          </w:p>
        </w:tc>
        <w:tc>
          <w:tcPr>
            <w:tcW w:type="dxa" w:w="2520"/>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In the IDE, under your supervision</w:t>
            </w:r>
          </w:p>
        </w:tc>
        <w:tc>
          <w:tcPr>
            <w:tcW w:type="dxa" w:w="3528"/>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Multi-file edits, refactors, test writing, with you reviewing each step</w:t>
            </w:r>
          </w:p>
        </w:tc>
        <w:tc>
          <w:tcPr>
            <w:tcW w:type="dxa" w:w="2318"/>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Consumes AI credits by token usage</w:t>
            </w:r>
          </w:p>
        </w:tc>
      </w:tr>
      <w:tr>
        <w:trPr>
          <w:cantSplit/>
        </w:trPr>
        <w:tc>
          <w:tcPr>
            <w:tcW w:type="dxa" w:w="1714"/>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Cloud agent</w:t>
            </w:r>
          </w:p>
        </w:tc>
        <w:tc>
          <w:tcPr>
            <w:tcW w:type="dxa" w:w="2520"/>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On GitHub, in an ephemeral GitHub Actions environment</w:t>
            </w:r>
          </w:p>
        </w:tc>
        <w:tc>
          <w:tcPr>
            <w:tcW w:type="dxa" w:w="3528"/>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Autonomous work on an issue or PR — explore, change, run tests and linters, open a pull request</w:t>
            </w:r>
          </w:p>
        </w:tc>
        <w:tc>
          <w:tcPr>
            <w:tcW w:type="dxa" w:w="2318"/>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Consumes AI credits and Actions minutes</w:t>
            </w:r>
          </w:p>
        </w:tc>
      </w:tr>
    </w:tbl>
    <w:p>
      <w:pPr>
        <w:pStyle w:val="Heading3"/>
        <w:spacing w:after="90" w:before="200"/>
      </w:pPr>
      <w:r>
        <w:rPr>
          <w:rFonts w:ascii="Calibri" w:cs="Calibri" w:eastAsia="Calibri" w:hAnsi="Calibri"/>
          <w:b/>
          <w:bCs/>
          <w:color w:val="333333"/>
          <w:sz w:val="22"/>
          <w:szCs w:val="22"/>
        </w:rPr>
        <w:t xml:space="preserve">Cloud agent: the operational facts</w:t>
      </w:r>
    </w:p>
    <w:p>
      <w:pPr>
        <w:pStyle w:val="ListParagraph"/>
        <w:numPr>
          <w:ilvl w:val="0"/>
          <w:numId w:val="3"/>
        </w:numPr>
        <w:spacing w:after="80" w:line="264"/>
      </w:pPr>
      <w:r>
        <w:rPr>
          <w:rFonts w:ascii="Calibri" w:cs="Calibri" w:eastAsia="Calibri" w:hAnsi="Calibri"/>
          <w:color w:val="262626"/>
          <w:sz w:val="21"/>
          <w:szCs w:val="21"/>
        </w:rPr>
        <w:t xml:space="preserve">Each session has a maximum execution time of 59 minutes.</w:t>
      </w:r>
    </w:p>
    <w:p>
      <w:pPr>
        <w:pStyle w:val="ListParagraph"/>
        <w:numPr>
          <w:ilvl w:val="0"/>
          <w:numId w:val="3"/>
        </w:numPr>
        <w:spacing w:after="80" w:line="264"/>
      </w:pPr>
      <w:r>
        <w:rPr>
          <w:rFonts w:ascii="Calibri" w:cs="Calibri" w:eastAsia="Calibri" w:hAnsi="Calibri"/>
          <w:color w:val="262626"/>
          <w:sz w:val="21"/>
          <w:szCs w:val="21"/>
        </w:rPr>
        <w:t xml:space="preserve">One branch and one pull request per task; it cannot work across multiple repositories in a single session, and it cannot work on non-GitHub code hosting.</w:t>
      </w:r>
    </w:p>
    <w:p>
      <w:pPr>
        <w:pStyle w:val="ListParagraph"/>
        <w:numPr>
          <w:ilvl w:val="0"/>
          <w:numId w:val="3"/>
        </w:numPr>
        <w:spacing w:after="80" w:line="264"/>
      </w:pPr>
      <w:r>
        <w:rPr>
          <w:rFonts w:ascii="Calibri" w:cs="Calibri" w:eastAsia="Calibri" w:hAnsi="Calibri"/>
          <w:color w:val="262626"/>
          <w:sz w:val="21"/>
          <w:szCs w:val="21"/>
        </w:rPr>
        <w:t xml:space="preserve">Work is assigned from the agents panel on GitHub.com, from issues, from Visual Studio Code, by mentioning @copilot on a pull request, from scheduled or event-triggered workflows, and from security alert assignments.</w:t>
      </w:r>
    </w:p>
    <w:p>
      <w:pPr>
        <w:pStyle w:val="ListParagraph"/>
        <w:numPr>
          <w:ilvl w:val="0"/>
          <w:numId w:val="3"/>
        </w:numPr>
        <w:spacing w:after="80" w:line="264"/>
      </w:pPr>
      <w:r>
        <w:rPr>
          <w:rFonts w:ascii="Calibri" w:cs="Calibri" w:eastAsia="Calibri" w:hAnsi="Calibri"/>
          <w:color w:val="262626"/>
          <w:sz w:val="21"/>
          <w:szCs w:val="21"/>
        </w:rPr>
        <w:t xml:space="preserve">Available on all paid Copilot plans. Business and Enterprise require administrator enablement, and repository owners can opt specific repositories out.</w:t>
      </w:r>
    </w:p>
    <w:p>
      <w:pPr>
        <w:pStyle w:val="ListParagraph"/>
        <w:numPr>
          <w:ilvl w:val="0"/>
          <w:numId w:val="3"/>
        </w:numPr>
        <w:spacing w:after="80" w:line="264"/>
      </w:pPr>
      <w:r>
        <w:rPr>
          <w:rFonts w:ascii="Calibri" w:cs="Calibri" w:eastAsia="Calibri" w:hAnsi="Calibri"/>
          <w:color w:val="262626"/>
          <w:sz w:val="21"/>
          <w:szCs w:val="21"/>
        </w:rPr>
        <w:t xml:space="preserve">Repository rulesets and branch protection can block it, and it cannot comply with certain commit-author restrictions — check these before promising a team it will work.</w:t>
      </w:r>
    </w:p>
    <w:p>
      <w:pPr>
        <w:pStyle w:val="Heading2"/>
        <w:spacing w:after="120" w:before="280"/>
      </w:pPr>
      <w:r>
        <w:rPr>
          <w:rFonts w:ascii="Calibri" w:cs="Calibri" w:eastAsia="Calibri" w:hAnsi="Calibri"/>
          <w:b/>
          <w:bCs/>
          <w:color w:val="2E75B6"/>
          <w:sz w:val="25"/>
          <w:szCs w:val="25"/>
        </w:rPr>
        <w:t xml:space="preserve">8.2 Custom agents</w:t>
      </w:r>
    </w:p>
    <w:p>
      <w:pPr>
        <w:spacing w:after="120" w:before="0" w:line="264"/>
        <w:jc w:val="left"/>
      </w:pPr>
      <w:r>
        <w:rPr>
          <w:rFonts w:ascii="Calibri" w:cs="Calibri" w:eastAsia="Calibri" w:hAnsi="Calibri"/>
          <w:color w:val="262626"/>
          <w:sz w:val="21"/>
          <w:szCs w:val="21"/>
        </w:rPr>
        <w:t xml:space="preserve">A custom agent is a Markdown file with YAML frontmatter — an "agent profile" — that defines a specialised version of Copilot for a particular workflow. The documentation’s own framing is the right one: they act like tailored teammates that follow your standards, use the right tools, and implement team-specific practices.</w:t>
      </w:r>
    </w:p>
    <w:p>
      <w:pPr>
        <w:pStyle w:val="Heading3"/>
        <w:spacing w:after="90" w:before="200"/>
      </w:pPr>
      <w:r>
        <w:rPr>
          <w:rFonts w:ascii="Calibri" w:cs="Calibri" w:eastAsia="Calibri" w:hAnsi="Calibri"/>
          <w:b/>
          <w:bCs/>
          <w:color w:val="333333"/>
          <w:sz w:val="22"/>
          <w:szCs w:val="22"/>
        </w:rPr>
        <w:t xml:space="preserve">Where they live</w:t>
      </w:r>
    </w:p>
    <w:tbl>
      <w:tblPr>
        <w:tblW w:type="dxa" w:w="10080"/>
        <w:tblBorders>
          <w:top w:val="single" w:color="BFBFBF" w:sz="4"/>
          <w:left w:val="single" w:color="BFBFBF" w:sz="4"/>
          <w:bottom w:val="single" w:color="BFBFBF" w:sz="4"/>
          <w:right w:val="single" w:color="BFBFBF" w:sz="4"/>
          <w:insideH w:val="single" w:color="D9D9D9" w:sz="2"/>
          <w:insideV w:val="single" w:color="D9D9D9" w:sz="2"/>
        </w:tblBorders>
      </w:tblPr>
      <w:tblGrid>
        <w:gridCol w:w="1714"/>
        <w:gridCol w:w="4334"/>
        <w:gridCol w:w="4032"/>
      </w:tblGrid>
      <w:tr>
        <w:trPr>
          <w:tblHeader/>
        </w:trPr>
        <w:tc>
          <w:tcPr>
            <w:tcW w:type="dxa" w:w="1714"/>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Scope</w:t>
            </w:r>
          </w:p>
        </w:tc>
        <w:tc>
          <w:tcPr>
            <w:tcW w:type="dxa" w:w="4334"/>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Path</w:t>
            </w:r>
          </w:p>
        </w:tc>
        <w:tc>
          <w:tcPr>
            <w:tcW w:type="dxa" w:w="4032"/>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Use for</w:t>
            </w:r>
          </w:p>
        </w:tc>
      </w:tr>
      <w:tr>
        <w:trPr>
          <w:cantSplit/>
        </w:trPr>
        <w:tc>
          <w:tcPr>
            <w:tcW w:type="dxa" w:w="1714"/>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Repository</w:t>
            </w:r>
          </w:p>
        </w:tc>
        <w:tc>
          <w:tcPr>
            <w:tcW w:type="dxa" w:w="4334"/>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.github/agents/AGENT-NAME.md</w:t>
            </w:r>
          </w:p>
        </w:tc>
        <w:tc>
          <w:tcPr>
            <w:tcW w:type="dxa" w:w="4032"/>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Workflows specific to one codebase — its test conventions, its migration process</w:t>
            </w:r>
          </w:p>
        </w:tc>
      </w:tr>
      <w:tr>
        <w:trPr>
          <w:cantSplit/>
        </w:trPr>
        <w:tc>
          <w:tcPr>
            <w:tcW w:type="dxa" w:w="1714"/>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Organisation</w:t>
            </w:r>
          </w:p>
        </w:tc>
        <w:tc>
          <w:tcPr>
            <w:tcW w:type="dxa" w:w="4334"/>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/agents/AGENT-NAME.md in the .github or .github-private repository</w:t>
            </w:r>
          </w:p>
        </w:tc>
        <w:tc>
          <w:tcPr>
            <w:tcW w:type="dxa" w:w="4032"/>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Standards every team should share — review checklists, security posture, release process</w:t>
            </w:r>
          </w:p>
        </w:tc>
      </w:tr>
      <w:tr>
        <w:trPr>
          <w:cantSplit/>
        </w:trPr>
        <w:tc>
          <w:tcPr>
            <w:tcW w:type="dxa" w:w="1714"/>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Enterprise</w:t>
            </w:r>
          </w:p>
        </w:tc>
        <w:tc>
          <w:tcPr>
            <w:tcW w:type="dxa" w:w="4334"/>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/agents/AGENT-NAME.md in the designated organisation’s .github-private repository</w:t>
            </w:r>
          </w:p>
        </w:tc>
        <w:tc>
          <w:tcPr>
            <w:tcW w:type="dxa" w:w="4032"/>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Policy that applies across the whole enterprise</w:t>
            </w:r>
          </w:p>
        </w:tc>
      </w:tr>
    </w:tbl>
    <w:p>
      <w:pPr>
        <w:pStyle w:val="Heading3"/>
        <w:spacing w:after="90" w:before="200"/>
      </w:pPr>
      <w:r>
        <w:rPr>
          <w:rFonts w:ascii="Calibri" w:cs="Calibri" w:eastAsia="Calibri" w:hAnsi="Calibri"/>
          <w:b/>
          <w:bCs/>
          <w:color w:val="333333"/>
          <w:sz w:val="22"/>
          <w:szCs w:val="22"/>
        </w:rPr>
        <w:t xml:space="preserve">Frontmatter fields</w:t>
      </w:r>
    </w:p>
    <w:tbl>
      <w:tblPr>
        <w:tblW w:type="dxa" w:w="10080"/>
        <w:tblBorders>
          <w:top w:val="single" w:color="BFBFBF" w:sz="4"/>
          <w:left w:val="single" w:color="BFBFBF" w:sz="4"/>
          <w:bottom w:val="single" w:color="BFBFBF" w:sz="4"/>
          <w:right w:val="single" w:color="BFBFBF" w:sz="4"/>
          <w:insideH w:val="single" w:color="D9D9D9" w:sz="2"/>
          <w:insideV w:val="single" w:color="D9D9D9" w:sz="2"/>
        </w:tblBorders>
      </w:tblPr>
      <w:tblGrid>
        <w:gridCol w:w="2016"/>
        <w:gridCol w:w="1613"/>
        <w:gridCol w:w="6451"/>
      </w:tblGrid>
      <w:tr>
        <w:trPr>
          <w:tblHeader/>
        </w:trPr>
        <w:tc>
          <w:tcPr>
            <w:tcW w:type="dxa" w:w="2016"/>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Field</w:t>
            </w:r>
          </w:p>
        </w:tc>
        <w:tc>
          <w:tcPr>
            <w:tcW w:type="dxa" w:w="1613"/>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Required</w:t>
            </w:r>
          </w:p>
        </w:tc>
        <w:tc>
          <w:tcPr>
            <w:tcW w:type="dxa" w:w="6451"/>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Purpose</w:t>
            </w:r>
          </w:p>
        </w:tc>
      </w:tr>
      <w:tr>
        <w:trPr>
          <w:cantSplit/>
        </w:trPr>
        <w:tc>
          <w:tcPr>
            <w:tcW w:type="dxa" w:w="2016"/>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name</w:t>
            </w:r>
          </w:p>
        </w:tc>
        <w:tc>
          <w:tcPr>
            <w:tcW w:type="dxa" w:w="1613"/>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Optional</w:t>
            </w:r>
          </w:p>
        </w:tc>
        <w:tc>
          <w:tcPr>
            <w:tcW w:type="dxa" w:w="6451"/>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Display identifier for the agent</w:t>
            </w:r>
          </w:p>
        </w:tc>
      </w:tr>
      <w:tr>
        <w:trPr>
          <w:cantSplit/>
        </w:trPr>
        <w:tc>
          <w:tcPr>
            <w:tcW w:type="dxa" w:w="2016"/>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description</w:t>
            </w:r>
          </w:p>
        </w:tc>
        <w:tc>
          <w:tcPr>
            <w:tcW w:type="dxa" w:w="1613"/>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Required</w:t>
            </w:r>
          </w:p>
        </w:tc>
        <w:tc>
          <w:tcPr>
            <w:tcW w:type="dxa" w:w="6451"/>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What the agent is for — this is what decides when it gets used</w:t>
            </w:r>
          </w:p>
        </w:tc>
      </w:tr>
      <w:tr>
        <w:trPr>
          <w:cantSplit/>
        </w:trPr>
        <w:tc>
          <w:tcPr>
            <w:tcW w:type="dxa" w:w="2016"/>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prompt</w:t>
            </w:r>
          </w:p>
        </w:tc>
        <w:tc>
          <w:tcPr>
            <w:tcW w:type="dxa" w:w="1613"/>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Required</w:t>
            </w:r>
          </w:p>
        </w:tc>
        <w:tc>
          <w:tcPr>
            <w:tcW w:type="dxa" w:w="6451"/>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The behavioural instructions: role, standards, procedure, boundaries</w:t>
            </w:r>
          </w:p>
        </w:tc>
      </w:tr>
      <w:tr>
        <w:trPr>
          <w:cantSplit/>
        </w:trPr>
        <w:tc>
          <w:tcPr>
            <w:tcW w:type="dxa" w:w="2016"/>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tools</w:t>
            </w:r>
          </w:p>
        </w:tc>
        <w:tc>
          <w:tcPr>
            <w:tcW w:type="dxa" w:w="1613"/>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Optional</w:t>
            </w:r>
          </w:p>
        </w:tc>
        <w:tc>
          <w:tcPr>
            <w:tcW w:type="dxa" w:w="6451"/>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Which tools the agent may access</w:t>
            </w:r>
          </w:p>
        </w:tc>
      </w:tr>
      <w:tr>
        <w:trPr>
          <w:cantSplit/>
        </w:trPr>
        <w:tc>
          <w:tcPr>
            <w:tcW w:type="dxa" w:w="2016"/>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mcp-servers</w:t>
            </w:r>
          </w:p>
        </w:tc>
        <w:tc>
          <w:tcPr>
            <w:tcW w:type="dxa" w:w="1613"/>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Optional</w:t>
            </w:r>
          </w:p>
        </w:tc>
        <w:tc>
          <w:tcPr>
            <w:tcW w:type="dxa" w:w="6451"/>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Model Context Protocol server configuration available to the agent</w:t>
            </w:r>
          </w:p>
        </w:tc>
      </w:tr>
    </w:tbl>
    <w:p>
      <w:pPr>
        <w:spacing w:after="120" w:before="0" w:line="264"/>
        <w:jc w:val="left"/>
      </w:pPr>
      <w:r>
        <w:rPr>
          <w:rFonts w:ascii="Calibri" w:cs="Calibri" w:eastAsia="Calibri" w:hAnsi="Calibri"/>
          <w:color w:val="262626"/>
          <w:sz w:val="21"/>
          <w:szCs w:val="21"/>
        </w:rPr>
        <w:t xml:space="preserve">Custom agents are usable from the cloud agent on GitHub.com, from the IDEs (VS Code, JetBrains, Eclipse, Xcode), from the GitHub Copilot app, and from the CLI — so one definition serves every surface the team works on.</w:t>
      </w:r>
    </w:p>
    <w:p>
      <w:pPr>
        <w:pStyle w:val="Heading2"/>
        <w:spacing w:after="120" w:before="280"/>
      </w:pPr>
      <w:r>
        <w:rPr>
          <w:rFonts w:ascii="Calibri" w:cs="Calibri" w:eastAsia="Calibri" w:hAnsi="Calibri"/>
          <w:b/>
          <w:bCs/>
          <w:color w:val="2E75B6"/>
          <w:sz w:val="25"/>
          <w:szCs w:val="25"/>
        </w:rPr>
        <w:t xml:space="preserve">8.3 Agent skills</w:t>
      </w:r>
    </w:p>
    <w:p>
      <w:pPr>
        <w:spacing w:after="120" w:before="0" w:line="264"/>
        <w:jc w:val="left"/>
      </w:pPr>
      <w:r>
        <w:rPr>
          <w:rFonts w:ascii="Calibri" w:cs="Calibri" w:eastAsia="Calibri" w:hAnsi="Calibri"/>
          <w:color w:val="262626"/>
          <w:sz w:val="21"/>
          <w:szCs w:val="21"/>
        </w:rPr>
        <w:t xml:space="preserve">A skill is a folder of instructions, scripts and resources that Copilot loads when it becomes relevant to the task at hand. The mechanism that makes skills worth having is progressive disclosure: only the skill’s description sits in context permanently, and the body plus its supporting files are pulled in only when the description matches what is being asked. That is what lets a team maintain dozens of detailed procedures without drowning every request in instructions.</w:t>
      </w:r>
    </w:p>
    <w:p>
      <w:pPr>
        <w:pStyle w:val="Heading3"/>
        <w:spacing w:after="90" w:before="200"/>
      </w:pPr>
      <w:r>
        <w:rPr>
          <w:rFonts w:ascii="Calibri" w:cs="Calibri" w:eastAsia="Calibri" w:hAnsi="Calibri"/>
          <w:b/>
          <w:bCs/>
          <w:color w:val="333333"/>
          <w:sz w:val="22"/>
          <w:szCs w:val="22"/>
        </w:rPr>
        <w:t xml:space="preserve">Structure and location</w:t>
      </w:r>
    </w:p>
    <w:tbl>
      <w:tblPr>
        <w:tblW w:type="dxa" w:w="10080"/>
        <w:tblBorders>
          <w:top w:val="single" w:color="BFBFBF" w:sz="4"/>
          <w:left w:val="single" w:color="BFBFBF" w:sz="4"/>
          <w:bottom w:val="single" w:color="BFBFBF" w:sz="4"/>
          <w:right w:val="single" w:color="BFBFBF" w:sz="4"/>
          <w:insideH w:val="single" w:color="D9D9D9" w:sz="2"/>
          <w:insideV w:val="single" w:color="D9D9D9" w:sz="2"/>
        </w:tblBorders>
      </w:tblPr>
      <w:tblGrid>
        <w:gridCol w:w="2419"/>
        <w:gridCol w:w="7661"/>
      </w:tblGrid>
      <w:tr>
        <w:trPr>
          <w:tblHeader/>
        </w:trPr>
        <w:tc>
          <w:tcPr>
            <w:tcW w:type="dxa" w:w="2419"/>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Aspect</w:t>
            </w:r>
          </w:p>
        </w:tc>
        <w:tc>
          <w:tcPr>
            <w:tcW w:type="dxa" w:w="7661"/>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Detail</w:t>
            </w:r>
          </w:p>
        </w:tc>
      </w:tr>
      <w:tr>
        <w:trPr>
          <w:cantSplit/>
        </w:trPr>
        <w:tc>
          <w:tcPr>
            <w:tcW w:type="dxa" w:w="2419"/>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File name</w:t>
            </w:r>
          </w:p>
        </w:tc>
        <w:tc>
          <w:tcPr>
            <w:tcW w:type="dxa" w:w="7661"/>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SKILL.md — Markdown with YAML frontmatter, inside its own subdirectory</w:t>
            </w:r>
          </w:p>
        </w:tc>
      </w:tr>
      <w:tr>
        <w:trPr>
          <w:cantSplit/>
        </w:trPr>
        <w:tc>
          <w:tcPr>
            <w:tcW w:type="dxa" w:w="2419"/>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Directory naming</w:t>
            </w:r>
          </w:p>
        </w:tc>
        <w:tc>
          <w:tcPr>
            <w:tcW w:type="dxa" w:w="7661"/>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Lowercase, hyphens instead of spaces, matching the skill name</w:t>
            </w:r>
          </w:p>
        </w:tc>
      </w:tr>
      <w:tr>
        <w:trPr>
          <w:cantSplit/>
        </w:trPr>
        <w:tc>
          <w:tcPr>
            <w:tcW w:type="dxa" w:w="2419"/>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Project skills</w:t>
            </w:r>
          </w:p>
        </w:tc>
        <w:tc>
          <w:tcPr>
            <w:tcW w:type="dxa" w:w="7661"/>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.github/skills, .claude/skills, or .agents/skills</w:t>
            </w:r>
          </w:p>
        </w:tc>
      </w:tr>
      <w:tr>
        <w:trPr>
          <w:cantSplit/>
        </w:trPr>
        <w:tc>
          <w:tcPr>
            <w:tcW w:type="dxa" w:w="2419"/>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Personal skills</w:t>
            </w:r>
          </w:p>
        </w:tc>
        <w:tc>
          <w:tcPr>
            <w:tcW w:type="dxa" w:w="7661"/>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~/.copilot/skills or ~/.agents/skills</w:t>
            </w:r>
          </w:p>
        </w:tc>
      </w:tr>
      <w:tr>
        <w:trPr>
          <w:cantSplit/>
        </w:trPr>
        <w:tc>
          <w:tcPr>
            <w:tcW w:type="dxa" w:w="2419"/>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name (required)</w:t>
            </w:r>
          </w:p>
        </w:tc>
        <w:tc>
          <w:tcPr>
            <w:tcW w:type="dxa" w:w="7661"/>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Lowercase identifier matching the directory name</w:t>
            </w:r>
          </w:p>
        </w:tc>
      </w:tr>
      <w:tr>
        <w:trPr>
          <w:cantSplit/>
        </w:trPr>
        <w:tc>
          <w:tcPr>
            <w:tcW w:type="dxa" w:w="2419"/>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description (required)</w:t>
            </w:r>
          </w:p>
        </w:tc>
        <w:tc>
          <w:tcPr>
            <w:tcW w:type="dxa" w:w="7661"/>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What the skill does and when Copilot should use it — the single most important line in the file</w:t>
            </w:r>
          </w:p>
        </w:tc>
      </w:tr>
      <w:tr>
        <w:trPr>
          <w:cantSplit/>
        </w:trPr>
        <w:tc>
          <w:tcPr>
            <w:tcW w:type="dxa" w:w="2419"/>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license (optional)</w:t>
            </w:r>
          </w:p>
        </w:tc>
        <w:tc>
          <w:tcPr>
            <w:tcW w:type="dxa" w:w="7661"/>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Licence information for the skill</w:t>
            </w:r>
          </w:p>
        </w:tc>
      </w:tr>
      <w:tr>
        <w:trPr>
          <w:cantSplit/>
        </w:trPr>
        <w:tc>
          <w:tcPr>
            <w:tcW w:type="dxa" w:w="2419"/>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allowed-tools (optional)</w:t>
            </w:r>
          </w:p>
        </w:tc>
        <w:tc>
          <w:tcPr>
            <w:tcW w:type="dxa" w:w="7661"/>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Pre-approves specified tools so execution does not stop for confirmation</w:t>
            </w:r>
          </w:p>
        </w:tc>
      </w:tr>
      <w:tr>
        <w:trPr>
          <w:cantSplit/>
        </w:trPr>
        <w:tc>
          <w:tcPr>
            <w:tcW w:type="dxa" w:w="2419"/>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Supporting files</w:t>
            </w:r>
          </w:p>
        </w:tc>
        <w:tc>
          <w:tcPr>
            <w:tcW w:type="dxa" w:w="7661"/>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Scripts, examples and reference material in the same folder, discovered automatically once the skill loads</w:t>
            </w:r>
          </w:p>
        </w:tc>
      </w:tr>
    </w:tbl>
    <w:tbl>
      <w:tblPr>
        <w:tblW w:type="dxa" w:w="10080"/>
        <w:tblBorders>
          <w:top w:val="none"/>
          <w:left w:val="single" w:color="C55A11" w:sz="24"/>
          <w:bottom w:val="none"/>
          <w:right w:val="none"/>
          <w:insideH w:val="none"/>
          <w:insideV w:val="none"/>
        </w:tblBorders>
      </w:tblPr>
      <w:tblGrid>
        <w:gridCol w:w="10080"/>
      </w:tblGrid>
      <w:tr>
        <w:tc>
          <w:tcPr>
            <w:tcW w:type="dxa" w:w="10080"/>
            <w:shd w:fill="FDF0EC" w:val="clear"/>
            <w:tcMar>
              <w:top w:type="dxa" w:w="140"/>
              <w:left w:type="dxa" w:w="200"/>
              <w:bottom w:type="dxa" w:w="140"/>
              <w:right w:type="dxa" w:w="200"/>
            </w:tcMar>
          </w:tcPr>
          <w:p>
            <w:pPr>
              <w:spacing w:after="0" w:line="264"/>
            </w:pPr>
            <w:r>
              <w:rPr>
                <w:rFonts w:ascii="Calibri" w:cs="Calibri" w:eastAsia="Calibri" w:hAnsi="Calibri"/>
                <w:b/>
                <w:bCs/>
                <w:color w:val="C55A11"/>
                <w:sz w:val="21"/>
                <w:szCs w:val="21"/>
              </w:rPr>
              <w:t xml:space="preserve">Security warning — read before using allowed-tools.  </w:t>
            </w:r>
            <w:r>
              <w:rPr>
                <w:rFonts w:ascii="Calibri" w:cs="Calibri" w:eastAsia="Calibri" w:hAnsi="Calibri"/>
                <w:color w:val="262626"/>
                <w:sz w:val="21"/>
                <w:szCs w:val="21"/>
              </w:rPr>
              <w:t xml:space="preserve">GitHub’s own documentation warns that pre-approving shell or bash removes the confirmation step and can allow an attacker-controlled skill to execute arbitrary commands. Treat any skill that pre-approves shell execution as privileged code: it must be reviewed by a named owner, it must never be pulled in from an untrusted source, and in our repositories it should require a CODEOWNERS approval to merge.</w:t>
            </w:r>
          </w:p>
        </w:tc>
      </w:tr>
    </w:tbl>
    <w:p>
      <w:pPr>
        <w:pStyle w:val="Heading2"/>
        <w:spacing w:after="120" w:before="280"/>
      </w:pPr>
      <w:r>
        <w:rPr>
          <w:rFonts w:ascii="Calibri" w:cs="Calibri" w:eastAsia="Calibri" w:hAnsi="Calibri"/>
          <w:b/>
          <w:bCs/>
          <w:color w:val="2E75B6"/>
          <w:sz w:val="25"/>
          <w:szCs w:val="25"/>
        </w:rPr>
        <w:t xml:space="preserve">8.4 Instructions vs. skills vs. custom agents</w:t>
      </w:r>
    </w:p>
    <w:p>
      <w:pPr>
        <w:spacing w:after="120" w:before="0" w:line="264"/>
        <w:jc w:val="left"/>
      </w:pPr>
      <w:r>
        <w:rPr>
          <w:rFonts w:ascii="Calibri" w:cs="Calibri" w:eastAsia="Calibri" w:hAnsi="Calibri"/>
          <w:color w:val="262626"/>
          <w:sz w:val="21"/>
          <w:szCs w:val="21"/>
        </w:rPr>
        <w:t xml:space="preserve">These three mechanisms overlap and teams routinely pick the wrong one. The distinction is about how often the guidance applies.</w:t>
      </w:r>
    </w:p>
    <w:tbl>
      <w:tblPr>
        <w:tblW w:type="dxa" w:w="10080"/>
        <w:tblBorders>
          <w:top w:val="single" w:color="BFBFBF" w:sz="4"/>
          <w:left w:val="single" w:color="BFBFBF" w:sz="4"/>
          <w:bottom w:val="single" w:color="BFBFBF" w:sz="4"/>
          <w:right w:val="single" w:color="BFBFBF" w:sz="4"/>
          <w:insideH w:val="single" w:color="D9D9D9" w:sz="2"/>
          <w:insideV w:val="single" w:color="D9D9D9" w:sz="2"/>
        </w:tblBorders>
      </w:tblPr>
      <w:tblGrid>
        <w:gridCol w:w="1915"/>
        <w:gridCol w:w="1915"/>
        <w:gridCol w:w="3326"/>
        <w:gridCol w:w="2924"/>
      </w:tblGrid>
      <w:tr>
        <w:trPr>
          <w:tblHeader/>
        </w:trPr>
        <w:tc>
          <w:tcPr>
            <w:tcW w:type="dxa" w:w="1915"/>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Mechanism</w:t>
            </w:r>
          </w:p>
        </w:tc>
        <w:tc>
          <w:tcPr>
            <w:tcW w:type="dxa" w:w="1915"/>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Loaded</w:t>
            </w:r>
          </w:p>
        </w:tc>
        <w:tc>
          <w:tcPr>
            <w:tcW w:type="dxa" w:w="3326"/>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Use it for</w:t>
            </w:r>
          </w:p>
        </w:tc>
        <w:tc>
          <w:tcPr>
            <w:tcW w:type="dxa" w:w="2924"/>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Anti-pattern</w:t>
            </w:r>
          </w:p>
        </w:tc>
      </w:tr>
      <w:tr>
        <w:trPr>
          <w:cantSplit/>
        </w:trPr>
        <w:tc>
          <w:tcPr>
            <w:tcW w:type="dxa" w:w="1915"/>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Custom instructions</w:t>
            </w:r>
          </w:p>
        </w:tc>
        <w:tc>
          <w:tcPr>
            <w:tcW w:type="dxa" w:w="1915"/>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Always, on every request</w:t>
            </w:r>
          </w:p>
        </w:tc>
        <w:tc>
          <w:tcPr>
            <w:tcW w:type="dxa" w:w="3326"/>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Short rules relevant to almost every task — language, formatting, framework conventions</w:t>
            </w:r>
          </w:p>
        </w:tc>
        <w:tc>
          <w:tcPr>
            <w:tcW w:type="dxa" w:w="2924"/>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Stuffing a 400-line coding standard here; it burns context on every single request</w:t>
            </w:r>
          </w:p>
        </w:tc>
      </w:tr>
      <w:tr>
        <w:trPr>
          <w:cantSplit/>
        </w:trPr>
        <w:tc>
          <w:tcPr>
            <w:tcW w:type="dxa" w:w="1915"/>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Agent skills</w:t>
            </w:r>
          </w:p>
        </w:tc>
        <w:tc>
          <w:tcPr>
            <w:tcW w:type="dxa" w:w="1915"/>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Only when relevant to the task</w:t>
            </w:r>
          </w:p>
        </w:tc>
        <w:tc>
          <w:tcPr>
            <w:tcW w:type="dxa" w:w="3326"/>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Detailed procedures Copilot should follow in specific situations — how we write migrations, how we handle PII in logs</w:t>
            </w:r>
          </w:p>
        </w:tc>
        <w:tc>
          <w:tcPr>
            <w:tcW w:type="dxa" w:w="2924"/>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Writing a vague description; if the description does not clearly state when to use it, the skill never loads</w:t>
            </w:r>
          </w:p>
        </w:tc>
      </w:tr>
      <w:tr>
        <w:trPr>
          <w:cantSplit/>
        </w:trPr>
        <w:tc>
          <w:tcPr>
            <w:tcW w:type="dxa" w:w="1915"/>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Custom agents</w:t>
            </w:r>
          </w:p>
        </w:tc>
        <w:tc>
          <w:tcPr>
            <w:tcW w:type="dxa" w:w="1915"/>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When explicitly selected for a workflow</w:t>
            </w:r>
          </w:p>
        </w:tc>
        <w:tc>
          <w:tcPr>
            <w:tcW w:type="dxa" w:w="3326"/>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A whole working mode: persona, standards, permitted tools and MCP servers bundled together</w:t>
            </w:r>
          </w:p>
        </w:tc>
        <w:tc>
          <w:tcPr>
            <w:tcW w:type="dxa" w:w="2924"/>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Creating one per developer preference; agents should encode team standards, not individual taste</w:t>
            </w:r>
          </w:p>
        </w:tc>
      </w:tr>
    </w:tbl>
    <w:p>
      <w:pPr>
        <w:pStyle w:val="Heading2"/>
        <w:spacing w:after="120" w:before="280"/>
      </w:pPr>
      <w:r>
        <w:rPr>
          <w:rFonts w:ascii="Calibri" w:cs="Calibri" w:eastAsia="Calibri" w:hAnsi="Calibri"/>
          <w:b/>
          <w:bCs/>
          <w:color w:val="2E75B6"/>
          <w:sz w:val="25"/>
          <w:szCs w:val="25"/>
        </w:rPr>
        <w:t xml:space="preserve">8.5 A sensible adoption sequence</w:t>
      </w:r>
    </w:p>
    <w:p>
      <w:pPr>
        <w:pStyle w:val="ListParagraph"/>
        <w:numPr>
          <w:ilvl w:val="0"/>
          <w:numId w:val="7"/>
        </w:numPr>
        <w:spacing w:after="80" w:line="264"/>
      </w:pPr>
      <w:r>
        <w:rPr>
          <w:rFonts w:ascii="Calibri" w:cs="Calibri" w:eastAsia="Calibri" w:hAnsi="Calibri"/>
          <w:color w:val="262626"/>
          <w:sz w:val="21"/>
          <w:szCs w:val="21"/>
        </w:rPr>
        <w:t xml:space="preserve">Start with one repository-level custom instructions file covering language, style and framework conventions. Keep it under roughly fifty lines.</w:t>
      </w:r>
    </w:p>
    <w:p>
      <w:pPr>
        <w:pStyle w:val="ListParagraph"/>
        <w:numPr>
          <w:ilvl w:val="0"/>
          <w:numId w:val="7"/>
        </w:numPr>
        <w:spacing w:after="80" w:line="264"/>
      </w:pPr>
      <w:r>
        <w:rPr>
          <w:rFonts w:ascii="Calibri" w:cs="Calibri" w:eastAsia="Calibri" w:hAnsi="Calibri"/>
          <w:color w:val="262626"/>
          <w:sz w:val="21"/>
          <w:szCs w:val="21"/>
        </w:rPr>
        <w:t xml:space="preserve">Add two or three skills for the procedures your team repeats and gets wrong — database migrations, release checklists, logging and PII rules. Write the description first and make it specific.</w:t>
      </w:r>
    </w:p>
    <w:p>
      <w:pPr>
        <w:pStyle w:val="ListParagraph"/>
        <w:numPr>
          <w:ilvl w:val="0"/>
          <w:numId w:val="7"/>
        </w:numPr>
        <w:spacing w:after="80" w:line="264"/>
      </w:pPr>
      <w:r>
        <w:rPr>
          <w:rFonts w:ascii="Calibri" w:cs="Calibri" w:eastAsia="Calibri" w:hAnsi="Calibri"/>
          <w:color w:val="262626"/>
          <w:sz w:val="21"/>
          <w:szCs w:val="21"/>
        </w:rPr>
        <w:t xml:space="preserve">Promote anything that applies to every team to the organisation-level .github repository so it is written once.</w:t>
      </w:r>
    </w:p>
    <w:p>
      <w:pPr>
        <w:pStyle w:val="ListParagraph"/>
        <w:numPr>
          <w:ilvl w:val="0"/>
          <w:numId w:val="7"/>
        </w:numPr>
        <w:spacing w:after="80" w:line="264"/>
      </w:pPr>
      <w:r>
        <w:rPr>
          <w:rFonts w:ascii="Calibri" w:cs="Calibri" w:eastAsia="Calibri" w:hAnsi="Calibri"/>
          <w:color w:val="262626"/>
          <w:sz w:val="21"/>
          <w:szCs w:val="21"/>
        </w:rPr>
        <w:t xml:space="preserve">Create custom agents only once the skills exist and have proven themselves. An agent is a bundle of things that already work.</w:t>
      </w:r>
    </w:p>
    <w:p>
      <w:pPr>
        <w:pStyle w:val="ListParagraph"/>
        <w:numPr>
          <w:ilvl w:val="0"/>
          <w:numId w:val="7"/>
        </w:numPr>
        <w:spacing w:after="80" w:line="264"/>
      </w:pPr>
      <w:r>
        <w:rPr>
          <w:rFonts w:ascii="Calibri" w:cs="Calibri" w:eastAsia="Calibri" w:hAnsi="Calibri"/>
          <w:color w:val="262626"/>
          <w:sz w:val="21"/>
          <w:szCs w:val="21"/>
        </w:rPr>
        <w:t xml:space="preserve">Put all of it under CODEOWNERS review. These files steer automated changes to production code and deserve the same review bar as the code itself.</w:t>
      </w:r>
    </w:p>
    <w:p>
      <w:pPr>
        <w:pStyle w:val="ListParagraph"/>
        <w:numPr>
          <w:ilvl w:val="0"/>
          <w:numId w:val="7"/>
        </w:numPr>
        <w:spacing w:after="80" w:line="264"/>
      </w:pPr>
      <w:r>
        <w:rPr>
          <w:rFonts w:ascii="Calibri" w:cs="Calibri" w:eastAsia="Calibri" w:hAnsi="Calibri"/>
          <w:color w:val="262626"/>
          <w:sz w:val="21"/>
          <w:szCs w:val="21"/>
        </w:rPr>
        <w:t xml:space="preserve">Measure: pull request cycle time, review iterations, and the proportion of cloud agent PRs merged without rework. If those do not move within a quarter, the configuration is wrong, not the tool.</w:t>
      </w:r>
    </w:p>
    <w:p>
      <w:pPr>
        <w:pStyle w:val="Heading1"/>
        <w:pageBreakBefore/>
        <w:pBdr>
          <w:bottom w:val="single" w:color="2E75B6" w:sz="12" w:space="6"/>
        </w:pBdr>
        <w:spacing w:after="200" w:before="0"/>
      </w:pPr>
      <w:r>
        <w:rPr>
          <w:rFonts w:ascii="Calibri" w:cs="Calibri" w:eastAsia="Calibri" w:hAnsi="Calibri"/>
          <w:b/>
          <w:bCs/>
          <w:color w:val="1F3864"/>
          <w:sz w:val="32"/>
          <w:szCs w:val="32"/>
        </w:rPr>
        <w:t xml:space="preserve">9. Token limits, context windows and quotas</w:t>
      </w:r>
    </w:p>
    <w:tbl>
      <w:tblPr>
        <w:tblW w:type="dxa" w:w="10080"/>
        <w:tblBorders>
          <w:top w:val="none"/>
          <w:left w:val="single" w:color="BF8F00" w:sz="24"/>
          <w:bottom w:val="none"/>
          <w:right w:val="none"/>
          <w:insideH w:val="none"/>
          <w:insideV w:val="none"/>
        </w:tblBorders>
      </w:tblPr>
      <w:tblGrid>
        <w:gridCol w:w="10080"/>
      </w:tblGrid>
      <w:tr>
        <w:tc>
          <w:tcPr>
            <w:tcW w:type="dxa" w:w="10080"/>
            <w:shd w:fill="FFF8E7" w:val="clear"/>
            <w:tcMar>
              <w:top w:type="dxa" w:w="140"/>
              <w:left w:type="dxa" w:w="200"/>
              <w:bottom w:type="dxa" w:w="140"/>
              <w:right w:type="dxa" w:w="200"/>
            </w:tcMar>
          </w:tcPr>
          <w:p>
            <w:pPr>
              <w:spacing w:after="0" w:line="264"/>
            </w:pPr>
            <w:r>
              <w:rPr>
                <w:rFonts w:ascii="Calibri" w:cs="Calibri" w:eastAsia="Calibri" w:hAnsi="Calibri"/>
                <w:b/>
                <w:bCs/>
                <w:color w:val="BF8F00"/>
                <w:sz w:val="21"/>
                <w:szCs w:val="21"/>
              </w:rPr>
              <w:t xml:space="preserve">Verification date.  </w:t>
            </w:r>
            <w:r>
              <w:rPr>
                <w:rFonts w:ascii="Calibri" w:cs="Calibri" w:eastAsia="Calibri" w:hAnsi="Calibri"/>
                <w:color w:val="262626"/>
                <w:sz w:val="21"/>
                <w:szCs w:val="21"/>
              </w:rPr>
              <w:t xml:space="preserve">Every figure in this section was verified against Microsoft Learn and GitHub Docs on 3 October 2026. Limits in this product area change frequently; re-verify before making a commitment that depends on a specific number. Where Microsoft does not publish a figure, this section says so rather than guessing.</w:t>
            </w:r>
          </w:p>
        </w:tc>
      </w:tr>
    </w:tbl>
    <w:p>
      <w:pPr>
        <w:pStyle w:val="Heading2"/>
        <w:spacing w:after="120" w:before="280"/>
      </w:pPr>
      <w:r>
        <w:rPr>
          <w:rFonts w:ascii="Calibri" w:cs="Calibri" w:eastAsia="Calibri" w:hAnsi="Calibri"/>
          <w:b/>
          <w:bCs/>
          <w:color w:val="2E75B6"/>
          <w:sz w:val="25"/>
          <w:szCs w:val="25"/>
        </w:rPr>
        <w:t xml:space="preserve">9.1 The concepts, in plain terms</w:t>
      </w:r>
    </w:p>
    <w:tbl>
      <w:tblPr>
        <w:tblW w:type="dxa" w:w="10080"/>
        <w:tblBorders>
          <w:top w:val="single" w:color="BFBFBF" w:sz="4"/>
          <w:left w:val="single" w:color="BFBFBF" w:sz="4"/>
          <w:bottom w:val="single" w:color="BFBFBF" w:sz="4"/>
          <w:right w:val="single" w:color="BFBFBF" w:sz="4"/>
          <w:insideH w:val="single" w:color="D9D9D9" w:sz="2"/>
          <w:insideV w:val="single" w:color="D9D9D9" w:sz="2"/>
        </w:tblBorders>
      </w:tblPr>
      <w:tblGrid>
        <w:gridCol w:w="1915"/>
        <w:gridCol w:w="4637"/>
        <w:gridCol w:w="3528"/>
      </w:tblGrid>
      <w:tr>
        <w:trPr>
          <w:tblHeader/>
        </w:trPr>
        <w:tc>
          <w:tcPr>
            <w:tcW w:type="dxa" w:w="1915"/>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Term</w:t>
            </w:r>
          </w:p>
        </w:tc>
        <w:tc>
          <w:tcPr>
            <w:tcW w:type="dxa" w:w="4637"/>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What it means</w:t>
            </w:r>
          </w:p>
        </w:tc>
        <w:tc>
          <w:tcPr>
            <w:tcW w:type="dxa" w:w="3528"/>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Why it matters commercially</w:t>
            </w:r>
          </w:p>
        </w:tc>
      </w:tr>
      <w:tr>
        <w:trPr>
          <w:cantSplit/>
        </w:trPr>
        <w:tc>
          <w:tcPr>
            <w:tcW w:type="dxa" w:w="1915"/>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Token</w:t>
            </w:r>
          </w:p>
        </w:tc>
        <w:tc>
          <w:tcPr>
            <w:tcW w:type="dxa" w:w="4637"/>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The unit a model reads and writes. Roughly 4 characters or 0.75 words of English</w:t>
            </w:r>
          </w:p>
        </w:tc>
        <w:tc>
          <w:tcPr>
            <w:tcW w:type="dxa" w:w="3528"/>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It is the billing unit. A 50-page document is very roughly 25,000–35,000 tokens</w:t>
            </w:r>
          </w:p>
        </w:tc>
      </w:tr>
      <w:tr>
        <w:trPr>
          <w:cantSplit/>
        </w:trPr>
        <w:tc>
          <w:tcPr>
            <w:tcW w:type="dxa" w:w="1915"/>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Context window</w:t>
            </w:r>
          </w:p>
        </w:tc>
        <w:tc>
          <w:tcPr>
            <w:tcW w:type="dxa" w:w="4637"/>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The maximum tokens a model can consider in one turn, counting input and output together</w:t>
            </w:r>
          </w:p>
        </w:tc>
        <w:tc>
          <w:tcPr>
            <w:tcW w:type="dxa" w:w="3528"/>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A hard ceiling on how much you can show the model at once</w:t>
            </w:r>
          </w:p>
        </w:tc>
      </w:tr>
      <w:tr>
        <w:trPr>
          <w:cantSplit/>
        </w:trPr>
        <w:tc>
          <w:tcPr>
            <w:tcW w:type="dxa" w:w="1915"/>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Input tokens</w:t>
            </w:r>
          </w:p>
        </w:tc>
        <w:tc>
          <w:tcPr>
            <w:tcW w:type="dxa" w:w="4637"/>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Everything sent to the model: system prompt, instructions, tool definitions, retrieved content, conversation history</w:t>
            </w:r>
          </w:p>
        </w:tc>
        <w:tc>
          <w:tcPr>
            <w:tcW w:type="dxa" w:w="3528"/>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Usually the largest share of cost in an agent, and the easiest to reduce</w:t>
            </w:r>
          </w:p>
        </w:tc>
      </w:tr>
      <w:tr>
        <w:trPr>
          <w:cantSplit/>
        </w:trPr>
        <w:tc>
          <w:tcPr>
            <w:tcW w:type="dxa" w:w="1915"/>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Output tokens</w:t>
            </w:r>
          </w:p>
        </w:tc>
        <w:tc>
          <w:tcPr>
            <w:tcW w:type="dxa" w:w="4637"/>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What the model generates</w:t>
            </w:r>
          </w:p>
        </w:tc>
        <w:tc>
          <w:tcPr>
            <w:tcW w:type="dxa" w:w="3528"/>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Priced several times higher than input tokens on most models</w:t>
            </w:r>
          </w:p>
        </w:tc>
      </w:tr>
      <w:tr>
        <w:trPr>
          <w:cantSplit/>
        </w:trPr>
        <w:tc>
          <w:tcPr>
            <w:tcW w:type="dxa" w:w="1915"/>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Cached tokens</w:t>
            </w:r>
          </w:p>
        </w:tc>
        <w:tc>
          <w:tcPr>
            <w:tcW w:type="dxa" w:w="4637"/>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Reused context the provider has already processed</w:t>
            </w:r>
          </w:p>
        </w:tc>
        <w:tc>
          <w:tcPr>
            <w:tcW w:type="dxa" w:w="3528"/>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Priced lower than fresh input — stable prompt prefixes save real money at scale</w:t>
            </w:r>
          </w:p>
        </w:tc>
      </w:tr>
      <w:tr>
        <w:trPr>
          <w:cantSplit/>
        </w:trPr>
        <w:tc>
          <w:tcPr>
            <w:tcW w:type="dxa" w:w="1915"/>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Effective context</w:t>
            </w:r>
          </w:p>
        </w:tc>
        <w:tc>
          <w:tcPr>
            <w:tcW w:type="dxa" w:w="4637"/>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What is left for your actual content after system prompt, tool schemas, history and reserved output</w:t>
            </w:r>
          </w:p>
        </w:tc>
        <w:tc>
          <w:tcPr>
            <w:tcW w:type="dxa" w:w="3528"/>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Always materially smaller than the advertised window. Design against this, not the headline number</w:t>
            </w:r>
          </w:p>
        </w:tc>
      </w:tr>
    </w:tbl>
    <w:tbl>
      <w:tblPr>
        <w:tblW w:type="dxa" w:w="10080"/>
        <w:tblBorders>
          <w:top w:val="none"/>
          <w:left w:val="single" w:color="538135" w:sz="24"/>
          <w:bottom w:val="none"/>
          <w:right w:val="none"/>
          <w:insideH w:val="none"/>
          <w:insideV w:val="none"/>
        </w:tblBorders>
      </w:tblPr>
      <w:tblGrid>
        <w:gridCol w:w="10080"/>
      </w:tblGrid>
      <w:tr>
        <w:tc>
          <w:tcPr>
            <w:tcW w:type="dxa" w:w="10080"/>
            <w:shd w:fill="EFF7EA" w:val="clear"/>
            <w:tcMar>
              <w:top w:type="dxa" w:w="140"/>
              <w:left w:type="dxa" w:w="200"/>
              <w:bottom w:type="dxa" w:w="140"/>
              <w:right w:type="dxa" w:w="200"/>
            </w:tcMar>
          </w:tcPr>
          <w:p>
            <w:pPr>
              <w:spacing w:after="0" w:line="264"/>
            </w:pPr>
            <w:r>
              <w:rPr>
                <w:rFonts w:ascii="Calibri" w:cs="Calibri" w:eastAsia="Calibri" w:hAnsi="Calibri"/>
                <w:b/>
                <w:bCs/>
                <w:color w:val="538135"/>
                <w:sz w:val="21"/>
                <w:szCs w:val="21"/>
              </w:rPr>
              <w:t xml:space="preserve">The rule that matters.  </w:t>
            </w:r>
            <w:r>
              <w:rPr>
                <w:rFonts w:ascii="Calibri" w:cs="Calibri" w:eastAsia="Calibri" w:hAnsi="Calibri"/>
                <w:color w:val="262626"/>
                <w:sz w:val="21"/>
                <w:szCs w:val="21"/>
              </w:rPr>
              <w:t xml:space="preserve">A large context window is permission, not instruction. Cost rises linearly with tokens, latency rises with tokens, and retrieval precision — not volume — drives answer quality. An agent that retrieves six well-chosen passages beats one that pastes in the whole handbook, and costs a fraction as much.</w:t>
            </w:r>
          </w:p>
        </w:tc>
      </w:tr>
    </w:tbl>
    <w:p>
      <w:pPr>
        <w:pStyle w:val="Heading2"/>
        <w:spacing w:after="120" w:before="280"/>
      </w:pPr>
      <w:r>
        <w:rPr>
          <w:rFonts w:ascii="Calibri" w:cs="Calibri" w:eastAsia="Calibri" w:hAnsi="Calibri"/>
          <w:b/>
          <w:bCs/>
          <w:color w:val="2E75B6"/>
          <w:sz w:val="25"/>
          <w:szCs w:val="25"/>
        </w:rPr>
        <w:t xml:space="preserve">9.2 GitHub Copilot</w:t>
      </w:r>
    </w:p>
    <w:p>
      <w:pPr>
        <w:pStyle w:val="Heading3"/>
        <w:spacing w:after="90" w:before="200"/>
      </w:pPr>
      <w:r>
        <w:rPr>
          <w:rFonts w:ascii="Calibri" w:cs="Calibri" w:eastAsia="Calibri" w:hAnsi="Calibri"/>
          <w:b/>
          <w:bCs/>
          <w:color w:val="333333"/>
          <w:sz w:val="22"/>
          <w:szCs w:val="22"/>
        </w:rPr>
        <w:t xml:space="preserve">Billing model</w:t>
      </w:r>
    </w:p>
    <w:p>
      <w:pPr>
        <w:spacing w:after="120" w:before="0" w:line="264"/>
        <w:jc w:val="left"/>
      </w:pPr>
      <w:r>
        <w:rPr>
          <w:rFonts w:ascii="Calibri" w:cs="Calibri" w:eastAsia="Calibri" w:hAnsi="Calibri"/>
          <w:color w:val="262626"/>
          <w:sz w:val="21"/>
          <w:szCs w:val="21"/>
        </w:rPr>
        <w:t xml:space="preserve">GitHub moved from premium request units to GitHub AI Credits on 1 June 2026. Credits are consumed by actual token usage — input, output and cached tokens — charged at each model’s published per-million-token rate. One AI credit equals US$0.01.</w:t>
      </w:r>
    </w:p>
    <w:p>
      <w:pPr>
        <w:spacing w:after="90" w:before="200"/>
      </w:pPr>
      <w:r>
        <w:rPr>
          <w:rFonts w:ascii="Calibri" w:cs="Calibri" w:eastAsia="Calibri" w:hAnsi="Calibri"/>
          <w:b/>
          <w:bCs/>
          <w:color w:val="1F3864"/>
          <w:sz w:val="19"/>
          <w:szCs w:val="19"/>
        </w:rPr>
        <w:t xml:space="preserve">Table 9.1 — GitHub Copilot plans and included AI credits</w:t>
      </w:r>
    </w:p>
    <w:tbl>
      <w:tblPr>
        <w:tblW w:type="dxa" w:w="10080"/>
        <w:tblBorders>
          <w:top w:val="single" w:color="BFBFBF" w:sz="4"/>
          <w:left w:val="single" w:color="BFBFBF" w:sz="4"/>
          <w:bottom w:val="single" w:color="BFBFBF" w:sz="4"/>
          <w:right w:val="single" w:color="BFBFBF" w:sz="4"/>
          <w:insideH w:val="single" w:color="D9D9D9" w:sz="2"/>
          <w:insideV w:val="single" w:color="D9D9D9" w:sz="2"/>
        </w:tblBorders>
      </w:tblPr>
      <w:tblGrid>
        <w:gridCol w:w="1411"/>
        <w:gridCol w:w="1714"/>
        <w:gridCol w:w="3326"/>
        <w:gridCol w:w="3629"/>
      </w:tblGrid>
      <w:tr>
        <w:trPr>
          <w:tblHeader/>
        </w:trPr>
        <w:tc>
          <w:tcPr>
            <w:tcW w:type="dxa" w:w="1411"/>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Plan</w:t>
            </w:r>
          </w:p>
        </w:tc>
        <w:tc>
          <w:tcPr>
            <w:tcW w:type="dxa" w:w="1714"/>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Price (US$/month)</w:t>
            </w:r>
          </w:p>
        </w:tc>
        <w:tc>
          <w:tcPr>
            <w:tcW w:type="dxa" w:w="3326"/>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Included AI credits</w:t>
            </w:r>
          </w:p>
        </w:tc>
        <w:tc>
          <w:tcPr>
            <w:tcW w:type="dxa" w:w="3629"/>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Notes</w:t>
            </w:r>
          </w:p>
        </w:tc>
      </w:tr>
      <w:tr>
        <w:trPr>
          <w:cantSplit/>
        </w:trPr>
        <w:tc>
          <w:tcPr>
            <w:tcW w:type="dxa" w:w="1411"/>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Free</w:t>
            </w:r>
          </w:p>
        </w:tc>
        <w:tc>
          <w:tcPr>
            <w:tcW w:type="dxa" w:w="1714"/>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0</w:t>
            </w:r>
          </w:p>
        </w:tc>
        <w:tc>
          <w:tcPr>
            <w:tcW w:type="dxa" w:w="3326"/>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Limited — auto model selection only</w:t>
            </w:r>
          </w:p>
        </w:tc>
        <w:tc>
          <w:tcPr>
            <w:tcW w:type="dxa" w:w="3629"/>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Up to 2,000 code completions per month; limited chat</w:t>
            </w:r>
          </w:p>
        </w:tc>
      </w:tr>
      <w:tr>
        <w:trPr>
          <w:cantSplit/>
        </w:trPr>
        <w:tc>
          <w:tcPr>
            <w:tcW w:type="dxa" w:w="1411"/>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Student</w:t>
            </w:r>
          </w:p>
        </w:tc>
        <w:tc>
          <w:tcPr>
            <w:tcW w:type="dxa" w:w="1714"/>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0 (verified)</w:t>
            </w:r>
          </w:p>
        </w:tc>
        <w:tc>
          <w:tcPr>
            <w:tcW w:type="dxa" w:w="3326"/>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Limited — auto model selection only</w:t>
            </w:r>
          </w:p>
        </w:tc>
        <w:tc>
          <w:tcPr>
            <w:tcW w:type="dxa" w:w="3629"/>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Unlimited code completions</w:t>
            </w:r>
          </w:p>
        </w:tc>
      </w:tr>
      <w:tr>
        <w:trPr>
          <w:cantSplit/>
        </w:trPr>
        <w:tc>
          <w:tcPr>
            <w:tcW w:type="dxa" w:w="1411"/>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Pro</w:t>
            </w:r>
          </w:p>
        </w:tc>
        <w:tc>
          <w:tcPr>
            <w:tcW w:type="dxa" w:w="1714"/>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10</w:t>
            </w:r>
          </w:p>
        </w:tc>
        <w:tc>
          <w:tcPr>
            <w:tcW w:type="dxa" w:w="3326"/>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1,500 (1,000 base + 500 flex)</w:t>
            </w:r>
          </w:p>
        </w:tc>
        <w:tc>
          <w:tcPr>
            <w:tcW w:type="dxa" w:w="3629"/>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Unlimited completions in IDEs</w:t>
            </w:r>
          </w:p>
        </w:tc>
      </w:tr>
      <w:tr>
        <w:trPr>
          <w:cantSplit/>
        </w:trPr>
        <w:tc>
          <w:tcPr>
            <w:tcW w:type="dxa" w:w="1411"/>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Pro+</w:t>
            </w:r>
          </w:p>
        </w:tc>
        <w:tc>
          <w:tcPr>
            <w:tcW w:type="dxa" w:w="1714"/>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39</w:t>
            </w:r>
          </w:p>
        </w:tc>
        <w:tc>
          <w:tcPr>
            <w:tcW w:type="dxa" w:w="3326"/>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7,000 (3,900 base + 3,100 flex)</w:t>
            </w:r>
          </w:p>
        </w:tc>
        <w:tc>
          <w:tcPr>
            <w:tcW w:type="dxa" w:w="3629"/>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Access to premium models</w:t>
            </w:r>
          </w:p>
        </w:tc>
      </w:tr>
      <w:tr>
        <w:trPr>
          <w:cantSplit/>
        </w:trPr>
        <w:tc>
          <w:tcPr>
            <w:tcW w:type="dxa" w:w="1411"/>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Max</w:t>
            </w:r>
          </w:p>
        </w:tc>
        <w:tc>
          <w:tcPr>
            <w:tcW w:type="dxa" w:w="1714"/>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100</w:t>
            </w:r>
          </w:p>
        </w:tc>
        <w:tc>
          <w:tcPr>
            <w:tcW w:type="dxa" w:w="3326"/>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20,000 (10,000 base + 10,000 flex)</w:t>
            </w:r>
          </w:p>
        </w:tc>
        <w:tc>
          <w:tcPr>
            <w:tcW w:type="dxa" w:w="3629"/>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Highest allowance; priority access to new models</w:t>
            </w:r>
          </w:p>
        </w:tc>
      </w:tr>
      <w:tr>
        <w:trPr>
          <w:cantSplit/>
        </w:trPr>
        <w:tc>
          <w:tcPr>
            <w:tcW w:type="dxa" w:w="1411"/>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Business</w:t>
            </w:r>
          </w:p>
        </w:tc>
        <w:tc>
          <w:tcPr>
            <w:tcW w:type="dxa" w:w="1714"/>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19 per user</w:t>
            </w:r>
          </w:p>
        </w:tc>
        <w:tc>
          <w:tcPr>
            <w:tcW w:type="dxa" w:w="3326"/>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US$19 of monthly credits</w:t>
            </w:r>
          </w:p>
        </w:tc>
        <w:tc>
          <w:tcPr>
            <w:tcW w:type="dxa" w:w="3629"/>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Per-user allowances pooled at the billing-entity level</w:t>
            </w:r>
          </w:p>
        </w:tc>
      </w:tr>
      <w:tr>
        <w:trPr>
          <w:cantSplit/>
        </w:trPr>
        <w:tc>
          <w:tcPr>
            <w:tcW w:type="dxa" w:w="1411"/>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Enterprise</w:t>
            </w:r>
          </w:p>
        </w:tc>
        <w:tc>
          <w:tcPr>
            <w:tcW w:type="dxa" w:w="1714"/>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39 per user</w:t>
            </w:r>
          </w:p>
        </w:tc>
        <w:tc>
          <w:tcPr>
            <w:tcW w:type="dxa" w:w="3326"/>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US$39 of monthly credits</w:t>
            </w:r>
          </w:p>
        </w:tc>
        <w:tc>
          <w:tcPr>
            <w:tcW w:type="dxa" w:w="3629"/>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Per-user allowances pooled at the billing-entity level</w:t>
            </w:r>
          </w:p>
        </w:tc>
      </w:tr>
    </w:tbl>
    <w:p>
      <w:pPr>
        <w:spacing w:after="160" w:before="60"/>
      </w:pPr>
      <w:r>
        <w:rPr>
          <w:rFonts w:ascii="Calibri" w:cs="Calibri" w:eastAsia="Calibri" w:hAnsi="Calibri"/>
          <w:i/>
          <w:iCs/>
          <w:color w:val="595959"/>
          <w:sz w:val="18"/>
          <w:szCs w:val="18"/>
        </w:rPr>
        <w:t xml:space="preserve">Code completions are unlimited on all paid plans and consume no credits. Usage beyond the included allowance is billed in AI credits at the per-token rates. Figures verified 3 October 2026.</w:t>
      </w:r>
    </w:p>
    <w:p>
      <w:pPr>
        <w:pStyle w:val="Heading3"/>
        <w:spacing w:after="90" w:before="200"/>
      </w:pPr>
      <w:r>
        <w:rPr>
          <w:rFonts w:ascii="Calibri" w:cs="Calibri" w:eastAsia="Calibri" w:hAnsi="Calibri"/>
          <w:b/>
          <w:bCs/>
          <w:color w:val="333333"/>
          <w:sz w:val="22"/>
          <w:szCs w:val="22"/>
        </w:rPr>
        <w:t xml:space="preserve">Context windows</w:t>
      </w:r>
    </w:p>
    <w:p>
      <w:pPr>
        <w:pStyle w:val="ListParagraph"/>
        <w:numPr>
          <w:ilvl w:val="0"/>
          <w:numId w:val="3"/>
        </w:numPr>
        <w:spacing w:after="80" w:line="264"/>
      </w:pPr>
      <w:r>
        <w:rPr>
          <w:rFonts w:ascii="Calibri" w:cs="Calibri" w:eastAsia="Calibri" w:hAnsi="Calibri"/>
          <w:color w:val="262626"/>
          <w:sz w:val="21"/>
          <w:szCs w:val="21"/>
        </w:rPr>
        <w:t xml:space="preserve">The latest models support an extended context window of 1,000,000 tokens, available in Visual Studio Code and Copilot CLI only — not on every surface, and not on every model.</w:t>
      </w:r>
    </w:p>
    <w:p>
      <w:pPr>
        <w:pStyle w:val="ListParagraph"/>
        <w:numPr>
          <w:ilvl w:val="0"/>
          <w:numId w:val="3"/>
        </w:numPr>
        <w:spacing w:after="80" w:line="264"/>
      </w:pPr>
      <w:r>
        <w:rPr>
          <w:rFonts w:ascii="Calibri" w:cs="Calibri" w:eastAsia="Calibri" w:hAnsi="Calibri"/>
          <w:color w:val="262626"/>
          <w:sz w:val="21"/>
          <w:szCs w:val="21"/>
        </w:rPr>
        <w:t xml:space="preserve">GitHub does not publish a single context-window figure per model on the supported-models page; the per-model model cards and the models-and-pricing page carry the current per-token rates. Confirm the specific model before designing around a number.</w:t>
      </w:r>
    </w:p>
    <w:p>
      <w:pPr>
        <w:pStyle w:val="ListParagraph"/>
        <w:numPr>
          <w:ilvl w:val="0"/>
          <w:numId w:val="3"/>
        </w:numPr>
        <w:spacing w:after="80" w:line="264"/>
      </w:pPr>
      <w:r>
        <w:rPr>
          <w:rFonts w:ascii="Calibri" w:cs="Calibri" w:eastAsia="Calibri" w:hAnsi="Calibri"/>
          <w:color w:val="262626"/>
          <w:sz w:val="21"/>
          <w:szCs w:val="21"/>
        </w:rPr>
        <w:t xml:space="preserve">Practical effect for us: a one-million-token window does not mean the IDE will send a million tokens. The client assembles context from open files, references and retrieval, and a substantial share of any window is reserved for output.</w:t>
      </w:r>
    </w:p>
    <w:p>
      <w:pPr>
        <w:pStyle w:val="Heading3"/>
        <w:spacing w:after="90" w:before="200"/>
      </w:pPr>
      <w:r>
        <w:rPr>
          <w:rFonts w:ascii="Calibri" w:cs="Calibri" w:eastAsia="Calibri" w:hAnsi="Calibri"/>
          <w:b/>
          <w:bCs/>
          <w:color w:val="333333"/>
          <w:sz w:val="22"/>
          <w:szCs w:val="22"/>
        </w:rPr>
        <w:t xml:space="preserve">Legacy premium-request figures</w:t>
      </w:r>
    </w:p>
    <w:p>
      <w:pPr>
        <w:spacing w:after="120" w:before="0" w:line="264"/>
        <w:jc w:val="left"/>
      </w:pPr>
      <w:r>
        <w:rPr>
          <w:rFonts w:ascii="Calibri" w:cs="Calibri" w:eastAsia="Calibri" w:hAnsi="Calibri"/>
          <w:color w:val="262626"/>
          <w:sz w:val="21"/>
          <w:szCs w:val="21"/>
        </w:rPr>
        <w:t xml:space="preserve">Annual-plan holders who have not yet transitioned remain on request-based billing. For reference: Copilot Pro 300 premium requests per month, Pro+ 1,500, additional requests at US$0.04 each, with no month-to-month rollover. Consumption examples under that model: Copilot Chat 1 request per prompt, Copilot CLI 1 per prompt on the default model, code review 13 per review, and cloud agent 1 per session initiation with steering comments consuming more.</w:t>
      </w:r>
    </w:p>
    <w:p>
      <w:pPr>
        <w:pStyle w:val="Heading2"/>
        <w:spacing w:after="120" w:before="280"/>
      </w:pPr>
      <w:r>
        <w:rPr>
          <w:rFonts w:ascii="Calibri" w:cs="Calibri" w:eastAsia="Calibri" w:hAnsi="Calibri"/>
          <w:b/>
          <w:bCs/>
          <w:color w:val="2E75B6"/>
          <w:sz w:val="25"/>
          <w:szCs w:val="25"/>
        </w:rPr>
        <w:t xml:space="preserve">9.3 Microsoft 365 Copilot</w:t>
      </w:r>
    </w:p>
    <w:p>
      <w:pPr>
        <w:spacing w:after="120" w:before="0" w:line="264"/>
        <w:jc w:val="left"/>
      </w:pPr>
      <w:r>
        <w:rPr>
          <w:rFonts w:ascii="Calibri" w:cs="Calibri" w:eastAsia="Calibri" w:hAnsi="Calibri"/>
          <w:color w:val="262626"/>
          <w:sz w:val="21"/>
          <w:szCs w:val="21"/>
        </w:rPr>
        <w:t xml:space="preserve">Microsoft does not publish a per-prompt token or context limit for Microsoft 365 Copilot, and the architecture documentation does not state context-size, document-length or token limits. This is deliberate: the orchestrator manages grounding, chunking and summarisation on your behalf, and the effective limit shifts as Microsoft changes models and retrieval strategy.</w:t>
      </w:r>
    </w:p>
    <w:p>
      <w:pPr>
        <w:spacing w:after="120" w:before="0" w:line="264"/>
        <w:jc w:val="left"/>
      </w:pPr>
      <w:r>
        <w:rPr>
          <w:rFonts w:ascii="Calibri" w:cs="Calibri" w:eastAsia="Calibri" w:hAnsi="Calibri"/>
          <w:color w:val="262626"/>
          <w:sz w:val="21"/>
          <w:szCs w:val="21"/>
        </w:rPr>
        <w:t xml:space="preserve">What this means in practice for design:</w:t>
      </w:r>
    </w:p>
    <w:p>
      <w:pPr>
        <w:pStyle w:val="ListParagraph"/>
        <w:numPr>
          <w:ilvl w:val="0"/>
          <w:numId w:val="3"/>
        </w:numPr>
        <w:spacing w:after="80" w:line="264"/>
      </w:pPr>
      <w:r>
        <w:rPr>
          <w:rFonts w:ascii="Calibri" w:cs="Calibri" w:eastAsia="Calibri" w:hAnsi="Calibri"/>
          <w:color w:val="262626"/>
          <w:sz w:val="21"/>
          <w:szCs w:val="21"/>
        </w:rPr>
        <w:t xml:space="preserve">Do not architect anything around an assumed Microsoft 365 Copilot token budget; there is no published number to rely on and it will change.</w:t>
      </w:r>
    </w:p>
    <w:p>
      <w:pPr>
        <w:pStyle w:val="ListParagraph"/>
        <w:numPr>
          <w:ilvl w:val="0"/>
          <w:numId w:val="3"/>
        </w:numPr>
        <w:spacing w:after="80" w:line="264"/>
      </w:pPr>
      <w:r>
        <w:rPr>
          <w:rFonts w:ascii="Calibri" w:cs="Calibri" w:eastAsia="Calibri" w:hAnsi="Calibri"/>
          <w:color w:val="262626"/>
          <w:sz w:val="21"/>
          <w:szCs w:val="21"/>
        </w:rPr>
        <w:t xml:space="preserve">Long documents are chunked and summarised rather than read end to end, so answers about a 300-page contract are built from retrieved passages. Expect excellent recall of relevant sections and imperfect recall of the whole.</w:t>
      </w:r>
    </w:p>
    <w:p>
      <w:pPr>
        <w:pStyle w:val="ListParagraph"/>
        <w:numPr>
          <w:ilvl w:val="0"/>
          <w:numId w:val="3"/>
        </w:numPr>
        <w:spacing w:after="80" w:line="264"/>
      </w:pPr>
      <w:r>
        <w:rPr>
          <w:rFonts w:ascii="Calibri" w:cs="Calibri" w:eastAsia="Calibri" w:hAnsi="Calibri"/>
          <w:color w:val="262626"/>
          <w:sz w:val="21"/>
          <w:szCs w:val="21"/>
        </w:rPr>
        <w:t xml:space="preserve">If a use case genuinely requires a guaranteed whole-document read with a known token budget, that is a legitimate signal for a custom build — and one of the few places where "the platform cannot do it" is objectively demonstrable.</w:t>
      </w:r>
    </w:p>
    <w:p>
      <w:pPr>
        <w:pStyle w:val="Heading2"/>
        <w:spacing w:after="120" w:before="280"/>
      </w:pPr>
      <w:r>
        <w:rPr>
          <w:rFonts w:ascii="Calibri" w:cs="Calibri" w:eastAsia="Calibri" w:hAnsi="Calibri"/>
          <w:b/>
          <w:bCs/>
          <w:color w:val="2E75B6"/>
          <w:sz w:val="25"/>
          <w:szCs w:val="25"/>
        </w:rPr>
        <w:t xml:space="preserve">9.4 Copilot Studio — published limits</w:t>
      </w:r>
    </w:p>
    <w:p>
      <w:pPr>
        <w:spacing w:after="120" w:before="0" w:line="264"/>
        <w:jc w:val="left"/>
      </w:pPr>
      <w:r>
        <w:rPr>
          <w:rFonts w:ascii="Calibri" w:cs="Calibri" w:eastAsia="Calibri" w:hAnsi="Calibri"/>
          <w:color w:val="262626"/>
          <w:sz w:val="21"/>
          <w:szCs w:val="21"/>
        </w:rPr>
        <w:t xml:space="preserve">These are the hard numbers most likely to shape an agent’s design. They are the most common cause of a team concluding "Copilot Studio is limiting" when the real problem is agent scope.</w:t>
      </w:r>
    </w:p>
    <w:p>
      <w:pPr>
        <w:spacing w:after="90" w:before="200"/>
      </w:pPr>
      <w:r>
        <w:rPr>
          <w:rFonts w:ascii="Calibri" w:cs="Calibri" w:eastAsia="Calibri" w:hAnsi="Calibri"/>
          <w:b/>
          <w:bCs/>
          <w:color w:val="1F3864"/>
          <w:sz w:val="19"/>
          <w:szCs w:val="19"/>
        </w:rPr>
        <w:t xml:space="preserve">Table 9.2 — Copilot Studio capability limits</w:t>
      </w:r>
    </w:p>
    <w:tbl>
      <w:tblPr>
        <w:tblW w:type="dxa" w:w="10080"/>
        <w:tblBorders>
          <w:top w:val="single" w:color="BFBFBF" w:sz="4"/>
          <w:left w:val="single" w:color="BFBFBF" w:sz="4"/>
          <w:bottom w:val="single" w:color="BFBFBF" w:sz="4"/>
          <w:right w:val="single" w:color="BFBFBF" w:sz="4"/>
          <w:insideH w:val="single" w:color="D9D9D9" w:sz="2"/>
          <w:insideV w:val="single" w:color="D9D9D9" w:sz="2"/>
        </w:tblBorders>
      </w:tblPr>
      <w:tblGrid>
        <w:gridCol w:w="4032"/>
        <w:gridCol w:w="6048"/>
      </w:tblGrid>
      <w:tr>
        <w:trPr>
          <w:tblHeader/>
        </w:trPr>
        <w:tc>
          <w:tcPr>
            <w:tcW w:type="dxa" w:w="4032"/>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Limit</w:t>
            </w:r>
          </w:p>
        </w:tc>
        <w:tc>
          <w:tcPr>
            <w:tcW w:type="dxa" w:w="6048"/>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Value</w:t>
            </w:r>
          </w:p>
        </w:tc>
      </w:tr>
      <w:tr>
        <w:trPr>
          <w:cantSplit/>
        </w:trPr>
        <w:tc>
          <w:tcPr>
            <w:tcW w:type="dxa" w:w="4032"/>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Instructions</w:t>
            </w:r>
          </w:p>
        </w:tc>
        <w:tc>
          <w:tcPr>
            <w:tcW w:type="dxa" w:w="6048"/>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8,000 characters</w:t>
            </w:r>
          </w:p>
        </w:tc>
      </w:tr>
      <w:tr>
        <w:trPr>
          <w:cantSplit/>
        </w:trPr>
        <w:tc>
          <w:tcPr>
            <w:tcW w:type="dxa" w:w="4032"/>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Knowledge sources per agent</w:t>
            </w:r>
          </w:p>
        </w:tc>
        <w:tc>
          <w:tcPr>
            <w:tcW w:type="dxa" w:w="6048"/>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500 across all types</w:t>
            </w:r>
          </w:p>
        </w:tc>
      </w:tr>
      <w:tr>
        <w:trPr>
          <w:cantSplit/>
        </w:trPr>
        <w:tc>
          <w:tcPr>
            <w:tcW w:type="dxa" w:w="4032"/>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Skills per agent</w:t>
            </w:r>
          </w:p>
        </w:tc>
        <w:tc>
          <w:tcPr>
            <w:tcW w:type="dxa" w:w="6048"/>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100</w:t>
            </w:r>
          </w:p>
        </w:tc>
      </w:tr>
      <w:tr>
        <w:trPr>
          <w:cantSplit/>
        </w:trPr>
        <w:tc>
          <w:tcPr>
            <w:tcW w:type="dxa" w:w="4032"/>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Topics per agent</w:t>
            </w:r>
          </w:p>
        </w:tc>
        <w:tc>
          <w:tcPr>
            <w:tcW w:type="dxa" w:w="6048"/>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1,000 (Dataverse environments); 250 (Dataverse for Teams)</w:t>
            </w:r>
          </w:p>
        </w:tc>
      </w:tr>
      <w:tr>
        <w:trPr>
          <w:cantSplit/>
        </w:trPr>
        <w:tc>
          <w:tcPr>
            <w:tcW w:type="dxa" w:w="4032"/>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Trigger phrases per topic</w:t>
            </w:r>
          </w:p>
        </w:tc>
        <w:tc>
          <w:tcPr>
            <w:tcW w:type="dxa" w:w="6048"/>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200</w:t>
            </w:r>
          </w:p>
        </w:tc>
      </w:tr>
      <w:tr>
        <w:trPr>
          <w:cantSplit/>
        </w:trPr>
        <w:tc>
          <w:tcPr>
            <w:tcW w:type="dxa" w:w="4032"/>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SharePoint sites per agent</w:t>
            </w:r>
          </w:p>
        </w:tc>
        <w:tc>
          <w:tcPr>
            <w:tcW w:type="dxa" w:w="6048"/>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25 (with generative orchestration)</w:t>
            </w:r>
          </w:p>
        </w:tc>
      </w:tr>
      <w:tr>
        <w:trPr>
          <w:cantSplit/>
        </w:trPr>
        <w:tc>
          <w:tcPr>
            <w:tcW w:type="dxa" w:w="4032"/>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SharePoint lists</w:t>
            </w:r>
          </w:p>
        </w:tc>
        <w:tc>
          <w:tcPr>
            <w:tcW w:type="dxa" w:w="6048"/>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15 lists; 35,000 rows per list; 120,000 rows total</w:t>
            </w:r>
          </w:p>
        </w:tc>
      </w:tr>
      <w:tr>
        <w:trPr>
          <w:cantSplit/>
        </w:trPr>
        <w:tc>
          <w:tcPr>
            <w:tcW w:type="dxa" w:w="4032"/>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File upload size</w:t>
            </w:r>
          </w:p>
        </w:tc>
        <w:tc>
          <w:tcPr>
            <w:tcW w:type="dxa" w:w="6048"/>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512 MB per file (7 MB without a Microsoft 365 Copilot licence)</w:t>
            </w:r>
          </w:p>
        </w:tc>
      </w:tr>
      <w:tr>
        <w:trPr>
          <w:cantSplit/>
        </w:trPr>
        <w:tc>
          <w:tcPr>
            <w:tcW w:type="dxa" w:w="4032"/>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Files uploaded</w:t>
            </w:r>
          </w:p>
        </w:tc>
        <w:tc>
          <w:tcPr>
            <w:tcW w:type="dxa" w:w="6048"/>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500</w:t>
            </w:r>
          </w:p>
        </w:tc>
      </w:tr>
      <w:tr>
        <w:trPr>
          <w:cantSplit/>
        </w:trPr>
        <w:tc>
          <w:tcPr>
            <w:tcW w:type="dxa" w:w="4032"/>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OneDrive / SharePoint upload scope</w:t>
            </w:r>
          </w:p>
        </w:tc>
        <w:tc>
          <w:tcPr>
            <w:tcW w:type="dxa" w:w="6048"/>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Up to 1,000 files, 50 folders, 10 subfolder levels</w:t>
            </w:r>
          </w:p>
        </w:tc>
      </w:tr>
      <w:tr>
        <w:trPr>
          <w:cantSplit/>
        </w:trPr>
        <w:tc>
          <w:tcPr>
            <w:tcW w:type="dxa" w:w="4032"/>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Dataverse knowledge sources</w:t>
            </w:r>
          </w:p>
        </w:tc>
        <w:tc>
          <w:tcPr>
            <w:tcW w:type="dxa" w:w="6048"/>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2 per agent; 15 tables per source</w:t>
            </w:r>
          </w:p>
        </w:tc>
      </w:tr>
      <w:tr>
        <w:trPr>
          <w:cantSplit/>
        </w:trPr>
        <w:tc>
          <w:tcPr>
            <w:tcW w:type="dxa" w:w="4032"/>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Connector payload</w:t>
            </w:r>
          </w:p>
        </w:tc>
        <w:tc>
          <w:tcPr>
            <w:tcW w:type="dxa" w:w="6048"/>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5 MB (450 KB for GCC)</w:t>
            </w:r>
          </w:p>
        </w:tc>
      </w:tr>
      <w:tr>
        <w:trPr>
          <w:cantSplit/>
        </w:trPr>
        <w:tc>
          <w:tcPr>
            <w:tcW w:type="dxa" w:w="4032"/>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Agents per team (Teams app)</w:t>
            </w:r>
          </w:p>
        </w:tc>
        <w:tc>
          <w:tcPr>
            <w:tcW w:type="dxa" w:w="6048"/>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50</w:t>
            </w:r>
          </w:p>
        </w:tc>
      </w:tr>
      <w:tr>
        <w:trPr>
          <w:cantSplit/>
        </w:trPr>
        <w:tc>
          <w:tcPr>
            <w:tcW w:type="dxa" w:w="4032"/>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Power Platform requests</w:t>
            </w:r>
          </w:p>
        </w:tc>
        <w:tc>
          <w:tcPr>
            <w:tcW w:type="dxa" w:w="6048"/>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250,000 per 24 hours (standard); 6,000 per 24 hours (Teams)</w:t>
            </w:r>
          </w:p>
        </w:tc>
      </w:tr>
      <w:tr>
        <w:trPr>
          <w:cantSplit/>
        </w:trPr>
        <w:tc>
          <w:tcPr>
            <w:tcW w:type="dxa" w:w="4032"/>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Knowledge sync frequency</w:t>
            </w:r>
          </w:p>
        </w:tc>
        <w:tc>
          <w:tcPr>
            <w:tcW w:type="dxa" w:w="6048"/>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Every 4–6 hours</w:t>
            </w:r>
          </w:p>
        </w:tc>
      </w:tr>
      <w:tr>
        <w:trPr>
          <w:cantSplit/>
        </w:trPr>
        <w:tc>
          <w:tcPr>
            <w:tcW w:type="dxa" w:w="4032"/>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Omnichannel channel-data message</w:t>
            </w:r>
          </w:p>
        </w:tc>
        <w:tc>
          <w:tcPr>
            <w:tcW w:type="dxa" w:w="6048"/>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28 KB (ACS channel)</w:t>
            </w:r>
          </w:p>
        </w:tc>
      </w:tr>
    </w:tbl>
    <w:p>
      <w:pPr>
        <w:spacing w:after="90" w:before="200"/>
      </w:pPr>
      <w:r>
        <w:rPr>
          <w:rFonts w:ascii="Calibri" w:cs="Calibri" w:eastAsia="Calibri" w:hAnsi="Calibri"/>
          <w:b/>
          <w:bCs/>
          <w:color w:val="1F3864"/>
          <w:sz w:val="19"/>
          <w:szCs w:val="19"/>
        </w:rPr>
        <w:t xml:space="preserve">Table 9.3 — Copilot Studio rate limits</w:t>
      </w:r>
    </w:p>
    <w:tbl>
      <w:tblPr>
        <w:tblW w:type="dxa" w:w="10080"/>
        <w:tblBorders>
          <w:top w:val="single" w:color="BFBFBF" w:sz="4"/>
          <w:left w:val="single" w:color="BFBFBF" w:sz="4"/>
          <w:bottom w:val="single" w:color="BFBFBF" w:sz="4"/>
          <w:right w:val="single" w:color="BFBFBF" w:sz="4"/>
          <w:insideH w:val="single" w:color="D9D9D9" w:sz="2"/>
          <w:insideV w:val="single" w:color="D9D9D9" w:sz="2"/>
        </w:tblBorders>
      </w:tblPr>
      <w:tblGrid>
        <w:gridCol w:w="4234"/>
        <w:gridCol w:w="2923"/>
        <w:gridCol w:w="2923"/>
      </w:tblGrid>
      <w:tr>
        <w:trPr>
          <w:tblHeader/>
        </w:trPr>
        <w:tc>
          <w:tcPr>
            <w:tcW w:type="dxa" w:w="4234"/>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Scope</w:t>
            </w:r>
          </w:p>
        </w:tc>
        <w:tc>
          <w:tcPr>
            <w:tcW w:type="dxa" w:w="2923"/>
            <w:shd w:fill="1F3864" w:val="clear"/>
            <w:tcMar>
              <w:top w:type="dxa" w:w="90"/>
              <w:left w:type="dxa" w:w="120"/>
              <w:bottom w:type="dxa" w:w="90"/>
              <w:right w:type="dxa" w:w="120"/>
            </w:tcMar>
            <w:vAlign w:val="center"/>
          </w:tcPr>
          <w:p>
            <w:pPr>
              <w:spacing w:after="40" w:before="40" w:line="252"/>
              <w:jc w:val="center"/>
            </w:pPr>
            <w:r>
              <w:rPr>
                <w:rFonts w:ascii="Calibri" w:cs="Calibri" w:eastAsia="Calibri" w:hAnsi="Calibri"/>
                <w:b/>
                <w:bCs/>
                <w:color w:val="FFFFFF"/>
                <w:sz w:val="19"/>
                <w:szCs w:val="19"/>
              </w:rPr>
              <w:t xml:space="preserve">Requests per minute</w:t>
            </w:r>
          </w:p>
        </w:tc>
        <w:tc>
          <w:tcPr>
            <w:tcW w:type="dxa" w:w="2923"/>
            <w:shd w:fill="1F3864" w:val="clear"/>
            <w:tcMar>
              <w:top w:type="dxa" w:w="90"/>
              <w:left w:type="dxa" w:w="120"/>
              <w:bottom w:type="dxa" w:w="90"/>
              <w:right w:type="dxa" w:w="120"/>
            </w:tcMar>
            <w:vAlign w:val="center"/>
          </w:tcPr>
          <w:p>
            <w:pPr>
              <w:spacing w:after="40" w:before="40" w:line="252"/>
              <w:jc w:val="center"/>
            </w:pPr>
            <w:r>
              <w:rPr>
                <w:rFonts w:ascii="Calibri" w:cs="Calibri" w:eastAsia="Calibri" w:hAnsi="Calibri"/>
                <w:b/>
                <w:bCs/>
                <w:color w:val="FFFFFF"/>
                <w:sz w:val="19"/>
                <w:szCs w:val="19"/>
              </w:rPr>
              <w:t xml:space="preserve">Requests per hour</w:t>
            </w:r>
          </w:p>
        </w:tc>
      </w:tr>
      <w:tr>
        <w:trPr>
          <w:cantSplit/>
        </w:trPr>
        <w:tc>
          <w:tcPr>
            <w:tcW w:type="dxa" w:w="4234"/>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Standard messages to agent</w:t>
            </w:r>
          </w:p>
        </w:tc>
        <w:tc>
          <w:tcPr>
            <w:tcW w:type="dxa" w:w="2923"/>
            <w:shd w:fill="F4F6F9"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8,000 per Dataverse environment</w:t>
            </w:r>
          </w:p>
        </w:tc>
        <w:tc>
          <w:tcPr>
            <w:tcW w:type="dxa" w:w="2923"/>
            <w:shd w:fill="F4F6F9"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w:t>
            </w:r>
          </w:p>
        </w:tc>
      </w:tr>
      <w:tr>
        <w:trPr>
          <w:cantSplit/>
        </w:trPr>
        <w:tc>
          <w:tcPr>
            <w:tcW w:type="dxa" w:w="4234"/>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Generative AI — trial / developer</w:t>
            </w:r>
          </w:p>
        </w:tc>
        <w:tc>
          <w:tcPr>
            <w:tcW w:type="dxa" w:w="2923"/>
            <w:shd w:fill="FFFFFF"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10</w:t>
            </w:r>
          </w:p>
        </w:tc>
        <w:tc>
          <w:tcPr>
            <w:tcW w:type="dxa" w:w="2923"/>
            <w:shd w:fill="FFFFFF"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200</w:t>
            </w:r>
          </w:p>
        </w:tc>
      </w:tr>
      <w:tr>
        <w:trPr>
          <w:cantSplit/>
        </w:trPr>
        <w:tc>
          <w:tcPr>
            <w:tcW w:type="dxa" w:w="4234"/>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Generative AI — pay-as-you-go</w:t>
            </w:r>
          </w:p>
        </w:tc>
        <w:tc>
          <w:tcPr>
            <w:tcW w:type="dxa" w:w="2923"/>
            <w:shd w:fill="F4F6F9"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100</w:t>
            </w:r>
          </w:p>
        </w:tc>
        <w:tc>
          <w:tcPr>
            <w:tcW w:type="dxa" w:w="2923"/>
            <w:shd w:fill="F4F6F9"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2,000</w:t>
            </w:r>
          </w:p>
        </w:tc>
      </w:tr>
      <w:tr>
        <w:trPr>
          <w:cantSplit/>
        </w:trPr>
        <w:tc>
          <w:tcPr>
            <w:tcW w:type="dxa" w:w="4234"/>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Generative AI — 1–10 prepaid packs</w:t>
            </w:r>
          </w:p>
        </w:tc>
        <w:tc>
          <w:tcPr>
            <w:tcW w:type="dxa" w:w="2923"/>
            <w:shd w:fill="FFFFFF"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50</w:t>
            </w:r>
          </w:p>
        </w:tc>
        <w:tc>
          <w:tcPr>
            <w:tcW w:type="dxa" w:w="2923"/>
            <w:shd w:fill="FFFFFF"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1,000</w:t>
            </w:r>
          </w:p>
        </w:tc>
      </w:tr>
      <w:tr>
        <w:trPr>
          <w:cantSplit/>
        </w:trPr>
        <w:tc>
          <w:tcPr>
            <w:tcW w:type="dxa" w:w="4234"/>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Generative AI — 11–50 prepaid packs</w:t>
            </w:r>
          </w:p>
        </w:tc>
        <w:tc>
          <w:tcPr>
            <w:tcW w:type="dxa" w:w="2923"/>
            <w:shd w:fill="F4F6F9"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80</w:t>
            </w:r>
          </w:p>
        </w:tc>
        <w:tc>
          <w:tcPr>
            <w:tcW w:type="dxa" w:w="2923"/>
            <w:shd w:fill="F4F6F9"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1,600</w:t>
            </w:r>
          </w:p>
        </w:tc>
      </w:tr>
      <w:tr>
        <w:trPr>
          <w:cantSplit/>
        </w:trPr>
        <w:tc>
          <w:tcPr>
            <w:tcW w:type="dxa" w:w="4234"/>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Generative AI — 51–150 prepaid packs</w:t>
            </w:r>
          </w:p>
        </w:tc>
        <w:tc>
          <w:tcPr>
            <w:tcW w:type="dxa" w:w="2923"/>
            <w:shd w:fill="FFFFFF"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100</w:t>
            </w:r>
          </w:p>
        </w:tc>
        <w:tc>
          <w:tcPr>
            <w:tcW w:type="dxa" w:w="2923"/>
            <w:shd w:fill="FFFFFF"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2,000</w:t>
            </w:r>
          </w:p>
        </w:tc>
      </w:tr>
      <w:tr>
        <w:trPr>
          <w:cantSplit/>
        </w:trPr>
        <w:tc>
          <w:tcPr>
            <w:tcW w:type="dxa" w:w="4234"/>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Generative AI — above 150 packs</w:t>
            </w:r>
          </w:p>
        </w:tc>
        <w:tc>
          <w:tcPr>
            <w:tcW w:type="dxa" w:w="2923"/>
            <w:shd w:fill="F4F6F9"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+1 per additional 10 packs</w:t>
            </w:r>
          </w:p>
        </w:tc>
        <w:tc>
          <w:tcPr>
            <w:tcW w:type="dxa" w:w="2923"/>
            <w:shd w:fill="F4F6F9"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+20 per additional 10 packs</w:t>
            </w:r>
          </w:p>
        </w:tc>
      </w:tr>
      <w:tr>
        <w:trPr>
          <w:cantSplit/>
        </w:trPr>
        <w:tc>
          <w:tcPr>
            <w:tcW w:type="dxa" w:w="4234"/>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Dataverse service protection (synchronous)</w:t>
            </w:r>
          </w:p>
        </w:tc>
        <w:tc>
          <w:tcPr>
            <w:tcW w:type="dxa" w:w="2923"/>
            <w:shd w:fill="FFFFFF"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60 requests per 60 seconds</w:t>
            </w:r>
          </w:p>
        </w:tc>
        <w:tc>
          <w:tcPr>
            <w:tcW w:type="dxa" w:w="2923"/>
            <w:shd w:fill="FFFFFF" w:val="clear"/>
            <w:tcMar>
              <w:top w:type="dxa" w:w="85"/>
              <w:left w:type="dxa" w:w="120"/>
              <w:bottom w:type="dxa" w:w="85"/>
              <w:right w:type="dxa" w:w="120"/>
            </w:tcMar>
          </w:tcPr>
          <w:p>
            <w:pPr>
              <w:spacing w:after="40" w:before="40" w:line="252"/>
              <w:jc w:val="center"/>
            </w:pPr>
            <w:r>
              <w:rPr>
                <w:rFonts w:ascii="Calibri" w:cs="Calibri" w:eastAsia="Calibri" w:hAnsi="Calibri"/>
                <w:b w:val="false"/>
                <w:bCs w:val="false"/>
                <w:color w:val="262626"/>
                <w:sz w:val="19"/>
                <w:szCs w:val="19"/>
              </w:rPr>
              <w:t xml:space="preserve">—</w:t>
            </w:r>
          </w:p>
        </w:tc>
      </w:tr>
    </w:tbl>
    <w:p>
      <w:pPr>
        <w:pStyle w:val="Heading2"/>
        <w:spacing w:after="120" w:before="280"/>
      </w:pPr>
      <w:r>
        <w:rPr>
          <w:rFonts w:ascii="Calibri" w:cs="Calibri" w:eastAsia="Calibri" w:hAnsi="Calibri"/>
          <w:b/>
          <w:bCs/>
          <w:color w:val="2E75B6"/>
          <w:sz w:val="25"/>
          <w:szCs w:val="25"/>
        </w:rPr>
        <w:t xml:space="preserve">9.5 Declarative agent manifest limits</w:t>
      </w:r>
    </w:p>
    <w:tbl>
      <w:tblPr>
        <w:tblW w:type="dxa" w:w="10080"/>
        <w:tblBorders>
          <w:top w:val="single" w:color="BFBFBF" w:sz="4"/>
          <w:left w:val="single" w:color="BFBFBF" w:sz="4"/>
          <w:bottom w:val="single" w:color="BFBFBF" w:sz="4"/>
          <w:right w:val="single" w:color="BFBFBF" w:sz="4"/>
          <w:insideH w:val="single" w:color="D9D9D9" w:sz="2"/>
          <w:insideV w:val="single" w:color="D9D9D9" w:sz="2"/>
        </w:tblBorders>
      </w:tblPr>
      <w:tblGrid>
        <w:gridCol w:w="4838"/>
        <w:gridCol w:w="5242"/>
      </w:tblGrid>
      <w:tr>
        <w:trPr>
          <w:tblHeader/>
        </w:trPr>
        <w:tc>
          <w:tcPr>
            <w:tcW w:type="dxa" w:w="4838"/>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Property</w:t>
            </w:r>
          </w:p>
        </w:tc>
        <w:tc>
          <w:tcPr>
            <w:tcW w:type="dxa" w:w="5242"/>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Limit</w:t>
            </w:r>
          </w:p>
        </w:tc>
      </w:tr>
      <w:tr>
        <w:trPr>
          <w:cantSplit/>
        </w:trPr>
        <w:tc>
          <w:tcPr>
            <w:tcW w:type="dxa" w:w="4838"/>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name</w:t>
            </w:r>
          </w:p>
        </w:tc>
        <w:tc>
          <w:tcPr>
            <w:tcW w:type="dxa" w:w="5242"/>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100 characters</w:t>
            </w:r>
          </w:p>
        </w:tc>
      </w:tr>
      <w:tr>
        <w:trPr>
          <w:cantSplit/>
        </w:trPr>
        <w:tc>
          <w:tcPr>
            <w:tcW w:type="dxa" w:w="4838"/>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description</w:t>
            </w:r>
          </w:p>
        </w:tc>
        <w:tc>
          <w:tcPr>
            <w:tcW w:type="dxa" w:w="5242"/>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1,000 characters</w:t>
            </w:r>
          </w:p>
        </w:tc>
      </w:tr>
      <w:tr>
        <w:trPr>
          <w:cantSplit/>
        </w:trPr>
        <w:tc>
          <w:tcPr>
            <w:tcW w:type="dxa" w:w="4838"/>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instructions</w:t>
            </w:r>
          </w:p>
        </w:tc>
        <w:tc>
          <w:tcPr>
            <w:tcW w:type="dxa" w:w="5242"/>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8,000 characters</w:t>
            </w:r>
          </w:p>
        </w:tc>
      </w:tr>
      <w:tr>
        <w:trPr>
          <w:cantSplit/>
        </w:trPr>
        <w:tc>
          <w:tcPr>
            <w:tcW w:type="dxa" w:w="4838"/>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All other string properties (default)</w:t>
            </w:r>
          </w:p>
        </w:tc>
        <w:tc>
          <w:tcPr>
            <w:tcW w:type="dxa" w:w="5242"/>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4,000 characters</w:t>
            </w:r>
          </w:p>
        </w:tc>
      </w:tr>
      <w:tr>
        <w:trPr>
          <w:cantSplit/>
        </w:trPr>
        <w:tc>
          <w:tcPr>
            <w:tcW w:type="dxa" w:w="4838"/>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disclaimer text</w:t>
            </w:r>
          </w:p>
        </w:tc>
        <w:tc>
          <w:tcPr>
            <w:tcW w:type="dxa" w:w="5242"/>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500 characters</w:t>
            </w:r>
          </w:p>
        </w:tc>
      </w:tr>
      <w:tr>
        <w:trPr>
          <w:cantSplit/>
        </w:trPr>
        <w:tc>
          <w:tcPr>
            <w:tcW w:type="dxa" w:w="4838"/>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conversation_starters</w:t>
            </w:r>
          </w:p>
        </w:tc>
        <w:tc>
          <w:tcPr>
            <w:tcW w:type="dxa" w:w="5242"/>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Maximum 12</w:t>
            </w:r>
          </w:p>
        </w:tc>
      </w:tr>
      <w:tr>
        <w:trPr>
          <w:cantSplit/>
        </w:trPr>
        <w:tc>
          <w:tcPr>
            <w:tcW w:type="dxa" w:w="4838"/>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Web search sites</w:t>
            </w:r>
          </w:p>
        </w:tc>
        <w:tc>
          <w:tcPr>
            <w:tcW w:type="dxa" w:w="5242"/>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Maximum 4; at most 2 URL path segments; no query parameters</w:t>
            </w:r>
          </w:p>
        </w:tc>
      </w:tr>
      <w:tr>
        <w:trPr>
          <w:cantSplit/>
        </w:trPr>
        <w:tc>
          <w:tcPr>
            <w:tcW w:type="dxa" w:w="4838"/>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Teams messages URLs</w:t>
            </w:r>
          </w:p>
        </w:tc>
        <w:tc>
          <w:tcPr>
            <w:tcW w:type="dxa" w:w="5242"/>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Maximum 5</w:t>
            </w:r>
          </w:p>
        </w:tc>
      </w:tr>
    </w:tbl>
    <w:p>
      <w:pPr>
        <w:spacing w:after="160" w:before="60"/>
      </w:pPr>
      <w:r>
        <w:rPr>
          <w:rFonts w:ascii="Calibri" w:cs="Calibri" w:eastAsia="Calibri" w:hAnsi="Calibri"/>
          <w:i/>
          <w:iCs/>
          <w:color w:val="595959"/>
          <w:sz w:val="18"/>
          <w:szCs w:val="18"/>
        </w:rPr>
        <w:t xml:space="preserve">Declarative agent manifest schema v1.5, verified 3 October 2026.</w:t>
      </w:r>
    </w:p>
    <w:p>
      <w:pPr>
        <w:pStyle w:val="Heading2"/>
        <w:spacing w:after="120" w:before="280"/>
      </w:pPr>
      <w:r>
        <w:rPr>
          <w:rFonts w:ascii="Calibri" w:cs="Calibri" w:eastAsia="Calibri" w:hAnsi="Calibri"/>
          <w:b/>
          <w:bCs/>
          <w:color w:val="2E75B6"/>
          <w:sz w:val="25"/>
          <w:szCs w:val="25"/>
        </w:rPr>
        <w:t xml:space="preserve">9.6 What to do with these numbers</w:t>
      </w:r>
    </w:p>
    <w:p>
      <w:pPr>
        <w:pStyle w:val="ListParagraph"/>
        <w:numPr>
          <w:ilvl w:val="0"/>
          <w:numId w:val="8"/>
        </w:numPr>
        <w:spacing w:after="80" w:line="264"/>
      </w:pPr>
      <w:r>
        <w:rPr>
          <w:rFonts w:ascii="Calibri" w:cs="Calibri" w:eastAsia="Calibri" w:hAnsi="Calibri"/>
          <w:color w:val="262626"/>
          <w:sz w:val="21"/>
          <w:szCs w:val="21"/>
        </w:rPr>
        <w:t xml:space="preserve">Treat the 8,000-character instruction limit as the design budget for agent behaviour. If you cannot express the agent in 8,000 characters, the scope is too wide — split it.</w:t>
      </w:r>
    </w:p>
    <w:p>
      <w:pPr>
        <w:pStyle w:val="ListParagraph"/>
        <w:numPr>
          <w:ilvl w:val="0"/>
          <w:numId w:val="8"/>
        </w:numPr>
        <w:spacing w:after="80" w:line="264"/>
      </w:pPr>
      <w:r>
        <w:rPr>
          <w:rFonts w:ascii="Calibri" w:cs="Calibri" w:eastAsia="Calibri" w:hAnsi="Calibri"/>
          <w:color w:val="262626"/>
          <w:sz w:val="21"/>
          <w:szCs w:val="21"/>
        </w:rPr>
        <w:t xml:space="preserve">Treat 25 SharePoint sites as a precision budget, not a target. An agent grounded in 3 well-chosen sites will outperform one grounded in 25.</w:t>
      </w:r>
    </w:p>
    <w:p>
      <w:pPr>
        <w:pStyle w:val="ListParagraph"/>
        <w:numPr>
          <w:ilvl w:val="0"/>
          <w:numId w:val="8"/>
        </w:numPr>
        <w:spacing w:after="80" w:line="264"/>
      </w:pPr>
      <w:r>
        <w:rPr>
          <w:rFonts w:ascii="Calibri" w:cs="Calibri" w:eastAsia="Calibri" w:hAnsi="Calibri"/>
          <w:color w:val="262626"/>
          <w:sz w:val="21"/>
          <w:szCs w:val="21"/>
        </w:rPr>
        <w:t xml:space="preserve">Treat the 4–6 hour knowledge sync as a correctness constraint. Any agent whose answers must reflect a change made in the last hour needs a live action, not a knowledge source.</w:t>
      </w:r>
    </w:p>
    <w:p>
      <w:pPr>
        <w:pStyle w:val="ListParagraph"/>
        <w:numPr>
          <w:ilvl w:val="0"/>
          <w:numId w:val="8"/>
        </w:numPr>
        <w:spacing w:after="80" w:line="264"/>
      </w:pPr>
      <w:r>
        <w:rPr>
          <w:rFonts w:ascii="Calibri" w:cs="Calibri" w:eastAsia="Calibri" w:hAnsi="Calibri"/>
          <w:color w:val="262626"/>
          <w:sz w:val="21"/>
          <w:szCs w:val="21"/>
        </w:rPr>
        <w:t xml:space="preserve">Treat rate limits as a procurement dependency and size them from measured pilot data before go-live.</w:t>
      </w:r>
    </w:p>
    <w:p>
      <w:pPr>
        <w:pStyle w:val="Heading1"/>
        <w:pageBreakBefore/>
        <w:pBdr>
          <w:bottom w:val="single" w:color="2E75B6" w:sz="12" w:space="6"/>
        </w:pBdr>
        <w:spacing w:after="200" w:before="0"/>
      </w:pPr>
      <w:r>
        <w:rPr>
          <w:rFonts w:ascii="Calibri" w:cs="Calibri" w:eastAsia="Calibri" w:hAnsi="Calibri"/>
          <w:b/>
          <w:bCs/>
          <w:color w:val="1F3864"/>
          <w:sz w:val="32"/>
          <w:szCs w:val="32"/>
        </w:rPr>
        <w:t xml:space="preserve">10. Do’s and don’ts</w:t>
      </w:r>
    </w:p>
    <w:p>
      <w:pPr>
        <w:spacing w:after="120" w:before="0" w:line="264"/>
        <w:jc w:val="left"/>
      </w:pPr>
      <w:r>
        <w:rPr>
          <w:rFonts w:ascii="Calibri" w:cs="Calibri" w:eastAsia="Calibri" w:hAnsi="Calibri"/>
          <w:color w:val="262626"/>
          <w:sz w:val="21"/>
          <w:szCs w:val="21"/>
        </w:rPr>
        <w:t xml:space="preserve">This section is the operating standard. Each table pairs a practice with the failure it prevents. Where a rule exists because of a published limit or a documented security warning, that is noted.</w:t>
      </w:r>
    </w:p>
    <w:p>
      <w:pPr>
        <w:pStyle w:val="Heading2"/>
        <w:spacing w:after="120" w:before="280"/>
      </w:pPr>
      <w:r>
        <w:rPr>
          <w:rFonts w:ascii="Calibri" w:cs="Calibri" w:eastAsia="Calibri" w:hAnsi="Calibri"/>
          <w:b/>
          <w:bCs/>
          <w:color w:val="2E75B6"/>
          <w:sz w:val="25"/>
          <w:szCs w:val="25"/>
        </w:rPr>
        <w:t xml:space="preserve">10.1 Choosing what to build</w:t>
      </w:r>
    </w:p>
    <w:tbl>
      <w:tblPr>
        <w:tblW w:type="dxa" w:w="10080"/>
        <w:tblBorders>
          <w:top w:val="single" w:color="BFBFBF" w:sz="4"/>
          <w:left w:val="single" w:color="BFBFBF" w:sz="4"/>
          <w:bottom w:val="single" w:color="BFBFBF" w:sz="4"/>
          <w:right w:val="single" w:color="BFBFBF" w:sz="4"/>
          <w:insideH w:val="single" w:color="D9D9D9" w:sz="2"/>
          <w:insideV w:val="single" w:color="D9D9D9" w:sz="2"/>
        </w:tblBorders>
      </w:tblPr>
      <w:tblGrid>
        <w:gridCol w:w="5040"/>
        <w:gridCol w:w="5040"/>
      </w:tblGrid>
      <w:tr>
        <w:trPr>
          <w:tblHeader/>
        </w:trPr>
        <w:tc>
          <w:tcPr>
            <w:tcW w:type="dxa" w:w="5040"/>
            <w:shd w:fill="2E75B6"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Do</w:t>
            </w:r>
          </w:p>
        </w:tc>
        <w:tc>
          <w:tcPr>
            <w:tcW w:type="dxa" w:w="5040"/>
            <w:shd w:fill="2E75B6"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Don’t</w:t>
            </w:r>
          </w:p>
        </w:tc>
      </w:tr>
      <w:tr>
        <w:trPr>
          <w:cantSplit/>
        </w:trPr>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color w:val="262626"/>
                <w:sz w:val="19"/>
                <w:szCs w:val="19"/>
              </w:rPr>
              <w:t xml:space="preserve">Prove Microsoft 365 Copilot cannot already do it before approving any build.</w:t>
            </w:r>
          </w:p>
        </w:tc>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Approve a build because the requester said "we need an agent". That is a request for an outcome, not a design.</w:t>
            </w:r>
          </w:p>
        </w:tc>
      </w:tr>
      <w:tr>
        <w:trPr>
          <w:cantSplit/>
        </w:trPr>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color w:val="262626"/>
                <w:sz w:val="19"/>
                <w:szCs w:val="19"/>
              </w:rPr>
              <w:t xml:space="preserve">Start at the lowest rung on the ladder and climb only when a named requirement forces it.</w:t>
            </w:r>
          </w:p>
        </w:tc>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Start with a custom build because it feels more serious or more interesting.</w:t>
            </w:r>
          </w:p>
        </w:tc>
      </w:tr>
      <w:tr>
        <w:trPr>
          <w:cantSplit/>
        </w:trPr>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color w:val="262626"/>
                <w:sz w:val="19"/>
                <w:szCs w:val="19"/>
              </w:rPr>
              <w:t xml:space="preserve">Write the one-sentence scope statement from Section 3.5 and get it agreed before building.</w:t>
            </w:r>
          </w:p>
        </w:tc>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Build an agent that does several unrelated jobs. It will be worse at all of them.</w:t>
            </w:r>
          </w:p>
        </w:tc>
      </w:tr>
      <w:tr>
        <w:trPr>
          <w:cantSplit/>
        </w:trPr>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color w:val="262626"/>
                <w:sz w:val="19"/>
                <w:szCs w:val="19"/>
              </w:rPr>
              <w:t xml:space="preserve">Record the specific requirement that ruled out the simpler option.</w:t>
            </w:r>
          </w:p>
        </w:tc>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Let "more flexibility" or "full control" stand as a justification without naming the missing capability.</w:t>
            </w:r>
          </w:p>
        </w:tc>
      </w:tr>
      <w:tr>
        <w:trPr>
          <w:cantSplit/>
        </w:trPr>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color w:val="262626"/>
                <w:sz w:val="19"/>
                <w:szCs w:val="19"/>
              </w:rPr>
              <w:t xml:space="preserve">Prefer a deterministic workflow when the task is deterministic.</w:t>
            </w:r>
          </w:p>
        </w:tc>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Use a language model to decide something a rule could decide more cheaply and more reliably.</w:t>
            </w:r>
          </w:p>
        </w:tc>
      </w:tr>
      <w:tr>
        <w:trPr>
          <w:cantSplit/>
        </w:trPr>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color w:val="262626"/>
                <w:sz w:val="19"/>
                <w:szCs w:val="19"/>
              </w:rPr>
              <w:t xml:space="preserve">Revisit the decision when the platform ships new capability — quarterly is about right.</w:t>
            </w:r>
          </w:p>
        </w:tc>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Treat a build-vs-buy decision made 18 months ago as settled. This market moves faster than that.</w:t>
            </w:r>
          </w:p>
        </w:tc>
      </w:tr>
    </w:tbl>
    <w:p>
      <w:pPr>
        <w:pStyle w:val="Heading2"/>
        <w:spacing w:after="120" w:before="280"/>
      </w:pPr>
      <w:r>
        <w:rPr>
          <w:rFonts w:ascii="Calibri" w:cs="Calibri" w:eastAsia="Calibri" w:hAnsi="Calibri"/>
          <w:b/>
          <w:bCs/>
          <w:color w:val="2E75B6"/>
          <w:sz w:val="25"/>
          <w:szCs w:val="25"/>
        </w:rPr>
        <w:t xml:space="preserve">10.2 Designing the agent</w:t>
      </w:r>
    </w:p>
    <w:tbl>
      <w:tblPr>
        <w:tblW w:type="dxa" w:w="10080"/>
        <w:tblBorders>
          <w:top w:val="single" w:color="BFBFBF" w:sz="4"/>
          <w:left w:val="single" w:color="BFBFBF" w:sz="4"/>
          <w:bottom w:val="single" w:color="BFBFBF" w:sz="4"/>
          <w:right w:val="single" w:color="BFBFBF" w:sz="4"/>
          <w:insideH w:val="single" w:color="D9D9D9" w:sz="2"/>
          <w:insideV w:val="single" w:color="D9D9D9" w:sz="2"/>
        </w:tblBorders>
      </w:tblPr>
      <w:tblGrid>
        <w:gridCol w:w="5040"/>
        <w:gridCol w:w="5040"/>
      </w:tblGrid>
      <w:tr>
        <w:trPr>
          <w:tblHeader/>
        </w:trPr>
        <w:tc>
          <w:tcPr>
            <w:tcW w:type="dxa" w:w="5040"/>
            <w:shd w:fill="2E75B6"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Do</w:t>
            </w:r>
          </w:p>
        </w:tc>
        <w:tc>
          <w:tcPr>
            <w:tcW w:type="dxa" w:w="5040"/>
            <w:shd w:fill="2E75B6"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Don’t</w:t>
            </w:r>
          </w:p>
        </w:tc>
      </w:tr>
      <w:tr>
        <w:trPr>
          <w:cantSplit/>
        </w:trPr>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color w:val="262626"/>
                <w:sz w:val="19"/>
                <w:szCs w:val="19"/>
              </w:rPr>
              <w:t xml:space="preserve">Give the agent one job, one audience, and an explicit boundary of what it must refuse.</w:t>
            </w:r>
          </w:p>
        </w:tc>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Write instructions that try to anticipate every possible question.</w:t>
            </w:r>
          </w:p>
        </w:tc>
      </w:tr>
      <w:tr>
        <w:trPr>
          <w:cantSplit/>
        </w:trPr>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color w:val="262626"/>
                <w:sz w:val="19"/>
                <w:szCs w:val="19"/>
              </w:rPr>
              <w:t xml:space="preserve">Spend the instruction budget on boundaries, refusal conditions, output format and tone.</w:t>
            </w:r>
          </w:p>
        </w:tc>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Spend it explaining general knowledge the model already has.</w:t>
            </w:r>
          </w:p>
        </w:tc>
      </w:tr>
      <w:tr>
        <w:trPr>
          <w:cantSplit/>
        </w:trPr>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color w:val="262626"/>
                <w:sz w:val="19"/>
                <w:szCs w:val="19"/>
              </w:rPr>
              <w:t xml:space="preserve">Push deterministic steps into flows, functions or tools that are independently testable.</w:t>
            </w:r>
          </w:p>
        </w:tc>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Describe a multi-step procedure in prose and hope the model follows it identically every time.</w:t>
            </w:r>
          </w:p>
        </w:tc>
      </w:tr>
      <w:tr>
        <w:trPr>
          <w:cantSplit/>
        </w:trPr>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color w:val="262626"/>
                <w:sz w:val="19"/>
                <w:szCs w:val="19"/>
              </w:rPr>
              <w:t xml:space="preserve">Design the human handoff as a first-class path with a clear trigger.</w:t>
            </w:r>
          </w:p>
        </w:tc>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Treat escalation as an error case. Agents that cannot hand off produce the worst outcomes.</w:t>
            </w:r>
          </w:p>
        </w:tc>
      </w:tr>
      <w:tr>
        <w:trPr>
          <w:cantSplit/>
        </w:trPr>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color w:val="262626"/>
                <w:sz w:val="19"/>
                <w:szCs w:val="19"/>
              </w:rPr>
              <w:t xml:space="preserve">Make the agent say what it does not know, and cite where its answers came from.</w:t>
            </w:r>
          </w:p>
        </w:tc>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Let it answer confidently from thin retrieval. An unsourced wrong answer is worse than no answer.</w:t>
            </w:r>
          </w:p>
        </w:tc>
      </w:tr>
      <w:tr>
        <w:trPr>
          <w:cantSplit/>
        </w:trPr>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color w:val="262626"/>
                <w:sz w:val="19"/>
                <w:szCs w:val="19"/>
              </w:rPr>
              <w:t xml:space="preserve">Version the agent definition in source control, even for no-code agents.</w:t>
            </w:r>
          </w:p>
        </w:tc>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Let an agent live only in a UI with no history of who changed what, or why.</w:t>
            </w:r>
          </w:p>
        </w:tc>
      </w:tr>
    </w:tbl>
    <w:p>
      <w:pPr>
        <w:pStyle w:val="Heading2"/>
        <w:spacing w:after="120" w:before="280"/>
      </w:pPr>
      <w:r>
        <w:rPr>
          <w:rFonts w:ascii="Calibri" w:cs="Calibri" w:eastAsia="Calibri" w:hAnsi="Calibri"/>
          <w:b/>
          <w:bCs/>
          <w:color w:val="2E75B6"/>
          <w:sz w:val="25"/>
          <w:szCs w:val="25"/>
        </w:rPr>
        <w:t xml:space="preserve">10.3 Grounding and retrieval</w:t>
      </w:r>
    </w:p>
    <w:tbl>
      <w:tblPr>
        <w:tblW w:type="dxa" w:w="10080"/>
        <w:tblBorders>
          <w:top w:val="single" w:color="BFBFBF" w:sz="4"/>
          <w:left w:val="single" w:color="BFBFBF" w:sz="4"/>
          <w:bottom w:val="single" w:color="BFBFBF" w:sz="4"/>
          <w:right w:val="single" w:color="BFBFBF" w:sz="4"/>
          <w:insideH w:val="single" w:color="D9D9D9" w:sz="2"/>
          <w:insideV w:val="single" w:color="D9D9D9" w:sz="2"/>
        </w:tblBorders>
      </w:tblPr>
      <w:tblGrid>
        <w:gridCol w:w="5040"/>
        <w:gridCol w:w="5040"/>
      </w:tblGrid>
      <w:tr>
        <w:trPr>
          <w:tblHeader/>
        </w:trPr>
        <w:tc>
          <w:tcPr>
            <w:tcW w:type="dxa" w:w="5040"/>
            <w:shd w:fill="2E75B6"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Do</w:t>
            </w:r>
          </w:p>
        </w:tc>
        <w:tc>
          <w:tcPr>
            <w:tcW w:type="dxa" w:w="5040"/>
            <w:shd w:fill="2E75B6"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Don’t</w:t>
            </w:r>
          </w:p>
        </w:tc>
      </w:tr>
      <w:tr>
        <w:trPr>
          <w:cantSplit/>
        </w:trPr>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color w:val="262626"/>
                <w:sz w:val="19"/>
                <w:szCs w:val="19"/>
              </w:rPr>
              <w:t xml:space="preserve">Point at specific sites, libraries and tables. Precision beats volume.</w:t>
            </w:r>
          </w:p>
        </w:tc>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Point the agent at the whole tenant and expect retrieval to sort it out.</w:t>
            </w:r>
          </w:p>
        </w:tc>
      </w:tr>
      <w:tr>
        <w:trPr>
          <w:cantSplit/>
        </w:trPr>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color w:val="262626"/>
                <w:sz w:val="19"/>
                <w:szCs w:val="19"/>
              </w:rPr>
              <w:t xml:space="preserve">Fix the underlying content before blaming the model — deduplicate, archive, and label.</w:t>
            </w:r>
          </w:p>
        </w:tc>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Build an agent on top of a document estate nobody has curated in three years.</w:t>
            </w:r>
          </w:p>
        </w:tc>
      </w:tr>
      <w:tr>
        <w:trPr>
          <w:cantSplit/>
        </w:trPr>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color w:val="262626"/>
                <w:sz w:val="19"/>
                <w:szCs w:val="19"/>
              </w:rPr>
              <w:t xml:space="preserve">Account for the 4–6 hour knowledge sync when answers must be current.</w:t>
            </w:r>
          </w:p>
        </w:tc>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Use a knowledge source for data that changes hourly. Use a live action instead.</w:t>
            </w:r>
          </w:p>
        </w:tc>
      </w:tr>
      <w:tr>
        <w:trPr>
          <w:cantSplit/>
        </w:trPr>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color w:val="262626"/>
                <w:sz w:val="19"/>
                <w:szCs w:val="19"/>
              </w:rPr>
              <w:t xml:space="preserve">Run a permissions review before switching an agent on for a department.</w:t>
            </w:r>
          </w:p>
        </w:tc>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Discover over-permissioned SharePoint sites through an agent surfacing them to the wrong people.</w:t>
            </w:r>
          </w:p>
        </w:tc>
      </w:tr>
      <w:tr>
        <w:trPr>
          <w:cantSplit/>
        </w:trPr>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color w:val="262626"/>
                <w:sz w:val="19"/>
                <w:szCs w:val="19"/>
              </w:rPr>
              <w:t xml:space="preserve">Keep a golden set of questions with known-correct answers and test retrieval against it.</w:t>
            </w:r>
          </w:p>
        </w:tc>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Assess retrieval quality by asking the agent a few questions and feeling satisfied.</w:t>
            </w:r>
          </w:p>
        </w:tc>
      </w:tr>
      <w:tr>
        <w:trPr>
          <w:cantSplit/>
        </w:trPr>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color w:val="262626"/>
                <w:sz w:val="19"/>
                <w:szCs w:val="19"/>
              </w:rPr>
              <w:t xml:space="preserve">Curate external web sources deliberately — the limit is four sites for a reason.</w:t>
            </w:r>
          </w:p>
        </w:tc>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Let an internal-policy agent answer from the open web.</w:t>
            </w:r>
          </w:p>
        </w:tc>
      </w:tr>
    </w:tbl>
    <w:p>
      <w:pPr>
        <w:pStyle w:val="Heading2"/>
        <w:spacing w:after="120" w:before="280"/>
      </w:pPr>
      <w:r>
        <w:rPr>
          <w:rFonts w:ascii="Calibri" w:cs="Calibri" w:eastAsia="Calibri" w:hAnsi="Calibri"/>
          <w:b/>
          <w:bCs/>
          <w:color w:val="2E75B6"/>
          <w:sz w:val="25"/>
          <w:szCs w:val="25"/>
        </w:rPr>
        <w:t xml:space="preserve">10.4 Instructions, skills and custom agents (GitHub Copilot)</w:t>
      </w:r>
    </w:p>
    <w:tbl>
      <w:tblPr>
        <w:tblW w:type="dxa" w:w="10080"/>
        <w:tblBorders>
          <w:top w:val="single" w:color="BFBFBF" w:sz="4"/>
          <w:left w:val="single" w:color="BFBFBF" w:sz="4"/>
          <w:bottom w:val="single" w:color="BFBFBF" w:sz="4"/>
          <w:right w:val="single" w:color="BFBFBF" w:sz="4"/>
          <w:insideH w:val="single" w:color="D9D9D9" w:sz="2"/>
          <w:insideV w:val="single" w:color="D9D9D9" w:sz="2"/>
        </w:tblBorders>
      </w:tblPr>
      <w:tblGrid>
        <w:gridCol w:w="5040"/>
        <w:gridCol w:w="5040"/>
      </w:tblGrid>
      <w:tr>
        <w:trPr>
          <w:tblHeader/>
        </w:trPr>
        <w:tc>
          <w:tcPr>
            <w:tcW w:type="dxa" w:w="5040"/>
            <w:shd w:fill="2E75B6"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Do</w:t>
            </w:r>
          </w:p>
        </w:tc>
        <w:tc>
          <w:tcPr>
            <w:tcW w:type="dxa" w:w="5040"/>
            <w:shd w:fill="2E75B6"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Don’t</w:t>
            </w:r>
          </w:p>
        </w:tc>
      </w:tr>
      <w:tr>
        <w:trPr>
          <w:cantSplit/>
        </w:trPr>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color w:val="262626"/>
                <w:sz w:val="19"/>
                <w:szCs w:val="19"/>
              </w:rPr>
              <w:t xml:space="preserve">Keep always-on custom instructions short — roughly fifty lines of genuinely universal rules.</w:t>
            </w:r>
          </w:p>
        </w:tc>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Paste a full coding standard into custom instructions; it burns context on every single request.</w:t>
            </w:r>
          </w:p>
        </w:tc>
      </w:tr>
      <w:tr>
        <w:trPr>
          <w:cantSplit/>
        </w:trPr>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color w:val="262626"/>
                <w:sz w:val="19"/>
                <w:szCs w:val="19"/>
              </w:rPr>
              <w:t xml:space="preserve">Write the skill description first, and make it state precisely when the skill applies.</w:t>
            </w:r>
          </w:p>
        </w:tc>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Write a vague description. A skill that does not match clearly simply never loads.</w:t>
            </w:r>
          </w:p>
        </w:tc>
      </w:tr>
      <w:tr>
        <w:trPr>
          <w:cantSplit/>
        </w:trPr>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color w:val="262626"/>
                <w:sz w:val="19"/>
                <w:szCs w:val="19"/>
              </w:rPr>
              <w:t xml:space="preserve">Use skills for detailed procedures that apply only in specific situations.</w:t>
            </w:r>
          </w:p>
        </w:tc>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Use skills for things that apply to every task — those belong in instructions.</w:t>
            </w:r>
          </w:p>
        </w:tc>
      </w:tr>
      <w:tr>
        <w:trPr>
          <w:cantSplit/>
        </w:trPr>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color w:val="262626"/>
                <w:sz w:val="19"/>
                <w:szCs w:val="19"/>
              </w:rPr>
              <w:t xml:space="preserve">Promote shared standards to the organisation-level .github repository so they are written once.</w:t>
            </w:r>
          </w:p>
        </w:tc>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Let six teams maintain six divergent copies of the same review checklist.</w:t>
            </w:r>
          </w:p>
        </w:tc>
      </w:tr>
      <w:tr>
        <w:trPr>
          <w:cantSplit/>
        </w:trPr>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color w:val="262626"/>
                <w:sz w:val="19"/>
                <w:szCs w:val="19"/>
              </w:rPr>
              <w:t xml:space="preserve">Create custom agents last, bundling skills and tools that have already proven themselves.</w:t>
            </w:r>
          </w:p>
        </w:tc>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Create a custom agent per developer preference. Agents encode team standards, not personal taste.</w:t>
            </w:r>
          </w:p>
        </w:tc>
      </w:tr>
      <w:tr>
        <w:trPr>
          <w:cantSplit/>
        </w:trPr>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color w:val="262626"/>
                <w:sz w:val="19"/>
                <w:szCs w:val="19"/>
              </w:rPr>
              <w:t xml:space="preserve">Put all agent and skill files under CODEOWNERS review.</w:t>
            </w:r>
          </w:p>
        </w:tc>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Let anyone merge a change to a file that steers automated edits to production code.</w:t>
            </w:r>
          </w:p>
        </w:tc>
      </w:tr>
    </w:tbl>
    <w:p>
      <w:pPr>
        <w:pStyle w:val="Heading2"/>
        <w:spacing w:after="120" w:before="280"/>
      </w:pPr>
      <w:r>
        <w:rPr>
          <w:rFonts w:ascii="Calibri" w:cs="Calibri" w:eastAsia="Calibri" w:hAnsi="Calibri"/>
          <w:b/>
          <w:bCs/>
          <w:color w:val="2E75B6"/>
          <w:sz w:val="25"/>
          <w:szCs w:val="25"/>
        </w:rPr>
        <w:t xml:space="preserve">10.5 Tools, actions and MCP</w:t>
      </w:r>
    </w:p>
    <w:tbl>
      <w:tblPr>
        <w:tblW w:type="dxa" w:w="10080"/>
        <w:tblBorders>
          <w:top w:val="single" w:color="BFBFBF" w:sz="4"/>
          <w:left w:val="single" w:color="BFBFBF" w:sz="4"/>
          <w:bottom w:val="single" w:color="BFBFBF" w:sz="4"/>
          <w:right w:val="single" w:color="BFBFBF" w:sz="4"/>
          <w:insideH w:val="single" w:color="D9D9D9" w:sz="2"/>
          <w:insideV w:val="single" w:color="D9D9D9" w:sz="2"/>
        </w:tblBorders>
      </w:tblPr>
      <w:tblGrid>
        <w:gridCol w:w="5040"/>
        <w:gridCol w:w="5040"/>
      </w:tblGrid>
      <w:tr>
        <w:trPr>
          <w:tblHeader/>
        </w:trPr>
        <w:tc>
          <w:tcPr>
            <w:tcW w:type="dxa" w:w="5040"/>
            <w:shd w:fill="2E75B6"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Do</w:t>
            </w:r>
          </w:p>
        </w:tc>
        <w:tc>
          <w:tcPr>
            <w:tcW w:type="dxa" w:w="5040"/>
            <w:shd w:fill="2E75B6"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Don’t</w:t>
            </w:r>
          </w:p>
        </w:tc>
      </w:tr>
      <w:tr>
        <w:trPr>
          <w:cantSplit/>
        </w:trPr>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color w:val="262626"/>
                <w:sz w:val="19"/>
                <w:szCs w:val="19"/>
              </w:rPr>
              <w:t xml:space="preserve">Give each tool a narrow, typed interface and the minimum permission it needs.</w:t>
            </w:r>
          </w:p>
        </w:tc>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Expose a general-purpose "run this query" or "call this endpoint" tool.</w:t>
            </w:r>
          </w:p>
        </w:tc>
      </w:tr>
      <w:tr>
        <w:trPr>
          <w:cantSplit/>
        </w:trPr>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color w:val="262626"/>
                <w:sz w:val="19"/>
                <w:szCs w:val="19"/>
              </w:rPr>
              <w:t xml:space="preserve">Make write operations idempotent, and require confirmation for anything irreversible.</w:t>
            </w:r>
          </w:p>
        </w:tc>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Let an agent delete, send or pay without a human checkpoint.</w:t>
            </w:r>
          </w:p>
        </w:tc>
      </w:tr>
      <w:tr>
        <w:trPr>
          <w:cantSplit/>
        </w:trPr>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color w:val="262626"/>
                <w:sz w:val="19"/>
                <w:szCs w:val="19"/>
              </w:rPr>
              <w:t xml:space="preserve">Log every tool call with its inputs, outputs and the identity it ran as.</w:t>
            </w:r>
          </w:p>
        </w:tc>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Rely on the chat transcript as your audit trail.</w:t>
            </w:r>
          </w:p>
        </w:tc>
      </w:tr>
      <w:tr>
        <w:trPr>
          <w:cantSplit/>
        </w:trPr>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color w:val="262626"/>
                <w:sz w:val="19"/>
                <w:szCs w:val="19"/>
              </w:rPr>
              <w:t xml:space="preserve">Treat an MCP server as production software: owned, reviewed, versioned and monitored.</w:t>
            </w:r>
          </w:p>
        </w:tc>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Connect a third-party MCP server you have not read the source of to a production agent.</w:t>
            </w:r>
          </w:p>
        </w:tc>
      </w:tr>
      <w:tr>
        <w:trPr>
          <w:cantSplit/>
        </w:trPr>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color w:val="262626"/>
                <w:sz w:val="19"/>
                <w:szCs w:val="19"/>
              </w:rPr>
              <w:t xml:space="preserve">Review any skill that uses allowed-tools for shell or bash as privileged code.</w:t>
            </w:r>
          </w:p>
        </w:tc>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Pre-approve shell execution casually — GitHub’s documentation explicitly warns it can let an attacker-controlled skill run arbitrary commands.</w:t>
            </w:r>
          </w:p>
        </w:tc>
      </w:tr>
      <w:tr>
        <w:trPr>
          <w:cantSplit/>
        </w:trPr>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color w:val="262626"/>
                <w:sz w:val="19"/>
                <w:szCs w:val="19"/>
              </w:rPr>
              <w:t xml:space="preserve">Return errors to the agent in a form it can act on.</w:t>
            </w:r>
          </w:p>
        </w:tc>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Return raw stack traces; the model will either hallucinate a cause or loop.</w:t>
            </w:r>
          </w:p>
        </w:tc>
      </w:tr>
    </w:tbl>
    <w:p>
      <w:pPr>
        <w:pStyle w:val="Heading2"/>
        <w:spacing w:after="120" w:before="280"/>
      </w:pPr>
      <w:r>
        <w:rPr>
          <w:rFonts w:ascii="Calibri" w:cs="Calibri" w:eastAsia="Calibri" w:hAnsi="Calibri"/>
          <w:b/>
          <w:bCs/>
          <w:color w:val="2E75B6"/>
          <w:sz w:val="25"/>
          <w:szCs w:val="25"/>
        </w:rPr>
        <w:t xml:space="preserve">10.6 Security, privacy and governance</w:t>
      </w:r>
    </w:p>
    <w:tbl>
      <w:tblPr>
        <w:tblW w:type="dxa" w:w="10080"/>
        <w:tblBorders>
          <w:top w:val="single" w:color="BFBFBF" w:sz="4"/>
          <w:left w:val="single" w:color="BFBFBF" w:sz="4"/>
          <w:bottom w:val="single" w:color="BFBFBF" w:sz="4"/>
          <w:right w:val="single" w:color="BFBFBF" w:sz="4"/>
          <w:insideH w:val="single" w:color="D9D9D9" w:sz="2"/>
          <w:insideV w:val="single" w:color="D9D9D9" w:sz="2"/>
        </w:tblBorders>
      </w:tblPr>
      <w:tblGrid>
        <w:gridCol w:w="5040"/>
        <w:gridCol w:w="5040"/>
      </w:tblGrid>
      <w:tr>
        <w:trPr>
          <w:tblHeader/>
        </w:trPr>
        <w:tc>
          <w:tcPr>
            <w:tcW w:type="dxa" w:w="5040"/>
            <w:shd w:fill="2E75B6"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Do</w:t>
            </w:r>
          </w:p>
        </w:tc>
        <w:tc>
          <w:tcPr>
            <w:tcW w:type="dxa" w:w="5040"/>
            <w:shd w:fill="2E75B6"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Don’t</w:t>
            </w:r>
          </w:p>
        </w:tc>
      </w:tr>
      <w:tr>
        <w:trPr>
          <w:cantSplit/>
        </w:trPr>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color w:val="262626"/>
                <w:sz w:val="19"/>
                <w:szCs w:val="19"/>
              </w:rPr>
              <w:t xml:space="preserve">Run agents under the calling user’s identity so they can never exceed that user’s permissions.</w:t>
            </w:r>
          </w:p>
        </w:tc>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Give an agent a service account with broad standing access because it is simpler.</w:t>
            </w:r>
          </w:p>
        </w:tc>
      </w:tr>
      <w:tr>
        <w:trPr>
          <w:cantSplit/>
        </w:trPr>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color w:val="262626"/>
                <w:sz w:val="19"/>
                <w:szCs w:val="19"/>
              </w:rPr>
              <w:t xml:space="preserve">Register every agent, including pilots, in the organisation’s agent inventory.</w:t>
            </w:r>
          </w:p>
        </w:tc>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Let departments build shadow agents nobody can see or decommission.</w:t>
            </w:r>
          </w:p>
        </w:tc>
      </w:tr>
      <w:tr>
        <w:trPr>
          <w:cantSplit/>
        </w:trPr>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color w:val="262626"/>
                <w:sz w:val="19"/>
                <w:szCs w:val="19"/>
              </w:rPr>
              <w:t xml:space="preserve">Give each agent a distinct identity (for example an Entra Agent ID) so its actions are attributable.</w:t>
            </w:r>
          </w:p>
        </w:tc>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Share one identity across several agents and lose the ability to answer "which agent did this?".</w:t>
            </w:r>
          </w:p>
        </w:tc>
      </w:tr>
      <w:tr>
        <w:trPr>
          <w:cantSplit/>
        </w:trPr>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color w:val="262626"/>
                <w:sz w:val="19"/>
                <w:szCs w:val="19"/>
              </w:rPr>
              <w:t xml:space="preserve">Separate development, test and production environments, with DLP policies on each.</w:t>
            </w:r>
          </w:p>
        </w:tc>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Build in production because the environment request would take a week.</w:t>
            </w:r>
          </w:p>
        </w:tc>
      </w:tr>
      <w:tr>
        <w:trPr>
          <w:cantSplit/>
        </w:trPr>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color w:val="262626"/>
                <w:sz w:val="19"/>
                <w:szCs w:val="19"/>
              </w:rPr>
              <w:t xml:space="preserve">Treat retrieved content and tool output as untrusted input — prompt injection is a live risk.</w:t>
            </w:r>
          </w:p>
        </w:tc>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Assume a document in SharePoint cannot contain instructions aimed at your agent.</w:t>
            </w:r>
          </w:p>
        </w:tc>
      </w:tr>
      <w:tr>
        <w:trPr>
          <w:cantSplit/>
        </w:trPr>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color w:val="262626"/>
                <w:sz w:val="19"/>
                <w:szCs w:val="19"/>
              </w:rPr>
              <w:t xml:space="preserve">Name an accountable owner for every agent, with a decommission date to review.</w:t>
            </w:r>
          </w:p>
        </w:tc>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Leave an unowned agent running after its champion changes role.</w:t>
            </w:r>
          </w:p>
        </w:tc>
      </w:tr>
    </w:tbl>
    <w:p>
      <w:pPr>
        <w:pStyle w:val="Heading2"/>
        <w:spacing w:after="120" w:before="280"/>
      </w:pPr>
      <w:r>
        <w:rPr>
          <w:rFonts w:ascii="Calibri" w:cs="Calibri" w:eastAsia="Calibri" w:hAnsi="Calibri"/>
          <w:b/>
          <w:bCs/>
          <w:color w:val="2E75B6"/>
          <w:sz w:val="25"/>
          <w:szCs w:val="25"/>
        </w:rPr>
        <w:t xml:space="preserve">10.7 Cost and token discipline</w:t>
      </w:r>
    </w:p>
    <w:tbl>
      <w:tblPr>
        <w:tblW w:type="dxa" w:w="10080"/>
        <w:tblBorders>
          <w:top w:val="single" w:color="BFBFBF" w:sz="4"/>
          <w:left w:val="single" w:color="BFBFBF" w:sz="4"/>
          <w:bottom w:val="single" w:color="BFBFBF" w:sz="4"/>
          <w:right w:val="single" w:color="BFBFBF" w:sz="4"/>
          <w:insideH w:val="single" w:color="D9D9D9" w:sz="2"/>
          <w:insideV w:val="single" w:color="D9D9D9" w:sz="2"/>
        </w:tblBorders>
      </w:tblPr>
      <w:tblGrid>
        <w:gridCol w:w="5040"/>
        <w:gridCol w:w="5040"/>
      </w:tblGrid>
      <w:tr>
        <w:trPr>
          <w:tblHeader/>
        </w:trPr>
        <w:tc>
          <w:tcPr>
            <w:tcW w:type="dxa" w:w="5040"/>
            <w:shd w:fill="2E75B6"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Do</w:t>
            </w:r>
          </w:p>
        </w:tc>
        <w:tc>
          <w:tcPr>
            <w:tcW w:type="dxa" w:w="5040"/>
            <w:shd w:fill="2E75B6"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Don’t</w:t>
            </w:r>
          </w:p>
        </w:tc>
      </w:tr>
      <w:tr>
        <w:trPr>
          <w:cantSplit/>
        </w:trPr>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color w:val="262626"/>
                <w:sz w:val="19"/>
                <w:szCs w:val="19"/>
              </w:rPr>
              <w:t xml:space="preserve">Instrument token usage per request, per user and per tool call from day one.</w:t>
            </w:r>
          </w:p>
        </w:tc>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Discover your cost shape from the invoice at the end of the month.</w:t>
            </w:r>
          </w:p>
        </w:tc>
      </w:tr>
      <w:tr>
        <w:trPr>
          <w:cantSplit/>
        </w:trPr>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color w:val="262626"/>
                <w:sz w:val="19"/>
                <w:szCs w:val="19"/>
              </w:rPr>
              <w:t xml:space="preserve">Keep a stable prompt prefix so provider-side caching can discount repeated context.</w:t>
            </w:r>
          </w:p>
        </w:tc>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Rebuild the entire prompt dynamically on every turn and pay full input price each time.</w:t>
            </w:r>
          </w:p>
        </w:tc>
      </w:tr>
      <w:tr>
        <w:trPr>
          <w:cantSplit/>
        </w:trPr>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color w:val="262626"/>
                <w:sz w:val="19"/>
                <w:szCs w:val="19"/>
              </w:rPr>
              <w:t xml:space="preserve">Route easy work — classification, extraction, routing — to a small or cheap model.</w:t>
            </w:r>
          </w:p>
        </w:tc>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Use the most capable model for every step because it is simplest to configure.</w:t>
            </w:r>
          </w:p>
        </w:tc>
      </w:tr>
      <w:tr>
        <w:trPr>
          <w:cantSplit/>
        </w:trPr>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color w:val="262626"/>
                <w:sz w:val="19"/>
                <w:szCs w:val="19"/>
              </w:rPr>
              <w:t xml:space="preserve">Cap conversation history and summarise older turns rather than carrying everything.</w:t>
            </w:r>
          </w:p>
        </w:tc>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Let context grow unbounded across a long session. Cost and latency grow with it.</w:t>
            </w:r>
          </w:p>
        </w:tc>
      </w:tr>
      <w:tr>
        <w:trPr>
          <w:cantSplit/>
        </w:trPr>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color w:val="262626"/>
                <w:sz w:val="19"/>
                <w:szCs w:val="19"/>
              </w:rPr>
              <w:t xml:space="preserve">Set budgets and alerts on credits and consumption before a pilot opens up.</w:t>
            </w:r>
          </w:p>
        </w:tc>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Open a pilot to 500 people with no spend ceiling configured.</w:t>
            </w:r>
          </w:p>
        </w:tc>
      </w:tr>
      <w:tr>
        <w:trPr>
          <w:cantSplit/>
        </w:trPr>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color w:val="262626"/>
                <w:sz w:val="19"/>
                <w:szCs w:val="19"/>
              </w:rPr>
              <w:t xml:space="preserve">Retrieve few, high-precision passages.</w:t>
            </w:r>
          </w:p>
        </w:tc>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Fill a large context window because it is available. The window is permission, not instruction.</w:t>
            </w:r>
          </w:p>
        </w:tc>
      </w:tr>
    </w:tbl>
    <w:p>
      <w:pPr>
        <w:pStyle w:val="Heading2"/>
        <w:spacing w:after="120" w:before="280"/>
      </w:pPr>
      <w:r>
        <w:rPr>
          <w:rFonts w:ascii="Calibri" w:cs="Calibri" w:eastAsia="Calibri" w:hAnsi="Calibri"/>
          <w:b/>
          <w:bCs/>
          <w:color w:val="2E75B6"/>
          <w:sz w:val="25"/>
          <w:szCs w:val="25"/>
        </w:rPr>
        <w:t xml:space="preserve">10.8 Evaluation and rollout</w:t>
      </w:r>
    </w:p>
    <w:tbl>
      <w:tblPr>
        <w:tblW w:type="dxa" w:w="10080"/>
        <w:tblBorders>
          <w:top w:val="single" w:color="BFBFBF" w:sz="4"/>
          <w:left w:val="single" w:color="BFBFBF" w:sz="4"/>
          <w:bottom w:val="single" w:color="BFBFBF" w:sz="4"/>
          <w:right w:val="single" w:color="BFBFBF" w:sz="4"/>
          <w:insideH w:val="single" w:color="D9D9D9" w:sz="2"/>
          <w:insideV w:val="single" w:color="D9D9D9" w:sz="2"/>
        </w:tblBorders>
      </w:tblPr>
      <w:tblGrid>
        <w:gridCol w:w="5040"/>
        <w:gridCol w:w="5040"/>
      </w:tblGrid>
      <w:tr>
        <w:trPr>
          <w:tblHeader/>
        </w:trPr>
        <w:tc>
          <w:tcPr>
            <w:tcW w:type="dxa" w:w="5040"/>
            <w:shd w:fill="2E75B6"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Do</w:t>
            </w:r>
          </w:p>
        </w:tc>
        <w:tc>
          <w:tcPr>
            <w:tcW w:type="dxa" w:w="5040"/>
            <w:shd w:fill="2E75B6"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Don’t</w:t>
            </w:r>
          </w:p>
        </w:tc>
      </w:tr>
      <w:tr>
        <w:trPr>
          <w:cantSplit/>
        </w:trPr>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color w:val="262626"/>
                <w:sz w:val="19"/>
                <w:szCs w:val="19"/>
              </w:rPr>
              <w:t xml:space="preserve">Build the evaluation set before the agent — twenty to fifty real questions with known-good answers.</w:t>
            </w:r>
          </w:p>
        </w:tc>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Ship on the strength of a demo. Demos are selected for success.</w:t>
            </w:r>
          </w:p>
        </w:tc>
      </w:tr>
      <w:tr>
        <w:trPr>
          <w:cantSplit/>
        </w:trPr>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color w:val="262626"/>
                <w:sz w:val="19"/>
                <w:szCs w:val="19"/>
              </w:rPr>
              <w:t xml:space="preserve">Gate prompt and model changes on the evaluation set in CI.</w:t>
            </w:r>
          </w:p>
        </w:tc>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Change a prompt on Friday because it looked better in one test.</w:t>
            </w:r>
          </w:p>
        </w:tc>
      </w:tr>
      <w:tr>
        <w:trPr>
          <w:cantSplit/>
        </w:trPr>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color w:val="262626"/>
                <w:sz w:val="19"/>
                <w:szCs w:val="19"/>
              </w:rPr>
              <w:t xml:space="preserve">Pilot with a real team for at least a week covering full business cycles and peak windows.</w:t>
            </w:r>
          </w:p>
        </w:tc>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Extrapolate from a two-day pilot — Microsoft will not accept that for a throughput increase either.</w:t>
            </w:r>
          </w:p>
        </w:tc>
      </w:tr>
      <w:tr>
        <w:trPr>
          <w:cantSplit/>
        </w:trPr>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color w:val="262626"/>
                <w:sz w:val="19"/>
                <w:szCs w:val="19"/>
              </w:rPr>
              <w:t xml:space="preserve">Measure a baseline before rollout so the ninety-day review has evidence.</w:t>
            </w:r>
          </w:p>
        </w:tc>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Rely on "the team says it feels faster".</w:t>
            </w:r>
          </w:p>
        </w:tc>
      </w:tr>
      <w:tr>
        <w:trPr>
          <w:cantSplit/>
        </w:trPr>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color w:val="262626"/>
                <w:sz w:val="19"/>
                <w:szCs w:val="19"/>
              </w:rPr>
              <w:t xml:space="preserve">Give users an obvious way to report a bad answer, and triage those reports weekly.</w:t>
            </w:r>
          </w:p>
        </w:tc>
        <w:tc>
          <w:tcPr>
            <w:tcW w:type="dxa" w:w="5040"/>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Collect feedback nobody reads, then wonder why quality plateaus.</w:t>
            </w:r>
          </w:p>
        </w:tc>
      </w:tr>
      <w:tr>
        <w:trPr>
          <w:cantSplit/>
        </w:trPr>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color w:val="262626"/>
                <w:sz w:val="19"/>
                <w:szCs w:val="19"/>
              </w:rPr>
              <w:t xml:space="preserve">Plan for at least one forced model migration a year and keep the evaluation gate ready for it.</w:t>
            </w:r>
          </w:p>
        </w:tc>
        <w:tc>
          <w:tcPr>
            <w:tcW w:type="dxa" w:w="5040"/>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Assume the model you launched on will still be available in eighteen months.</w:t>
            </w:r>
          </w:p>
        </w:tc>
      </w:tr>
    </w:tbl>
    <w:tbl>
      <w:tblPr>
        <w:tblW w:type="dxa" w:w="10080"/>
        <w:tblBorders>
          <w:top w:val="none"/>
          <w:left w:val="single" w:color="538135" w:sz="24"/>
          <w:bottom w:val="none"/>
          <w:right w:val="none"/>
          <w:insideH w:val="none"/>
          <w:insideV w:val="none"/>
        </w:tblBorders>
      </w:tblPr>
      <w:tblGrid>
        <w:gridCol w:w="10080"/>
      </w:tblGrid>
      <w:tr>
        <w:tc>
          <w:tcPr>
            <w:tcW w:type="dxa" w:w="10080"/>
            <w:shd w:fill="EFF7EA" w:val="clear"/>
            <w:tcMar>
              <w:top w:type="dxa" w:w="140"/>
              <w:left w:type="dxa" w:w="200"/>
              <w:bottom w:type="dxa" w:w="140"/>
              <w:right w:type="dxa" w:w="200"/>
            </w:tcMar>
          </w:tcPr>
          <w:p>
            <w:pPr>
              <w:spacing w:after="0" w:line="264"/>
            </w:pPr>
            <w:r>
              <w:rPr>
                <w:rFonts w:ascii="Calibri" w:cs="Calibri" w:eastAsia="Calibri" w:hAnsi="Calibri"/>
                <w:b/>
                <w:bCs/>
                <w:color w:val="538135"/>
                <w:sz w:val="21"/>
                <w:szCs w:val="21"/>
              </w:rPr>
              <w:t xml:space="preserve">If you only enforce five rules.  </w:t>
            </w:r>
            <w:r>
              <w:rPr>
                <w:rFonts w:ascii="Calibri" w:cs="Calibri" w:eastAsia="Calibri" w:hAnsi="Calibri"/>
                <w:color w:val="262626"/>
                <w:sz w:val="21"/>
                <w:szCs w:val="21"/>
              </w:rPr>
              <w:t xml:space="preserve">One agent, one job. Prove the platform cannot do it before building. Retrieve precisely rather than abundantly. Review anything that pre-approves shell execution. Instrument tokens from day one.</w:t>
            </w:r>
          </w:p>
        </w:tc>
      </w:tr>
    </w:tbl>
    <w:p>
      <w:pPr>
        <w:pStyle w:val="Heading1"/>
        <w:pageBreakBefore/>
        <w:pBdr>
          <w:bottom w:val="single" w:color="2E75B6" w:sz="12" w:space="6"/>
        </w:pBdr>
        <w:spacing w:after="200" w:before="0"/>
      </w:pPr>
      <w:r>
        <w:rPr>
          <w:rFonts w:ascii="Calibri" w:cs="Calibri" w:eastAsia="Calibri" w:hAnsi="Calibri"/>
          <w:b/>
          <w:bCs/>
          <w:color w:val="1F3864"/>
          <w:sz w:val="32"/>
          <w:szCs w:val="32"/>
        </w:rPr>
        <w:t xml:space="preserve">11. Cost and licensing comparison</w:t>
      </w:r>
    </w:p>
    <w:tbl>
      <w:tblPr>
        <w:tblW w:type="dxa" w:w="10080"/>
        <w:tblBorders>
          <w:top w:val="none"/>
          <w:left w:val="single" w:color="BF8F00" w:sz="24"/>
          <w:bottom w:val="none"/>
          <w:right w:val="none"/>
          <w:insideH w:val="none"/>
          <w:insideV w:val="none"/>
        </w:tblBorders>
      </w:tblPr>
      <w:tblGrid>
        <w:gridCol w:w="10080"/>
      </w:tblGrid>
      <w:tr>
        <w:tc>
          <w:tcPr>
            <w:tcW w:type="dxa" w:w="10080"/>
            <w:shd w:fill="FFF8E7" w:val="clear"/>
            <w:tcMar>
              <w:top w:type="dxa" w:w="140"/>
              <w:left w:type="dxa" w:w="200"/>
              <w:bottom w:type="dxa" w:w="140"/>
              <w:right w:type="dxa" w:w="200"/>
            </w:tcMar>
          </w:tcPr>
          <w:p>
            <w:pPr>
              <w:spacing w:after="0" w:line="264"/>
            </w:pPr>
            <w:r>
              <w:rPr>
                <w:rFonts w:ascii="Calibri" w:cs="Calibri" w:eastAsia="Calibri" w:hAnsi="Calibri"/>
                <w:b/>
                <w:bCs/>
                <w:color w:val="BF8F00"/>
                <w:sz w:val="21"/>
                <w:szCs w:val="21"/>
              </w:rPr>
              <w:t xml:space="preserve">Pricing caveat.  </w:t>
            </w:r>
            <w:r>
              <w:rPr>
                <w:rFonts w:ascii="Calibri" w:cs="Calibri" w:eastAsia="Calibri" w:hAnsi="Calibri"/>
                <w:color w:val="262626"/>
                <w:sz w:val="21"/>
                <w:szCs w:val="21"/>
              </w:rPr>
              <w:t xml:space="preserve">List prices verified 3 October 2026 from Microsoft and GitHub public pages. Enterprise agreements, regional pricing and promotional terms will differ. Use these as the shape of the cost, not the figure in a business case — confirm with the account teams before committing.</w:t>
            </w:r>
          </w:p>
        </w:tc>
      </w:tr>
    </w:tbl>
    <w:p>
      <w:pPr>
        <w:pStyle w:val="Heading2"/>
        <w:spacing w:after="120" w:before="280"/>
      </w:pPr>
      <w:r>
        <w:rPr>
          <w:rFonts w:ascii="Calibri" w:cs="Calibri" w:eastAsia="Calibri" w:hAnsi="Calibri"/>
          <w:b/>
          <w:bCs/>
          <w:color w:val="2E75B6"/>
          <w:sz w:val="25"/>
          <w:szCs w:val="25"/>
        </w:rPr>
        <w:t xml:space="preserve">11.1 Licence and consumption models side by side</w:t>
      </w:r>
    </w:p>
    <w:tbl>
      <w:tblPr>
        <w:tblW w:type="dxa" w:w="10080"/>
        <w:tblBorders>
          <w:top w:val="single" w:color="BFBFBF" w:sz="4"/>
          <w:left w:val="single" w:color="BFBFBF" w:sz="4"/>
          <w:bottom w:val="single" w:color="BFBFBF" w:sz="4"/>
          <w:right w:val="single" w:color="BFBFBF" w:sz="4"/>
          <w:insideH w:val="single" w:color="D9D9D9" w:sz="2"/>
          <w:insideV w:val="single" w:color="D9D9D9" w:sz="2"/>
        </w:tblBorders>
      </w:tblPr>
      <w:tblGrid>
        <w:gridCol w:w="2117"/>
        <w:gridCol w:w="2923"/>
        <w:gridCol w:w="2621"/>
        <w:gridCol w:w="2419"/>
      </w:tblGrid>
      <w:tr>
        <w:trPr>
          <w:tblHeader/>
        </w:trPr>
        <w:tc>
          <w:tcPr>
            <w:tcW w:type="dxa" w:w="2117"/>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Option</w:t>
            </w:r>
          </w:p>
        </w:tc>
        <w:tc>
          <w:tcPr>
            <w:tcW w:type="dxa" w:w="2923"/>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Licence / unit cost</w:t>
            </w:r>
          </w:p>
        </w:tc>
        <w:tc>
          <w:tcPr>
            <w:tcW w:type="dxa" w:w="2621"/>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Variable cost</w:t>
            </w:r>
          </w:p>
        </w:tc>
        <w:tc>
          <w:tcPr>
            <w:tcW w:type="dxa" w:w="2419"/>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Hidden cost to budget</w:t>
            </w:r>
          </w:p>
        </w:tc>
      </w:tr>
      <w:tr>
        <w:trPr>
          <w:cantSplit/>
        </w:trPr>
        <w:tc>
          <w:tcPr>
            <w:tcW w:type="dxa" w:w="2117"/>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Microsoft 365 Copilot (enterprise)</w:t>
            </w:r>
          </w:p>
        </w:tc>
        <w:tc>
          <w:tcPr>
            <w:tcW w:type="dxa" w:w="2923"/>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US$30 per user/month on an annual commitment (US$31.50 paid monthly), on top of a qualifying Microsoft 365 plan</w:t>
            </w:r>
          </w:p>
        </w:tc>
        <w:tc>
          <w:tcPr>
            <w:tcW w:type="dxa" w:w="2621"/>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None for in-scope usage</w:t>
            </w:r>
          </w:p>
        </w:tc>
        <w:tc>
          <w:tcPr>
            <w:tcW w:type="dxa" w:w="2419"/>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Enablement, content cleanup, permissions remediation</w:t>
            </w:r>
          </w:p>
        </w:tc>
      </w:tr>
      <w:tr>
        <w:trPr>
          <w:cantSplit/>
        </w:trPr>
        <w:tc>
          <w:tcPr>
            <w:tcW w:type="dxa" w:w="2117"/>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Microsoft 365 Copilot Business (SMB add-on)</w:t>
            </w:r>
          </w:p>
        </w:tc>
        <w:tc>
          <w:tcPr>
            <w:tcW w:type="dxa" w:w="2923"/>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US$18 per user/month yearly (US$25.20 monthly)</w:t>
            </w:r>
          </w:p>
        </w:tc>
        <w:tc>
          <w:tcPr>
            <w:tcW w:type="dxa" w:w="2621"/>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None for in-scope usage</w:t>
            </w:r>
          </w:p>
        </w:tc>
        <w:tc>
          <w:tcPr>
            <w:tcW w:type="dxa" w:w="2419"/>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As above</w:t>
            </w:r>
          </w:p>
        </w:tc>
      </w:tr>
      <w:tr>
        <w:trPr>
          <w:cantSplit/>
        </w:trPr>
        <w:tc>
          <w:tcPr>
            <w:tcW w:type="dxa" w:w="2117"/>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Declarative agents</w:t>
            </w:r>
          </w:p>
        </w:tc>
        <w:tc>
          <w:tcPr>
            <w:tcW w:type="dxa" w:w="2923"/>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Covered by the Microsoft 365 Copilot subscription — no additional hosting</w:t>
            </w:r>
          </w:p>
        </w:tc>
        <w:tc>
          <w:tcPr>
            <w:tcW w:type="dxa" w:w="2621"/>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Effectively none for licensed users</w:t>
            </w:r>
          </w:p>
        </w:tc>
        <w:tc>
          <w:tcPr>
            <w:tcW w:type="dxa" w:w="2419"/>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Authoring and maintenance time; knowledge curation</w:t>
            </w:r>
          </w:p>
        </w:tc>
      </w:tr>
      <w:tr>
        <w:trPr>
          <w:cantSplit/>
        </w:trPr>
        <w:tc>
          <w:tcPr>
            <w:tcW w:type="dxa" w:w="2117"/>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Copilot Studio agents</w:t>
            </w:r>
          </w:p>
        </w:tc>
        <w:tc>
          <w:tcPr>
            <w:tcW w:type="dxa" w:w="2923"/>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Copilot Credits — prepaid packs, pay-as-you-go via Azure, or a one-year Copilot Credit Commit Unit prepurchase</w:t>
            </w:r>
          </w:p>
        </w:tc>
        <w:tc>
          <w:tcPr>
            <w:tcW w:type="dxa" w:w="2621"/>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Credits by task complexity; capacity enforced monthly and unused credits do not roll over</w:t>
            </w:r>
          </w:p>
        </w:tc>
        <w:tc>
          <w:tcPr>
            <w:tcW w:type="dxa" w:w="2419"/>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Rate-limit headroom, environment licensing, Power Platform request allocations</w:t>
            </w:r>
          </w:p>
        </w:tc>
      </w:tr>
      <w:tr>
        <w:trPr>
          <w:cantSplit/>
        </w:trPr>
        <w:tc>
          <w:tcPr>
            <w:tcW w:type="dxa" w:w="2117"/>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Custom build</w:t>
            </w:r>
          </w:p>
        </w:tc>
        <w:tc>
          <w:tcPr>
            <w:tcW w:type="dxa" w:w="2923"/>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No licence — you pay for what you run</w:t>
            </w:r>
          </w:p>
        </w:tc>
        <w:tc>
          <w:tcPr>
            <w:tcW w:type="dxa" w:w="2621"/>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Model tokens plus Azure hosting (compute, search, state, gateway)</w:t>
            </w:r>
          </w:p>
        </w:tc>
        <w:tc>
          <w:tcPr>
            <w:tcW w:type="dxa" w:w="2419"/>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Engineering build and run, evaluations, guardrails, migrations, on-call — usually the largest line by far</w:t>
            </w:r>
          </w:p>
        </w:tc>
      </w:tr>
      <w:tr>
        <w:trPr>
          <w:cantSplit/>
        </w:trPr>
        <w:tc>
          <w:tcPr>
            <w:tcW w:type="dxa" w:w="2117"/>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GitHub Copilot Business</w:t>
            </w:r>
          </w:p>
        </w:tc>
        <w:tc>
          <w:tcPr>
            <w:tcW w:type="dxa" w:w="2923"/>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US$19 per user/month</w:t>
            </w:r>
          </w:p>
        </w:tc>
        <w:tc>
          <w:tcPr>
            <w:tcW w:type="dxa" w:w="2621"/>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US$19 of credits included; overage at per-token rates (1 credit = US$0.01)</w:t>
            </w:r>
          </w:p>
        </w:tc>
        <w:tc>
          <w:tcPr>
            <w:tcW w:type="dxa" w:w="2419"/>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Actions minutes for cloud agent sessions</w:t>
            </w:r>
          </w:p>
        </w:tc>
      </w:tr>
      <w:tr>
        <w:trPr>
          <w:cantSplit/>
        </w:trPr>
        <w:tc>
          <w:tcPr>
            <w:tcW w:type="dxa" w:w="2117"/>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GitHub Copilot Enterprise</w:t>
            </w:r>
          </w:p>
        </w:tc>
        <w:tc>
          <w:tcPr>
            <w:tcW w:type="dxa" w:w="2923"/>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US$39 per user/month</w:t>
            </w:r>
          </w:p>
        </w:tc>
        <w:tc>
          <w:tcPr>
            <w:tcW w:type="dxa" w:w="2621"/>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US$39 of credits included, pooled at billing-entity level</w:t>
            </w:r>
          </w:p>
        </w:tc>
        <w:tc>
          <w:tcPr>
            <w:tcW w:type="dxa" w:w="2419"/>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As above</w:t>
            </w:r>
          </w:p>
        </w:tc>
      </w:tr>
    </w:tbl>
    <w:p>
      <w:pPr>
        <w:pStyle w:val="Heading2"/>
        <w:spacing w:after="120" w:before="280"/>
      </w:pPr>
      <w:r>
        <w:rPr>
          <w:rFonts w:ascii="Calibri" w:cs="Calibri" w:eastAsia="Calibri" w:hAnsi="Calibri"/>
          <w:b/>
          <w:bCs/>
          <w:color w:val="2E75B6"/>
          <w:sz w:val="25"/>
          <w:szCs w:val="25"/>
        </w:rPr>
        <w:t xml:space="preserve">11.2 Where Copilot Studio credits are not charged</w:t>
      </w:r>
    </w:p>
    <w:p>
      <w:pPr>
        <w:spacing w:after="120" w:before="0" w:line="264"/>
        <w:jc w:val="left"/>
      </w:pPr>
      <w:r>
        <w:rPr>
          <w:rFonts w:ascii="Calibri" w:cs="Calibri" w:eastAsia="Calibri" w:hAnsi="Calibri"/>
          <w:color w:val="262626"/>
          <w:sz w:val="21"/>
          <w:szCs w:val="21"/>
        </w:rPr>
        <w:t xml:space="preserve">This is the single most commonly missed cost lever. For users who already hold a Microsoft 365 Copilot licence, the following do not consume Copilot Credits:</w:t>
      </w:r>
    </w:p>
    <w:p>
      <w:pPr>
        <w:pStyle w:val="ListParagraph"/>
        <w:numPr>
          <w:ilvl w:val="0"/>
          <w:numId w:val="3"/>
        </w:numPr>
        <w:spacing w:after="80" w:line="264"/>
      </w:pPr>
      <w:r>
        <w:rPr>
          <w:rFonts w:ascii="Calibri" w:cs="Calibri" w:eastAsia="Calibri" w:hAnsi="Calibri"/>
          <w:color w:val="262626"/>
          <w:sz w:val="21"/>
          <w:szCs w:val="21"/>
        </w:rPr>
        <w:t xml:space="preserve">Classic answers</w:t>
      </w:r>
    </w:p>
    <w:p>
      <w:pPr>
        <w:pStyle w:val="ListParagraph"/>
        <w:numPr>
          <w:ilvl w:val="0"/>
          <w:numId w:val="3"/>
        </w:numPr>
        <w:spacing w:after="80" w:line="264"/>
      </w:pPr>
      <w:r>
        <w:rPr>
          <w:rFonts w:ascii="Calibri" w:cs="Calibri" w:eastAsia="Calibri" w:hAnsi="Calibri"/>
          <w:color w:val="262626"/>
          <w:sz w:val="21"/>
          <w:szCs w:val="21"/>
        </w:rPr>
        <w:t xml:space="preserve">Generative answers</w:t>
      </w:r>
    </w:p>
    <w:p>
      <w:pPr>
        <w:pStyle w:val="ListParagraph"/>
        <w:numPr>
          <w:ilvl w:val="0"/>
          <w:numId w:val="3"/>
        </w:numPr>
        <w:spacing w:after="80" w:line="264"/>
      </w:pPr>
      <w:r>
        <w:rPr>
          <w:rFonts w:ascii="Calibri" w:cs="Calibri" w:eastAsia="Calibri" w:hAnsi="Calibri"/>
          <w:color w:val="262626"/>
          <w:sz w:val="21"/>
          <w:szCs w:val="21"/>
        </w:rPr>
        <w:t xml:space="preserve">Microsoft Graph tenant grounding</w:t>
      </w:r>
    </w:p>
    <w:p>
      <w:pPr>
        <w:pStyle w:val="ListParagraph"/>
        <w:numPr>
          <w:ilvl w:val="0"/>
          <w:numId w:val="3"/>
        </w:numPr>
        <w:spacing w:after="80" w:line="264"/>
      </w:pPr>
      <w:r>
        <w:rPr>
          <w:rFonts w:ascii="Calibri" w:cs="Calibri" w:eastAsia="Calibri" w:hAnsi="Calibri"/>
          <w:color w:val="262626"/>
          <w:sz w:val="21"/>
          <w:szCs w:val="21"/>
        </w:rPr>
        <w:t xml:space="preserve">Usage inside Microsoft 365 services — Copilot Chat, Teams, SharePoint</w:t>
      </w:r>
    </w:p>
    <w:p>
      <w:pPr>
        <w:spacing w:after="120" w:before="0" w:line="264"/>
        <w:jc w:val="left"/>
      </w:pPr>
      <w:r>
        <w:rPr>
          <w:rFonts w:ascii="Calibri" w:cs="Calibri" w:eastAsia="Calibri" w:hAnsi="Calibri"/>
          <w:color w:val="262626"/>
          <w:sz w:val="21"/>
          <w:szCs w:val="21"/>
        </w:rPr>
        <w:t xml:space="preserve">The practical consequence: an internal agent serving Microsoft 365 Copilot-licensed employees inside Teams can be close to zero marginal cost, while the same agent serving unlicensed external customers on a public website consumes credits for every interaction. Design the licensing conversation around who the audience is, not around what the agent does. Microsoft publishes an Agent Usage Estimator for forecasting credit consumption; use it before committing to pack quantities.</w:t>
      </w:r>
    </w:p>
    <w:p>
      <w:pPr>
        <w:pStyle w:val="Heading2"/>
        <w:spacing w:after="120" w:before="280"/>
      </w:pPr>
      <w:r>
        <w:rPr>
          <w:rFonts w:ascii="Calibri" w:cs="Calibri" w:eastAsia="Calibri" w:hAnsi="Calibri"/>
          <w:b/>
          <w:bCs/>
          <w:color w:val="2E75B6"/>
          <w:sz w:val="25"/>
          <w:szCs w:val="25"/>
        </w:rPr>
        <w:t xml:space="preserve">11.3 An illustrative three-year comparison</w:t>
      </w:r>
    </w:p>
    <w:p>
      <w:pPr>
        <w:spacing w:after="120" w:before="0" w:line="264"/>
        <w:jc w:val="left"/>
      </w:pPr>
      <w:r>
        <w:rPr>
          <w:rFonts w:ascii="Calibri" w:cs="Calibri" w:eastAsia="Calibri" w:hAnsi="Calibri"/>
          <w:color w:val="262626"/>
          <w:sz w:val="21"/>
          <w:szCs w:val="21"/>
        </w:rPr>
        <w:t xml:space="preserve">The scenario: an internal knowledge agent for 500 employees answering policy and process questions, at roughly 50,000 interactions per month. Figures are deliberately rounded and are illustrative only.</w:t>
      </w:r>
    </w:p>
    <w:tbl>
      <w:tblPr>
        <w:tblW w:type="dxa" w:w="10080"/>
        <w:tblBorders>
          <w:top w:val="single" w:color="BFBFBF" w:sz="4"/>
          <w:left w:val="single" w:color="BFBFBF" w:sz="4"/>
          <w:bottom w:val="single" w:color="BFBFBF" w:sz="4"/>
          <w:right w:val="single" w:color="BFBFBF" w:sz="4"/>
          <w:insideH w:val="single" w:color="D9D9D9" w:sz="2"/>
          <w:insideV w:val="single" w:color="D9D9D9" w:sz="2"/>
        </w:tblBorders>
      </w:tblPr>
      <w:tblGrid>
        <w:gridCol w:w="2419"/>
        <w:gridCol w:w="2419"/>
        <w:gridCol w:w="2621"/>
        <w:gridCol w:w="2621"/>
      </w:tblGrid>
      <w:tr>
        <w:trPr>
          <w:tblHeader/>
        </w:trPr>
        <w:tc>
          <w:tcPr>
            <w:tcW w:type="dxa" w:w="2419"/>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Cost line</w:t>
            </w:r>
          </w:p>
        </w:tc>
        <w:tc>
          <w:tcPr>
            <w:tcW w:type="dxa" w:w="2419"/>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Declarative agent</w:t>
            </w:r>
          </w:p>
        </w:tc>
        <w:tc>
          <w:tcPr>
            <w:tcW w:type="dxa" w:w="2621"/>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Copilot Studio custom engine</w:t>
            </w:r>
          </w:p>
        </w:tc>
        <w:tc>
          <w:tcPr>
            <w:tcW w:type="dxa" w:w="2621"/>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Fully custom build</w:t>
            </w:r>
          </w:p>
        </w:tc>
      </w:tr>
      <w:tr>
        <w:trPr>
          <w:cantSplit/>
        </w:trPr>
        <w:tc>
          <w:tcPr>
            <w:tcW w:type="dxa" w:w="2419"/>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Microsoft 365 Copilot licences (500 users)</w:t>
            </w:r>
          </w:p>
        </w:tc>
        <w:tc>
          <w:tcPr>
            <w:tcW w:type="dxa" w:w="2419"/>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US$15,000 / month</w:t>
            </w:r>
          </w:p>
        </w:tc>
        <w:tc>
          <w:tcPr>
            <w:tcW w:type="dxa" w:w="2621"/>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US$15,000 / month</w:t>
            </w:r>
          </w:p>
        </w:tc>
        <w:tc>
          <w:tcPr>
            <w:tcW w:type="dxa" w:w="2621"/>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US$15,000 / month (still required for the Microsoft 365 experience)</w:t>
            </w:r>
          </w:p>
        </w:tc>
      </w:tr>
      <w:tr>
        <w:trPr>
          <w:cantSplit/>
        </w:trPr>
        <w:tc>
          <w:tcPr>
            <w:tcW w:type="dxa" w:w="2419"/>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Agent consumption</w:t>
            </w:r>
          </w:p>
        </w:tc>
        <w:tc>
          <w:tcPr>
            <w:tcW w:type="dxa" w:w="2419"/>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Nil — zero-rated for licensed users in Microsoft 365</w:t>
            </w:r>
          </w:p>
        </w:tc>
        <w:tc>
          <w:tcPr>
            <w:tcW w:type="dxa" w:w="2621"/>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Credits, largely zero-rated for licensed users in Microsoft 365 surfaces</w:t>
            </w:r>
          </w:p>
        </w:tc>
        <w:tc>
          <w:tcPr>
            <w:tcW w:type="dxa" w:w="2621"/>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Model tokens: roughly US$1,200–2,000 / month at 50k sessions</w:t>
            </w:r>
          </w:p>
        </w:tc>
      </w:tr>
      <w:tr>
        <w:trPr>
          <w:cantSplit/>
        </w:trPr>
        <w:tc>
          <w:tcPr>
            <w:tcW w:type="dxa" w:w="2419"/>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Hosting</w:t>
            </w:r>
          </w:p>
        </w:tc>
        <w:tc>
          <w:tcPr>
            <w:tcW w:type="dxa" w:w="2419"/>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Nil</w:t>
            </w:r>
          </w:p>
        </w:tc>
        <w:tc>
          <w:tcPr>
            <w:tcW w:type="dxa" w:w="2621"/>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Nil (Microsoft-hosted)</w:t>
            </w:r>
          </w:p>
        </w:tc>
        <w:tc>
          <w:tcPr>
            <w:tcW w:type="dxa" w:w="2621"/>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US$1,500–3,000 / month (compute, search, state, gateway)</w:t>
            </w:r>
          </w:p>
        </w:tc>
      </w:tr>
      <w:tr>
        <w:trPr>
          <w:cantSplit/>
        </w:trPr>
        <w:tc>
          <w:tcPr>
            <w:tcW w:type="dxa" w:w="2419"/>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Initial build</w:t>
            </w:r>
          </w:p>
        </w:tc>
        <w:tc>
          <w:tcPr>
            <w:tcW w:type="dxa" w:w="2419"/>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2–4 weeks of one solution architect</w:t>
            </w:r>
          </w:p>
        </w:tc>
        <w:tc>
          <w:tcPr>
            <w:tcW w:type="dxa" w:w="2621"/>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6–10 weeks, mixed low-code and integration</w:t>
            </w:r>
          </w:p>
        </w:tc>
        <w:tc>
          <w:tcPr>
            <w:tcW w:type="dxa" w:w="2621"/>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4–8 months, team of 3–5</w:t>
            </w:r>
          </w:p>
        </w:tc>
      </w:tr>
      <w:tr>
        <w:trPr>
          <w:cantSplit/>
        </w:trPr>
        <w:tc>
          <w:tcPr>
            <w:tcW w:type="dxa" w:w="2419"/>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Annual run cost (people)</w:t>
            </w:r>
          </w:p>
        </w:tc>
        <w:tc>
          <w:tcPr>
            <w:tcW w:type="dxa" w:w="2419"/>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~0.1 FTE</w:t>
            </w:r>
          </w:p>
        </w:tc>
        <w:tc>
          <w:tcPr>
            <w:tcW w:type="dxa" w:w="2621"/>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~0.3 FTE</w:t>
            </w:r>
          </w:p>
        </w:tc>
        <w:tc>
          <w:tcPr>
            <w:tcW w:type="dxa" w:w="2621"/>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~1.5–2.5 FTE including evaluations and on-call</w:t>
            </w:r>
          </w:p>
        </w:tc>
      </w:tr>
      <w:tr>
        <w:trPr>
          <w:cantSplit/>
        </w:trPr>
        <w:tc>
          <w:tcPr>
            <w:tcW w:type="dxa" w:w="2419"/>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Compliance work carried by us</w:t>
            </w:r>
          </w:p>
        </w:tc>
        <w:tc>
          <w:tcPr>
            <w:tcW w:type="dxa" w:w="2419"/>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None — inherited</w:t>
            </w:r>
          </w:p>
        </w:tc>
        <w:tc>
          <w:tcPr>
            <w:tcW w:type="dxa" w:w="2621"/>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Partial</w:t>
            </w:r>
          </w:p>
        </w:tc>
        <w:tc>
          <w:tcPr>
            <w:tcW w:type="dxa" w:w="2621"/>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All of it</w:t>
            </w:r>
          </w:p>
        </w:tc>
      </w:tr>
    </w:tbl>
    <w:p>
      <w:pPr>
        <w:spacing w:after="160" w:before="60"/>
      </w:pPr>
      <w:r>
        <w:rPr>
          <w:rFonts w:ascii="Calibri" w:cs="Calibri" w:eastAsia="Calibri" w:hAnsi="Calibri"/>
          <w:i/>
          <w:iCs/>
          <w:color w:val="595959"/>
          <w:sz w:val="18"/>
          <w:szCs w:val="18"/>
        </w:rPr>
        <w:t xml:space="preserve">Illustrative only. The licence line is identical across all three because the users still need Microsoft 365 Copilot; the differentiator is the engineering line, not the token line. This is the central finding of the comparison: at internal scale, custom builds are not cheaper, they are more controllable.</w:t>
      </w:r>
    </w:p>
    <w:tbl>
      <w:tblPr>
        <w:tblW w:type="dxa" w:w="10080"/>
        <w:tblBorders>
          <w:top w:val="none"/>
          <w:left w:val="single" w:color="2E75B6" w:sz="24"/>
          <w:bottom w:val="none"/>
          <w:right w:val="none"/>
          <w:insideH w:val="none"/>
          <w:insideV w:val="none"/>
        </w:tblBorders>
      </w:tblPr>
      <w:tblGrid>
        <w:gridCol w:w="10080"/>
      </w:tblGrid>
      <w:tr>
        <w:tc>
          <w:tcPr>
            <w:tcW w:type="dxa" w:w="10080"/>
            <w:shd w:fill="F2F6FB" w:val="clear"/>
            <w:tcMar>
              <w:top w:type="dxa" w:w="140"/>
              <w:left w:type="dxa" w:w="200"/>
              <w:bottom w:type="dxa" w:w="140"/>
              <w:right w:type="dxa" w:w="200"/>
            </w:tcMar>
          </w:tcPr>
          <w:p>
            <w:pPr>
              <w:spacing w:after="0" w:line="264"/>
            </w:pPr>
            <w:r>
              <w:rPr>
                <w:rFonts w:ascii="Calibri" w:cs="Calibri" w:eastAsia="Calibri" w:hAnsi="Calibri"/>
                <w:b/>
                <w:bCs/>
                <w:color w:val="2E75B6"/>
                <w:sz w:val="21"/>
                <w:szCs w:val="21"/>
              </w:rPr>
              <w:t xml:space="preserve">The economics flip when.  </w:t>
            </w:r>
            <w:r>
              <w:rPr>
                <w:rFonts w:ascii="Calibri" w:cs="Calibri" w:eastAsia="Calibri" w:hAnsi="Calibri"/>
                <w:color w:val="262626"/>
                <w:sz w:val="21"/>
                <w:szCs w:val="21"/>
              </w:rPr>
              <w:t xml:space="preserve">Custom builds win on unit economics when the audience is large and unlicensed — public customers, embedded product users, high-volume automated workloads — because there is no per-seat licence to pay and token cost per interaction is genuinely low. For internal employee-facing agents, the licensed platform almost always wins.</w:t>
            </w:r>
          </w:p>
        </w:tc>
      </w:tr>
    </w:tbl>
    <w:p>
      <w:pPr>
        <w:pStyle w:val="Heading1"/>
        <w:pageBreakBefore/>
        <w:pBdr>
          <w:bottom w:val="single" w:color="2E75B6" w:sz="12" w:space="6"/>
        </w:pBdr>
        <w:spacing w:after="200" w:before="0"/>
      </w:pPr>
      <w:r>
        <w:rPr>
          <w:rFonts w:ascii="Calibri" w:cs="Calibri" w:eastAsia="Calibri" w:hAnsi="Calibri"/>
          <w:b/>
          <w:bCs/>
          <w:color w:val="1F3864"/>
          <w:sz w:val="32"/>
          <w:szCs w:val="32"/>
        </w:rPr>
        <w:t xml:space="preserve">12. Governance and operating model</w:t>
      </w:r>
    </w:p>
    <w:p>
      <w:pPr>
        <w:spacing w:after="120" w:before="0" w:line="264"/>
        <w:jc w:val="left"/>
      </w:pPr>
      <w:r>
        <w:rPr>
          <w:rFonts w:ascii="Calibri" w:cs="Calibri" w:eastAsia="Calibri" w:hAnsi="Calibri"/>
          <w:color w:val="262626"/>
          <w:sz w:val="21"/>
          <w:szCs w:val="21"/>
        </w:rPr>
        <w:t xml:space="preserve">Agents proliferate faster than applications because the barrier to creating one is a web form. Governance has to be designed in at the start, because retrofitting it to forty departmental agents is a project nobody will fund.</w:t>
      </w:r>
    </w:p>
    <w:p>
      <w:pPr>
        <w:pStyle w:val="Heading2"/>
        <w:spacing w:after="120" w:before="280"/>
      </w:pPr>
      <w:r>
        <w:rPr>
          <w:rFonts w:ascii="Calibri" w:cs="Calibri" w:eastAsia="Calibri" w:hAnsi="Calibri"/>
          <w:b/>
          <w:bCs/>
          <w:color w:val="2E75B6"/>
          <w:sz w:val="25"/>
          <w:szCs w:val="25"/>
        </w:rPr>
        <w:t xml:space="preserve">12.1 The inventory problem</w:t>
      </w:r>
    </w:p>
    <w:p>
      <w:pPr>
        <w:spacing w:after="120" w:before="0" w:line="264"/>
        <w:jc w:val="left"/>
      </w:pPr>
      <w:r>
        <w:rPr>
          <w:rFonts w:ascii="Calibri" w:cs="Calibri" w:eastAsia="Calibri" w:hAnsi="Calibri"/>
          <w:color w:val="262626"/>
          <w:sz w:val="21"/>
          <w:szCs w:val="21"/>
        </w:rPr>
        <w:t xml:space="preserve">Microsoft’s answer is Agent 365, management infrastructure for AI agents introduced at Ignite 2025 and available through the Microsoft 365 admin centre under the Frontier early-access programme. It provides five things worth understanding even if we do not adopt it immediately:</w:t>
      </w:r>
    </w:p>
    <w:p>
      <w:pPr>
        <w:pStyle w:val="ListParagraph"/>
        <w:numPr>
          <w:ilvl w:val="0"/>
          <w:numId w:val="3"/>
        </w:numPr>
        <w:spacing w:after="80" w:line="264"/>
      </w:pPr>
      <w:r>
        <w:rPr>
          <w:rFonts w:ascii="Calibri" w:cs="Calibri" w:eastAsia="Calibri" w:hAnsi="Calibri"/>
          <w:b/>
          <w:bCs/>
          <w:color w:val="262626"/>
          <w:sz w:val="21"/>
          <w:szCs w:val="21"/>
        </w:rPr>
        <w:t xml:space="preserve">Registry </w:t>
      </w:r>
      <w:r>
        <w:rPr>
          <w:rFonts w:ascii="Calibri" w:cs="Calibri" w:eastAsia="Calibri" w:hAnsi="Calibri"/>
          <w:color w:val="262626"/>
          <w:sz w:val="21"/>
          <w:szCs w:val="21"/>
        </w:rPr>
        <w:t xml:space="preserve">— visibility of all agents in the organisation, including shadow agents nobody registered.</w:t>
      </w:r>
    </w:p>
    <w:p>
      <w:pPr>
        <w:pStyle w:val="ListParagraph"/>
        <w:numPr>
          <w:ilvl w:val="0"/>
          <w:numId w:val="3"/>
        </w:numPr>
        <w:spacing w:after="80" w:line="264"/>
      </w:pPr>
      <w:r>
        <w:rPr>
          <w:rFonts w:ascii="Calibri" w:cs="Calibri" w:eastAsia="Calibri" w:hAnsi="Calibri"/>
          <w:b/>
          <w:bCs/>
          <w:color w:val="262626"/>
          <w:sz w:val="21"/>
          <w:szCs w:val="21"/>
        </w:rPr>
        <w:t xml:space="preserve">Access control </w:t>
      </w:r>
      <w:r>
        <w:rPr>
          <w:rFonts w:ascii="Calibri" w:cs="Calibri" w:eastAsia="Calibri" w:hAnsi="Calibri"/>
          <w:color w:val="262626"/>
          <w:sz w:val="21"/>
          <w:szCs w:val="21"/>
        </w:rPr>
        <w:t xml:space="preserve">— risk-based conditional access limiting each agent to the resources it needs.</w:t>
      </w:r>
    </w:p>
    <w:p>
      <w:pPr>
        <w:pStyle w:val="ListParagraph"/>
        <w:numPr>
          <w:ilvl w:val="0"/>
          <w:numId w:val="3"/>
        </w:numPr>
        <w:spacing w:after="80" w:line="264"/>
      </w:pPr>
      <w:r>
        <w:rPr>
          <w:rFonts w:ascii="Calibri" w:cs="Calibri" w:eastAsia="Calibri" w:hAnsi="Calibri"/>
          <w:b/>
          <w:bCs/>
          <w:color w:val="262626"/>
          <w:sz w:val="21"/>
          <w:szCs w:val="21"/>
        </w:rPr>
        <w:t xml:space="preserve">Visualisation </w:t>
      </w:r>
      <w:r>
        <w:rPr>
          <w:rFonts w:ascii="Calibri" w:cs="Calibri" w:eastAsia="Calibri" w:hAnsi="Calibri"/>
          <w:color w:val="262626"/>
          <w:sz w:val="21"/>
          <w:szCs w:val="21"/>
        </w:rPr>
        <w:t xml:space="preserve">— real-time monitoring of agent connections, behaviour and performance impact.</w:t>
      </w:r>
    </w:p>
    <w:p>
      <w:pPr>
        <w:pStyle w:val="ListParagraph"/>
        <w:numPr>
          <w:ilvl w:val="0"/>
          <w:numId w:val="3"/>
        </w:numPr>
        <w:spacing w:after="80" w:line="264"/>
      </w:pPr>
      <w:r>
        <w:rPr>
          <w:rFonts w:ascii="Calibri" w:cs="Calibri" w:eastAsia="Calibri" w:hAnsi="Calibri"/>
          <w:b/>
          <w:bCs/>
          <w:color w:val="262626"/>
          <w:sz w:val="21"/>
          <w:szCs w:val="21"/>
        </w:rPr>
        <w:t xml:space="preserve">Interoperability </w:t>
      </w:r>
      <w:r>
        <w:rPr>
          <w:rFonts w:ascii="Calibri" w:cs="Calibri" w:eastAsia="Calibri" w:hAnsi="Calibri"/>
          <w:color w:val="262626"/>
          <w:sz w:val="21"/>
          <w:szCs w:val="21"/>
        </w:rPr>
        <w:t xml:space="preserve">— connecting agents to apps and data, including through Work IQ context.</w:t>
      </w:r>
    </w:p>
    <w:p>
      <w:pPr>
        <w:pStyle w:val="ListParagraph"/>
        <w:numPr>
          <w:ilvl w:val="0"/>
          <w:numId w:val="3"/>
        </w:numPr>
        <w:spacing w:after="80" w:line="264"/>
      </w:pPr>
      <w:r>
        <w:rPr>
          <w:rFonts w:ascii="Calibri" w:cs="Calibri" w:eastAsia="Calibri" w:hAnsi="Calibri"/>
          <w:b/>
          <w:bCs/>
          <w:color w:val="262626"/>
          <w:sz w:val="21"/>
          <w:szCs w:val="21"/>
        </w:rPr>
        <w:t xml:space="preserve">Security </w:t>
      </w:r>
      <w:r>
        <w:rPr>
          <w:rFonts w:ascii="Calibri" w:cs="Calibri" w:eastAsia="Calibri" w:hAnsi="Calibri"/>
          <w:color w:val="262626"/>
          <w:sz w:val="21"/>
          <w:szCs w:val="21"/>
        </w:rPr>
        <w:t xml:space="preserve">— Defender, Entra and Purview applied to agents as first-class principals.</w:t>
      </w:r>
    </w:p>
    <w:p>
      <w:pPr>
        <w:spacing w:after="120" w:before="0" w:line="264"/>
        <w:jc w:val="left"/>
      </w:pPr>
      <w:r>
        <w:rPr>
          <w:rFonts w:ascii="Calibri" w:cs="Calibri" w:eastAsia="Calibri" w:hAnsi="Calibri"/>
          <w:color w:val="262626"/>
          <w:sz w:val="21"/>
          <w:szCs w:val="21"/>
        </w:rPr>
        <w:t xml:space="preserve">Related: Copilot Studio agents receive Microsoft Entra Agent IDs, which gives each agent a distinct identity for lifecycle governance. Whether or not we adopt Agent 365, the principle is one to copy immediately — every agent gets an identity, an owner and an inventory entry on day one.</w:t>
      </w:r>
    </w:p>
    <w:p>
      <w:pPr>
        <w:pStyle w:val="Heading2"/>
        <w:spacing w:after="120" w:before="280"/>
      </w:pPr>
      <w:r>
        <w:rPr>
          <w:rFonts w:ascii="Calibri" w:cs="Calibri" w:eastAsia="Calibri" w:hAnsi="Calibri"/>
          <w:b/>
          <w:bCs/>
          <w:color w:val="2E75B6"/>
          <w:sz w:val="25"/>
          <w:szCs w:val="25"/>
        </w:rPr>
        <w:t xml:space="preserve">12.2 A minimum viable governance model</w:t>
      </w:r>
    </w:p>
    <w:tbl>
      <w:tblPr>
        <w:tblW w:type="dxa" w:w="10080"/>
        <w:tblBorders>
          <w:top w:val="single" w:color="BFBFBF" w:sz="4"/>
          <w:left w:val="single" w:color="BFBFBF" w:sz="4"/>
          <w:bottom w:val="single" w:color="BFBFBF" w:sz="4"/>
          <w:right w:val="single" w:color="BFBFBF" w:sz="4"/>
          <w:insideH w:val="single" w:color="D9D9D9" w:sz="2"/>
          <w:insideV w:val="single" w:color="D9D9D9" w:sz="2"/>
        </w:tblBorders>
      </w:tblPr>
      <w:tblGrid>
        <w:gridCol w:w="2218"/>
        <w:gridCol w:w="7862"/>
      </w:tblGrid>
      <w:tr>
        <w:trPr>
          <w:tblHeader/>
        </w:trPr>
        <w:tc>
          <w:tcPr>
            <w:tcW w:type="dxa" w:w="2218"/>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Control</w:t>
            </w:r>
          </w:p>
        </w:tc>
        <w:tc>
          <w:tcPr>
            <w:tcW w:type="dxa" w:w="7862"/>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What good looks like</w:t>
            </w:r>
          </w:p>
        </w:tc>
      </w:tr>
      <w:tr>
        <w:trPr>
          <w:cantSplit/>
        </w:trPr>
        <w:tc>
          <w:tcPr>
            <w:tcW w:type="dxa" w:w="2218"/>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Inventory</w:t>
            </w:r>
          </w:p>
        </w:tc>
        <w:tc>
          <w:tcPr>
            <w:tcW w:type="dxa" w:w="7862"/>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Every agent — including pilots and no-code agents — has an entry with owner, purpose, data sources, audience and review date</w:t>
            </w:r>
          </w:p>
        </w:tc>
      </w:tr>
      <w:tr>
        <w:trPr>
          <w:cantSplit/>
        </w:trPr>
        <w:tc>
          <w:tcPr>
            <w:tcW w:type="dxa" w:w="2218"/>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Identity</w:t>
            </w:r>
          </w:p>
        </w:tc>
        <w:tc>
          <w:tcPr>
            <w:tcW w:type="dxa" w:w="7862"/>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Each agent runs under a distinct identity, and acts under the calling user’s permissions wherever the platform supports it</w:t>
            </w:r>
          </w:p>
        </w:tc>
      </w:tr>
      <w:tr>
        <w:trPr>
          <w:cantSplit/>
        </w:trPr>
        <w:tc>
          <w:tcPr>
            <w:tcW w:type="dxa" w:w="2218"/>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Environments</w:t>
            </w:r>
          </w:p>
        </w:tc>
        <w:tc>
          <w:tcPr>
            <w:tcW w:type="dxa" w:w="7862"/>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Separate development, test and production, with DLP policies applied per environment</w:t>
            </w:r>
          </w:p>
        </w:tc>
      </w:tr>
      <w:tr>
        <w:trPr>
          <w:cantSplit/>
        </w:trPr>
        <w:tc>
          <w:tcPr>
            <w:tcW w:type="dxa" w:w="2218"/>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Approval gate</w:t>
            </w:r>
          </w:p>
        </w:tc>
        <w:tc>
          <w:tcPr>
            <w:tcW w:type="dxa" w:w="7862"/>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Anything that writes to a system of record, faces customers, or acts autonomously goes through a named review</w:t>
            </w:r>
          </w:p>
        </w:tc>
      </w:tr>
      <w:tr>
        <w:trPr>
          <w:cantSplit/>
        </w:trPr>
        <w:tc>
          <w:tcPr>
            <w:tcW w:type="dxa" w:w="2218"/>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Data classification</w:t>
            </w:r>
          </w:p>
        </w:tc>
        <w:tc>
          <w:tcPr>
            <w:tcW w:type="dxa" w:w="7862"/>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Sensitivity labels and Purview policies are respected and verified before launch, not assumed</w:t>
            </w:r>
          </w:p>
        </w:tc>
      </w:tr>
      <w:tr>
        <w:trPr>
          <w:cantSplit/>
        </w:trPr>
        <w:tc>
          <w:tcPr>
            <w:tcW w:type="dxa" w:w="2218"/>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Evaluation</w:t>
            </w:r>
          </w:p>
        </w:tc>
        <w:tc>
          <w:tcPr>
            <w:tcW w:type="dxa" w:w="7862"/>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A golden set exists and runs on every change; results are recorded</w:t>
            </w:r>
          </w:p>
        </w:tc>
      </w:tr>
      <w:tr>
        <w:trPr>
          <w:cantSplit/>
        </w:trPr>
        <w:tc>
          <w:tcPr>
            <w:tcW w:type="dxa" w:w="2218"/>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Monitoring</w:t>
            </w:r>
          </w:p>
        </w:tc>
        <w:tc>
          <w:tcPr>
            <w:tcW w:type="dxa" w:w="7862"/>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Token spend, error rate, handoff rate and user-reported bad answers are reviewed at a fixed cadence</w:t>
            </w:r>
          </w:p>
        </w:tc>
      </w:tr>
      <w:tr>
        <w:trPr>
          <w:cantSplit/>
        </w:trPr>
        <w:tc>
          <w:tcPr>
            <w:tcW w:type="dxa" w:w="2218"/>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Decommission</w:t>
            </w:r>
          </w:p>
        </w:tc>
        <w:tc>
          <w:tcPr>
            <w:tcW w:type="dxa" w:w="7862"/>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Every agent has a review date; unowned agents are switched off, not left running</w:t>
            </w:r>
          </w:p>
        </w:tc>
      </w:tr>
    </w:tbl>
    <w:p>
      <w:pPr>
        <w:pStyle w:val="Heading2"/>
        <w:spacing w:after="120" w:before="280"/>
      </w:pPr>
      <w:r>
        <w:rPr>
          <w:rFonts w:ascii="Calibri" w:cs="Calibri" w:eastAsia="Calibri" w:hAnsi="Calibri"/>
          <w:b/>
          <w:bCs/>
          <w:color w:val="2E75B6"/>
          <w:sz w:val="25"/>
          <w:szCs w:val="25"/>
        </w:rPr>
        <w:t xml:space="preserve">12.3 Roles</w:t>
      </w:r>
    </w:p>
    <w:tbl>
      <w:tblPr>
        <w:tblW w:type="dxa" w:w="10080"/>
        <w:tblBorders>
          <w:top w:val="single" w:color="BFBFBF" w:sz="4"/>
          <w:left w:val="single" w:color="BFBFBF" w:sz="4"/>
          <w:bottom w:val="single" w:color="BFBFBF" w:sz="4"/>
          <w:right w:val="single" w:color="BFBFBF" w:sz="4"/>
          <w:insideH w:val="single" w:color="D9D9D9" w:sz="2"/>
          <w:insideV w:val="single" w:color="D9D9D9" w:sz="2"/>
        </w:tblBorders>
      </w:tblPr>
      <w:tblGrid>
        <w:gridCol w:w="2419"/>
        <w:gridCol w:w="7661"/>
      </w:tblGrid>
      <w:tr>
        <w:trPr>
          <w:tblHeader/>
        </w:trPr>
        <w:tc>
          <w:tcPr>
            <w:tcW w:type="dxa" w:w="2419"/>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Role</w:t>
            </w:r>
          </w:p>
        </w:tc>
        <w:tc>
          <w:tcPr>
            <w:tcW w:type="dxa" w:w="7661"/>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Owns</w:t>
            </w:r>
          </w:p>
        </w:tc>
      </w:tr>
      <w:tr>
        <w:trPr>
          <w:cantSplit/>
        </w:trPr>
        <w:tc>
          <w:tcPr>
            <w:tcW w:type="dxa" w:w="2419"/>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Agent owner (business)</w:t>
            </w:r>
          </w:p>
        </w:tc>
        <w:tc>
          <w:tcPr>
            <w:tcW w:type="dxa" w:w="7661"/>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The purpose, the scope statement, the evaluation set, and the decision to retire it</w:t>
            </w:r>
          </w:p>
        </w:tc>
      </w:tr>
      <w:tr>
        <w:trPr>
          <w:cantSplit/>
        </w:trPr>
        <w:tc>
          <w:tcPr>
            <w:tcW w:type="dxa" w:w="2419"/>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Solution architect</w:t>
            </w:r>
          </w:p>
        </w:tc>
        <w:tc>
          <w:tcPr>
            <w:tcW w:type="dxa" w:w="7661"/>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The build-tier decision, the architecture, and the limits check against Section 9</w:t>
            </w:r>
          </w:p>
        </w:tc>
      </w:tr>
      <w:tr>
        <w:trPr>
          <w:cantSplit/>
        </w:trPr>
        <w:tc>
          <w:tcPr>
            <w:tcW w:type="dxa" w:w="2419"/>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Platform / IT</w:t>
            </w:r>
          </w:p>
        </w:tc>
        <w:tc>
          <w:tcPr>
            <w:tcW w:type="dxa" w:w="7661"/>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Environments, identities, DLP, licensing, capacity and rate-limit headroom</w:t>
            </w:r>
          </w:p>
        </w:tc>
      </w:tr>
      <w:tr>
        <w:trPr>
          <w:cantSplit/>
        </w:trPr>
        <w:tc>
          <w:tcPr>
            <w:tcW w:type="dxa" w:w="2419"/>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Security</w:t>
            </w:r>
          </w:p>
        </w:tc>
        <w:tc>
          <w:tcPr>
            <w:tcW w:type="dxa" w:w="7661"/>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Data classification review, prompt-injection posture, tool permission review, incident response</w:t>
            </w:r>
          </w:p>
        </w:tc>
      </w:tr>
      <w:tr>
        <w:trPr>
          <w:cantSplit/>
        </w:trPr>
        <w:tc>
          <w:tcPr>
            <w:tcW w:type="dxa" w:w="2419"/>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Engineering lead</w:t>
            </w:r>
          </w:p>
        </w:tc>
        <w:tc>
          <w:tcPr>
            <w:tcW w:type="dxa" w:w="7661"/>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GitHub Copilot configuration standards, CODEOWNERS on agent and skill files, CI evaluation gates</w:t>
            </w:r>
          </w:p>
        </w:tc>
      </w:tr>
    </w:tbl>
    <w:p>
      <w:pPr>
        <w:pStyle w:val="Heading1"/>
        <w:pageBreakBefore/>
        <w:pBdr>
          <w:bottom w:val="single" w:color="2E75B6" w:sz="12" w:space="6"/>
        </w:pBdr>
        <w:spacing w:after="200" w:before="0"/>
      </w:pPr>
      <w:r>
        <w:rPr>
          <w:rFonts w:ascii="Calibri" w:cs="Calibri" w:eastAsia="Calibri" w:hAnsi="Calibri"/>
          <w:b/>
          <w:bCs/>
          <w:color w:val="1F3864"/>
          <w:sz w:val="32"/>
          <w:szCs w:val="32"/>
        </w:rPr>
        <w:t xml:space="preserve">13. A ninety-day adoption plan</w:t>
      </w:r>
    </w:p>
    <w:p>
      <w:pPr>
        <w:spacing w:after="120" w:before="0" w:line="264"/>
        <w:jc w:val="left"/>
      </w:pPr>
      <w:r>
        <w:rPr>
          <w:rFonts w:ascii="Calibri" w:cs="Calibri" w:eastAsia="Calibri" w:hAnsi="Calibri"/>
          <w:color w:val="262626"/>
          <w:sz w:val="21"/>
          <w:szCs w:val="21"/>
        </w:rPr>
        <w:t xml:space="preserve">A sequence that produces evidence early and avoids the two common failure modes: a long platform project with nothing to show, and a scatter of ungoverned departmental agents.</w:t>
      </w:r>
    </w:p>
    <w:p>
      <w:pPr>
        <w:pStyle w:val="Heading2"/>
        <w:spacing w:after="120" w:before="280"/>
      </w:pPr>
      <w:r>
        <w:rPr>
          <w:rFonts w:ascii="Calibri" w:cs="Calibri" w:eastAsia="Calibri" w:hAnsi="Calibri"/>
          <w:b/>
          <w:bCs/>
          <w:color w:val="2E75B6"/>
          <w:sz w:val="25"/>
          <w:szCs w:val="25"/>
        </w:rPr>
        <w:t xml:space="preserve">Days 1–30 — Establish the floor</w:t>
      </w:r>
    </w:p>
    <w:p>
      <w:pPr>
        <w:pStyle w:val="ListParagraph"/>
        <w:numPr>
          <w:ilvl w:val="0"/>
          <w:numId w:val="3"/>
        </w:numPr>
        <w:spacing w:after="80" w:line="264"/>
      </w:pPr>
      <w:r>
        <w:rPr>
          <w:rFonts w:ascii="Calibri" w:cs="Calibri" w:eastAsia="Calibri" w:hAnsi="Calibri"/>
          <w:color w:val="262626"/>
          <w:sz w:val="21"/>
          <w:szCs w:val="21"/>
        </w:rPr>
        <w:t xml:space="preserve">Confirm licensing position for Microsoft 365 Copilot and GitHub Copilot, and who holds what today.</w:t>
      </w:r>
    </w:p>
    <w:p>
      <w:pPr>
        <w:pStyle w:val="ListParagraph"/>
        <w:numPr>
          <w:ilvl w:val="0"/>
          <w:numId w:val="3"/>
        </w:numPr>
        <w:spacing w:after="80" w:line="264"/>
      </w:pPr>
      <w:r>
        <w:rPr>
          <w:rFonts w:ascii="Calibri" w:cs="Calibri" w:eastAsia="Calibri" w:hAnsi="Calibri"/>
          <w:color w:val="262626"/>
          <w:sz w:val="21"/>
          <w:szCs w:val="21"/>
        </w:rPr>
        <w:t xml:space="preserve">Run the permissions and content review for the first two target departments.</w:t>
      </w:r>
    </w:p>
    <w:p>
      <w:pPr>
        <w:pStyle w:val="ListParagraph"/>
        <w:numPr>
          <w:ilvl w:val="0"/>
          <w:numId w:val="3"/>
        </w:numPr>
        <w:spacing w:after="80" w:line="264"/>
      </w:pPr>
      <w:r>
        <w:rPr>
          <w:rFonts w:ascii="Calibri" w:cs="Calibri" w:eastAsia="Calibri" w:hAnsi="Calibri"/>
          <w:color w:val="262626"/>
          <w:sz w:val="21"/>
          <w:szCs w:val="21"/>
        </w:rPr>
        <w:t xml:space="preserve">Ship the GitHub Copilot baseline: one repository-level custom instructions file and two agent skills for the procedures the team repeats and gets wrong.</w:t>
      </w:r>
    </w:p>
    <w:p>
      <w:pPr>
        <w:pStyle w:val="ListParagraph"/>
        <w:numPr>
          <w:ilvl w:val="0"/>
          <w:numId w:val="3"/>
        </w:numPr>
        <w:spacing w:after="80" w:line="264"/>
      </w:pPr>
      <w:r>
        <w:rPr>
          <w:rFonts w:ascii="Calibri" w:cs="Calibri" w:eastAsia="Calibri" w:hAnsi="Calibri"/>
          <w:color w:val="262626"/>
          <w:sz w:val="21"/>
          <w:szCs w:val="21"/>
        </w:rPr>
        <w:t xml:space="preserve">Stand up the agent inventory — a spreadsheet is acceptable in month one, a registry is not optional by month six.</w:t>
      </w:r>
    </w:p>
    <w:p>
      <w:pPr>
        <w:pStyle w:val="ListParagraph"/>
        <w:numPr>
          <w:ilvl w:val="0"/>
          <w:numId w:val="3"/>
        </w:numPr>
        <w:spacing w:after="80" w:line="264"/>
      </w:pPr>
      <w:r>
        <w:rPr>
          <w:rFonts w:ascii="Calibri" w:cs="Calibri" w:eastAsia="Calibri" w:hAnsi="Calibri"/>
          <w:color w:val="262626"/>
          <w:sz w:val="21"/>
          <w:szCs w:val="21"/>
        </w:rPr>
        <w:t xml:space="preserve">Collect candidate use cases and run every one through the Section 3 flowchart. Record which rung each lands on.</w:t>
      </w:r>
    </w:p>
    <w:p>
      <w:pPr>
        <w:pStyle w:val="Heading2"/>
        <w:spacing w:after="120" w:before="280"/>
      </w:pPr>
      <w:r>
        <w:rPr>
          <w:rFonts w:ascii="Calibri" w:cs="Calibri" w:eastAsia="Calibri" w:hAnsi="Calibri"/>
          <w:b/>
          <w:bCs/>
          <w:color w:val="2E75B6"/>
          <w:sz w:val="25"/>
          <w:szCs w:val="25"/>
        </w:rPr>
        <w:t xml:space="preserve">Days 31–60 — Prove the middle rung</w:t>
      </w:r>
    </w:p>
    <w:p>
      <w:pPr>
        <w:pStyle w:val="ListParagraph"/>
        <w:numPr>
          <w:ilvl w:val="0"/>
          <w:numId w:val="3"/>
        </w:numPr>
        <w:spacing w:after="80" w:line="264"/>
      </w:pPr>
      <w:r>
        <w:rPr>
          <w:rFonts w:ascii="Calibri" w:cs="Calibri" w:eastAsia="Calibri" w:hAnsi="Calibri"/>
          <w:color w:val="262626"/>
          <w:sz w:val="21"/>
          <w:szCs w:val="21"/>
        </w:rPr>
        <w:t xml:space="preserve">Build two declarative agents for the highest-scoring use cases. Target days, not weeks, per agent.</w:t>
      </w:r>
    </w:p>
    <w:p>
      <w:pPr>
        <w:pStyle w:val="ListParagraph"/>
        <w:numPr>
          <w:ilvl w:val="0"/>
          <w:numId w:val="3"/>
        </w:numPr>
        <w:spacing w:after="80" w:line="264"/>
      </w:pPr>
      <w:r>
        <w:rPr>
          <w:rFonts w:ascii="Calibri" w:cs="Calibri" w:eastAsia="Calibri" w:hAnsi="Calibri"/>
          <w:color w:val="262626"/>
          <w:sz w:val="21"/>
          <w:szCs w:val="21"/>
        </w:rPr>
        <w:t xml:space="preserve">Write the golden evaluation set for each before launch — twenty to fifty real questions.</w:t>
      </w:r>
    </w:p>
    <w:p>
      <w:pPr>
        <w:pStyle w:val="ListParagraph"/>
        <w:numPr>
          <w:ilvl w:val="0"/>
          <w:numId w:val="3"/>
        </w:numPr>
        <w:spacing w:after="80" w:line="264"/>
      </w:pPr>
      <w:r>
        <w:rPr>
          <w:rFonts w:ascii="Calibri" w:cs="Calibri" w:eastAsia="Calibri" w:hAnsi="Calibri"/>
          <w:color w:val="262626"/>
          <w:sz w:val="21"/>
          <w:szCs w:val="21"/>
        </w:rPr>
        <w:t xml:space="preserve">Pilot with a real team for a minimum of one full week covering peak windows; capture baseline metrics.</w:t>
      </w:r>
    </w:p>
    <w:p>
      <w:pPr>
        <w:pStyle w:val="ListParagraph"/>
        <w:numPr>
          <w:ilvl w:val="0"/>
          <w:numId w:val="3"/>
        </w:numPr>
        <w:spacing w:after="80" w:line="264"/>
      </w:pPr>
      <w:r>
        <w:rPr>
          <w:rFonts w:ascii="Calibri" w:cs="Calibri" w:eastAsia="Calibri" w:hAnsi="Calibri"/>
          <w:color w:val="262626"/>
          <w:sz w:val="21"/>
          <w:szCs w:val="21"/>
        </w:rPr>
        <w:t xml:space="preserve">Promote proven GitHub Copilot skills to the organisation-level .github repository.</w:t>
      </w:r>
    </w:p>
    <w:p>
      <w:pPr>
        <w:pStyle w:val="ListParagraph"/>
        <w:numPr>
          <w:ilvl w:val="0"/>
          <w:numId w:val="3"/>
        </w:numPr>
        <w:spacing w:after="80" w:line="264"/>
      </w:pPr>
      <w:r>
        <w:rPr>
          <w:rFonts w:ascii="Calibri" w:cs="Calibri" w:eastAsia="Calibri" w:hAnsi="Calibri"/>
          <w:color w:val="262626"/>
          <w:sz w:val="21"/>
          <w:szCs w:val="21"/>
        </w:rPr>
        <w:t xml:space="preserve">Instrument token and credit spend with alerts and a ceiling.</w:t>
      </w:r>
    </w:p>
    <w:p>
      <w:pPr>
        <w:pStyle w:val="Heading2"/>
        <w:spacing w:after="120" w:before="280"/>
      </w:pPr>
      <w:r>
        <w:rPr>
          <w:rFonts w:ascii="Calibri" w:cs="Calibri" w:eastAsia="Calibri" w:hAnsi="Calibri"/>
          <w:b/>
          <w:bCs/>
          <w:color w:val="2E75B6"/>
          <w:sz w:val="25"/>
          <w:szCs w:val="25"/>
        </w:rPr>
        <w:t xml:space="preserve">Days 61–90 — Decide, govern, and scale what works</w:t>
      </w:r>
    </w:p>
    <w:p>
      <w:pPr>
        <w:pStyle w:val="ListParagraph"/>
        <w:numPr>
          <w:ilvl w:val="0"/>
          <w:numId w:val="3"/>
        </w:numPr>
        <w:spacing w:after="80" w:line="264"/>
      </w:pPr>
      <w:r>
        <w:rPr>
          <w:rFonts w:ascii="Calibri" w:cs="Calibri" w:eastAsia="Calibri" w:hAnsi="Calibri"/>
          <w:color w:val="262626"/>
          <w:sz w:val="21"/>
          <w:szCs w:val="21"/>
        </w:rPr>
        <w:t xml:space="preserve">Review pilot evidence against the baseline. Retire anything that did not move a metric.</w:t>
      </w:r>
    </w:p>
    <w:p>
      <w:pPr>
        <w:pStyle w:val="ListParagraph"/>
        <w:numPr>
          <w:ilvl w:val="0"/>
          <w:numId w:val="3"/>
        </w:numPr>
        <w:spacing w:after="80" w:line="264"/>
      </w:pPr>
      <w:r>
        <w:rPr>
          <w:rFonts w:ascii="Calibri" w:cs="Calibri" w:eastAsia="Calibri" w:hAnsi="Calibri"/>
          <w:color w:val="262626"/>
          <w:sz w:val="21"/>
          <w:szCs w:val="21"/>
        </w:rPr>
        <w:t xml:space="preserve">Promote at most one use case to a custom engine agent, and only if it meets a Section 6.2 trigger.</w:t>
      </w:r>
    </w:p>
    <w:p>
      <w:pPr>
        <w:pStyle w:val="ListParagraph"/>
        <w:numPr>
          <w:ilvl w:val="0"/>
          <w:numId w:val="3"/>
        </w:numPr>
        <w:spacing w:after="80" w:line="264"/>
      </w:pPr>
      <w:r>
        <w:rPr>
          <w:rFonts w:ascii="Calibri" w:cs="Calibri" w:eastAsia="Calibri" w:hAnsi="Calibri"/>
          <w:color w:val="262626"/>
          <w:sz w:val="21"/>
          <w:szCs w:val="21"/>
        </w:rPr>
        <w:t xml:space="preserve">Formalise the governance model from Section 12 and assign the roles.</w:t>
      </w:r>
    </w:p>
    <w:p>
      <w:pPr>
        <w:pStyle w:val="ListParagraph"/>
        <w:numPr>
          <w:ilvl w:val="0"/>
          <w:numId w:val="3"/>
        </w:numPr>
        <w:spacing w:after="80" w:line="264"/>
      </w:pPr>
      <w:r>
        <w:rPr>
          <w:rFonts w:ascii="Calibri" w:cs="Calibri" w:eastAsia="Calibri" w:hAnsi="Calibri"/>
          <w:color w:val="262626"/>
          <w:sz w:val="21"/>
          <w:szCs w:val="21"/>
        </w:rPr>
        <w:t xml:space="preserve">Publish the internal standard — Section 10 of this document is the starting draft.</w:t>
      </w:r>
    </w:p>
    <w:p>
      <w:pPr>
        <w:pStyle w:val="ListParagraph"/>
        <w:numPr>
          <w:ilvl w:val="0"/>
          <w:numId w:val="3"/>
        </w:numPr>
        <w:spacing w:after="80" w:line="264"/>
      </w:pPr>
      <w:r>
        <w:rPr>
          <w:rFonts w:ascii="Calibri" w:cs="Calibri" w:eastAsia="Calibri" w:hAnsi="Calibri"/>
          <w:color w:val="262626"/>
          <w:sz w:val="21"/>
          <w:szCs w:val="21"/>
        </w:rPr>
        <w:t xml:space="preserve">Set the quarterly review date for this document; limits, prices and product names will have moved.</w:t>
      </w:r>
    </w:p>
    <w:p>
      <w:pPr>
        <w:pStyle w:val="Heading1"/>
        <w:pageBreakBefore/>
        <w:pBdr>
          <w:bottom w:val="single" w:color="2E75B6" w:sz="12" w:space="6"/>
        </w:pBdr>
        <w:spacing w:after="200" w:before="0"/>
      </w:pPr>
      <w:r>
        <w:rPr>
          <w:rFonts w:ascii="Calibri" w:cs="Calibri" w:eastAsia="Calibri" w:hAnsi="Calibri"/>
          <w:b/>
          <w:bCs/>
          <w:color w:val="1F3864"/>
          <w:sz w:val="32"/>
          <w:szCs w:val="32"/>
        </w:rPr>
        <w:t xml:space="preserve">Appendix A — Glossary</w:t>
      </w:r>
    </w:p>
    <w:tbl>
      <w:tblPr>
        <w:tblW w:type="dxa" w:w="10080"/>
        <w:tblBorders>
          <w:top w:val="single" w:color="BFBFBF" w:sz="4"/>
          <w:left w:val="single" w:color="BFBFBF" w:sz="4"/>
          <w:bottom w:val="single" w:color="BFBFBF" w:sz="4"/>
          <w:right w:val="single" w:color="BFBFBF" w:sz="4"/>
          <w:insideH w:val="single" w:color="D9D9D9" w:sz="2"/>
          <w:insideV w:val="single" w:color="D9D9D9" w:sz="2"/>
        </w:tblBorders>
      </w:tblPr>
      <w:tblGrid>
        <w:gridCol w:w="2520"/>
        <w:gridCol w:w="7560"/>
      </w:tblGrid>
      <w:tr>
        <w:trPr>
          <w:tblHeader/>
        </w:trPr>
        <w:tc>
          <w:tcPr>
            <w:tcW w:type="dxa" w:w="2520"/>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Term</w:t>
            </w:r>
          </w:p>
        </w:tc>
        <w:tc>
          <w:tcPr>
            <w:tcW w:type="dxa" w:w="7560"/>
            <w:shd w:fill="1F3864" w:val="clear"/>
            <w:tcMar>
              <w:top w:type="dxa" w:w="90"/>
              <w:left w:type="dxa" w:w="120"/>
              <w:bottom w:type="dxa" w:w="90"/>
              <w:right w:type="dxa" w:w="120"/>
            </w:tcMar>
            <w:vAlign w:val="center"/>
          </w:tcPr>
          <w:p>
            <w:pPr>
              <w:spacing w:after="40" w:before="40" w:line="252"/>
              <w:jc w:val="left"/>
            </w:pPr>
            <w:r>
              <w:rPr>
                <w:rFonts w:ascii="Calibri" w:cs="Calibri" w:eastAsia="Calibri" w:hAnsi="Calibri"/>
                <w:b/>
                <w:bCs/>
                <w:color w:val="FFFFFF"/>
                <w:sz w:val="19"/>
                <w:szCs w:val="19"/>
              </w:rPr>
              <w:t xml:space="preserve">Meaning</w:t>
            </w:r>
          </w:p>
        </w:tc>
      </w:tr>
      <w:tr>
        <w:trPr>
          <w:cantSplit/>
        </w:trPr>
        <w:tc>
          <w:tcPr>
            <w:tcW w:type="dxa" w:w="2520"/>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Agent 365</w:t>
            </w:r>
          </w:p>
        </w:tc>
        <w:tc>
          <w:tcPr>
            <w:tcW w:type="dxa" w:w="7560"/>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Microsoft’s management infrastructure for AI agents — registry, access control, visualisation, interoperability and security — introduced at Ignite 2025</w:t>
            </w:r>
          </w:p>
        </w:tc>
      </w:tr>
      <w:tr>
        <w:trPr>
          <w:cantSplit/>
        </w:trPr>
        <w:tc>
          <w:tcPr>
            <w:tcW w:type="dxa" w:w="2520"/>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Agent skill</w:t>
            </w:r>
          </w:p>
        </w:tc>
        <w:tc>
          <w:tcPr>
            <w:tcW w:type="dxa" w:w="7560"/>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A folder of instructions, scripts and resources (SKILL.md plus supporting files) that an agent loads when relevant to the task</w:t>
            </w:r>
          </w:p>
        </w:tc>
      </w:tr>
      <w:tr>
        <w:trPr>
          <w:cantSplit/>
        </w:trPr>
        <w:tc>
          <w:tcPr>
            <w:tcW w:type="dxa" w:w="2520"/>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AI credits (GitHub)</w:t>
            </w:r>
          </w:p>
        </w:tc>
        <w:tc>
          <w:tcPr>
            <w:tcW w:type="dxa" w:w="7560"/>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GitHub Copilot’s billing unit since 1 June 2026. One credit = US$0.01; consumed by token usage at published per-model rates</w:t>
            </w:r>
          </w:p>
        </w:tc>
      </w:tr>
      <w:tr>
        <w:trPr>
          <w:cantSplit/>
        </w:trPr>
        <w:tc>
          <w:tcPr>
            <w:tcW w:type="dxa" w:w="2520"/>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Cloud agent</w:t>
            </w:r>
          </w:p>
        </w:tc>
        <w:tc>
          <w:tcPr>
            <w:tcW w:type="dxa" w:w="7560"/>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GitHub Copilot’s autonomous agent, running in an ephemeral GitHub Actions environment, which opens pull requests</w:t>
            </w:r>
          </w:p>
        </w:tc>
      </w:tr>
      <w:tr>
        <w:trPr>
          <w:cantSplit/>
        </w:trPr>
        <w:tc>
          <w:tcPr>
            <w:tcW w:type="dxa" w:w="2520"/>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Copilot Credits</w:t>
            </w:r>
          </w:p>
        </w:tc>
        <w:tc>
          <w:tcPr>
            <w:tcW w:type="dxa" w:w="7560"/>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Copilot Studio’s consumption currency, which replaced "messages" on 1 September 2025</w:t>
            </w:r>
          </w:p>
        </w:tc>
      </w:tr>
      <w:tr>
        <w:trPr>
          <w:cantSplit/>
        </w:trPr>
        <w:tc>
          <w:tcPr>
            <w:tcW w:type="dxa" w:w="2520"/>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Custom agent (GitHub)</w:t>
            </w:r>
          </w:p>
        </w:tc>
        <w:tc>
          <w:tcPr>
            <w:tcW w:type="dxa" w:w="7560"/>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A Markdown agent profile with YAML frontmatter defining a specialised Copilot for a workflow</w:t>
            </w:r>
          </w:p>
        </w:tc>
      </w:tr>
      <w:tr>
        <w:trPr>
          <w:cantSplit/>
        </w:trPr>
        <w:tc>
          <w:tcPr>
            <w:tcW w:type="dxa" w:w="2520"/>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Custom engine agent</w:t>
            </w:r>
          </w:p>
        </w:tc>
        <w:tc>
          <w:tcPr>
            <w:tcW w:type="dxa" w:w="7560"/>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An agent with its own orchestrator and model choice, which you host and for which you own compliance</w:t>
            </w:r>
          </w:p>
        </w:tc>
      </w:tr>
      <w:tr>
        <w:trPr>
          <w:cantSplit/>
        </w:trPr>
        <w:tc>
          <w:tcPr>
            <w:tcW w:type="dxa" w:w="2520"/>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Declarative agent</w:t>
            </w:r>
          </w:p>
        </w:tc>
        <w:tc>
          <w:tcPr>
            <w:tcW w:type="dxa" w:w="7560"/>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An agent defined by configuration — instructions, knowledge, actions — running on Copilot’s orchestrator and models</w:t>
            </w:r>
          </w:p>
        </w:tc>
      </w:tr>
      <w:tr>
        <w:trPr>
          <w:cantSplit/>
        </w:trPr>
        <w:tc>
          <w:tcPr>
            <w:tcW w:type="dxa" w:w="2520"/>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Entra Agent ID</w:t>
            </w:r>
          </w:p>
        </w:tc>
        <w:tc>
          <w:tcPr>
            <w:tcW w:type="dxa" w:w="7560"/>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A distinct Microsoft Entra identity issued to an agent, enabling attribution and lifecycle governance</w:t>
            </w:r>
          </w:p>
        </w:tc>
      </w:tr>
      <w:tr>
        <w:trPr>
          <w:cantSplit/>
        </w:trPr>
        <w:tc>
          <w:tcPr>
            <w:tcW w:type="dxa" w:w="2520"/>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Grounding</w:t>
            </w:r>
          </w:p>
        </w:tc>
        <w:tc>
          <w:tcPr>
            <w:tcW w:type="dxa" w:w="7560"/>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Retrieving relevant organisational data (via Microsoft Graph or a retrieval layer) to anchor a model’s response</w:t>
            </w:r>
          </w:p>
        </w:tc>
      </w:tr>
      <w:tr>
        <w:trPr>
          <w:cantSplit/>
        </w:trPr>
        <w:tc>
          <w:tcPr>
            <w:tcW w:type="dxa" w:w="2520"/>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MCP</w:t>
            </w:r>
          </w:p>
        </w:tc>
        <w:tc>
          <w:tcPr>
            <w:tcW w:type="dxa" w:w="7560"/>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Model Context Protocol — an open standard for exposing tools to agents, consumable across Copilot and custom runtimes</w:t>
            </w:r>
          </w:p>
        </w:tc>
      </w:tr>
      <w:tr>
        <w:trPr>
          <w:cantSplit/>
        </w:trPr>
        <w:tc>
          <w:tcPr>
            <w:tcW w:type="dxa" w:w="2520"/>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Premium request unit (PRU)</w:t>
            </w:r>
          </w:p>
        </w:tc>
        <w:tc>
          <w:tcPr>
            <w:tcW w:type="dxa" w:w="7560"/>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GitHub Copilot’s legacy billing unit, replaced by AI credits for subscribers who have transitioned</w:t>
            </w:r>
          </w:p>
        </w:tc>
      </w:tr>
      <w:tr>
        <w:trPr>
          <w:cantSplit/>
        </w:trPr>
        <w:tc>
          <w:tcPr>
            <w:tcW w:type="dxa" w:w="2520"/>
            <w:shd w:fill="F4F6F9"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Progressive disclosure</w:t>
            </w:r>
          </w:p>
        </w:tc>
        <w:tc>
          <w:tcPr>
            <w:tcW w:type="dxa" w:w="7560"/>
            <w:shd w:fill="F4F6F9"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Loading only a skill’s description into context until it matches the task, then loading the full skill</w:t>
            </w:r>
          </w:p>
        </w:tc>
      </w:tr>
      <w:tr>
        <w:trPr>
          <w:cantSplit/>
        </w:trPr>
        <w:tc>
          <w:tcPr>
            <w:tcW w:type="dxa" w:w="2520"/>
            <w:shd w:fill="FFFFFF" w:val="clear"/>
            <w:tcMar>
              <w:top w:type="dxa" w:w="85"/>
              <w:left w:type="dxa" w:w="120"/>
              <w:bottom w:type="dxa" w:w="85"/>
              <w:right w:type="dxa" w:w="120"/>
            </w:tcMar>
          </w:tcPr>
          <w:p>
            <w:pPr>
              <w:spacing w:after="40" w:before="40" w:line="252"/>
              <w:jc w:val="left"/>
            </w:pPr>
            <w:r>
              <w:rPr>
                <w:rFonts w:ascii="Calibri" w:cs="Calibri" w:eastAsia="Calibri" w:hAnsi="Calibri"/>
                <w:b/>
                <w:bCs/>
                <w:color w:val="262626"/>
                <w:sz w:val="19"/>
                <w:szCs w:val="19"/>
              </w:rPr>
              <w:t xml:space="preserve">Work IQ</w:t>
            </w:r>
          </w:p>
        </w:tc>
        <w:tc>
          <w:tcPr>
            <w:tcW w:type="dxa" w:w="7560"/>
            <w:shd w:fill="FFFFFF" w:val="clear"/>
            <w:tcMar>
              <w:top w:type="dxa" w:w="85"/>
              <w:left w:type="dxa" w:w="120"/>
              <w:bottom w:type="dxa" w:w="85"/>
              <w:right w:type="dxa" w:w="120"/>
            </w:tcMar>
          </w:tcPr>
          <w:p>
            <w:pPr>
              <w:spacing w:after="40" w:before="40" w:line="252"/>
              <w:jc w:val="left"/>
            </w:pPr>
            <w:r>
              <w:rPr>
                <w:rFonts w:ascii="Calibri" w:cs="Calibri" w:eastAsia="Calibri" w:hAnsi="Calibri"/>
                <w:b w:val="false"/>
                <w:bCs w:val="false"/>
                <w:color w:val="262626"/>
                <w:sz w:val="19"/>
                <w:szCs w:val="19"/>
              </w:rPr>
              <w:t xml:space="preserve">Microsoft’s organisational context layer used to ground agents in work data</w:t>
            </w:r>
          </w:p>
        </w:tc>
      </w:tr>
    </w:tbl>
    <w:p>
      <w:pPr>
        <w:pStyle w:val="Heading1"/>
        <w:pageBreakBefore/>
        <w:pBdr>
          <w:bottom w:val="single" w:color="2E75B6" w:sz="12" w:space="6"/>
        </w:pBdr>
        <w:spacing w:after="200" w:before="0"/>
      </w:pPr>
      <w:r>
        <w:rPr>
          <w:rFonts w:ascii="Calibri" w:cs="Calibri" w:eastAsia="Calibri" w:hAnsi="Calibri"/>
          <w:b/>
          <w:bCs/>
          <w:color w:val="1F3864"/>
          <w:sz w:val="32"/>
          <w:szCs w:val="32"/>
        </w:rPr>
        <w:t xml:space="preserve">Appendix B — Sources</w:t>
      </w:r>
    </w:p>
    <w:p>
      <w:pPr>
        <w:spacing w:after="120" w:before="0" w:line="264"/>
        <w:jc w:val="left"/>
      </w:pPr>
      <w:r>
        <w:rPr>
          <w:rFonts w:ascii="Calibri" w:cs="Calibri" w:eastAsia="Calibri" w:hAnsi="Calibri"/>
          <w:color w:val="262626"/>
          <w:sz w:val="21"/>
          <w:szCs w:val="21"/>
        </w:rPr>
        <w:t xml:space="preserve">All sources verified on 3 October 2026. Primary vendor documentation was preferred throughout; where a figure is not published by the vendor, this document says so rather than citing a secondary estimate.</w:t>
      </w:r>
    </w:p>
    <w:p>
      <w:pPr>
        <w:pStyle w:val="Heading3"/>
        <w:spacing w:after="90" w:before="200"/>
      </w:pPr>
      <w:r>
        <w:rPr>
          <w:rFonts w:ascii="Calibri" w:cs="Calibri" w:eastAsia="Calibri" w:hAnsi="Calibri"/>
          <w:b/>
          <w:bCs/>
          <w:color w:val="333333"/>
          <w:sz w:val="22"/>
          <w:szCs w:val="22"/>
        </w:rPr>
        <w:t xml:space="preserve">Microsoft — agents and extensibility</w:t>
      </w:r>
    </w:p>
    <w:p>
      <w:pPr>
        <w:pStyle w:val="ListParagraph"/>
        <w:numPr>
          <w:ilvl w:val="0"/>
          <w:numId w:val="3"/>
        </w:numPr>
        <w:spacing w:after="80" w:line="264"/>
      </w:pPr>
      <w:r>
        <w:rPr>
          <w:rFonts w:ascii="Calibri" w:cs="Calibri" w:eastAsia="Calibri" w:hAnsi="Calibri"/>
          <w:color w:val="262626"/>
          <w:sz w:val="21"/>
          <w:szCs w:val="21"/>
        </w:rPr>
        <w:t xml:space="preserve">Compare declarative and custom engine agents — learn.microsoft.com/microsoft-365/copilot/extensibility/agents-overview</w:t>
      </w:r>
    </w:p>
    <w:p>
      <w:pPr>
        <w:pStyle w:val="ListParagraph"/>
        <w:numPr>
          <w:ilvl w:val="0"/>
          <w:numId w:val="3"/>
        </w:numPr>
        <w:spacing w:after="80" w:line="264"/>
      </w:pPr>
      <w:r>
        <w:rPr>
          <w:rFonts w:ascii="Calibri" w:cs="Calibri" w:eastAsia="Calibri" w:hAnsi="Calibri"/>
          <w:color w:val="262626"/>
          <w:sz w:val="21"/>
          <w:szCs w:val="21"/>
        </w:rPr>
        <w:t xml:space="preserve">Choose the right tool to build a declarative agent — learn.microsoft.com/microsoft-365/copilot/extensibility/declarative-agent-tool-comparison</w:t>
      </w:r>
    </w:p>
    <w:p>
      <w:pPr>
        <w:pStyle w:val="ListParagraph"/>
        <w:numPr>
          <w:ilvl w:val="0"/>
          <w:numId w:val="3"/>
        </w:numPr>
        <w:spacing w:after="80" w:line="264"/>
      </w:pPr>
      <w:r>
        <w:rPr>
          <w:rFonts w:ascii="Calibri" w:cs="Calibri" w:eastAsia="Calibri" w:hAnsi="Calibri"/>
          <w:color w:val="262626"/>
          <w:sz w:val="21"/>
          <w:szCs w:val="21"/>
        </w:rPr>
        <w:t xml:space="preserve">Microsoft 365 Copilot extensibility overview — learn.microsoft.com/microsoft-365-copilot/extensibility/overview</w:t>
      </w:r>
    </w:p>
    <w:p>
      <w:pPr>
        <w:pStyle w:val="ListParagraph"/>
        <w:numPr>
          <w:ilvl w:val="0"/>
          <w:numId w:val="3"/>
        </w:numPr>
        <w:spacing w:after="80" w:line="264"/>
      </w:pPr>
      <w:r>
        <w:rPr>
          <w:rFonts w:ascii="Calibri" w:cs="Calibri" w:eastAsia="Calibri" w:hAnsi="Calibri"/>
          <w:color w:val="262626"/>
          <w:sz w:val="21"/>
          <w:szCs w:val="21"/>
        </w:rPr>
        <w:t xml:space="preserve">Declarative agent manifest schema 1.5 — learn.microsoft.com/microsoft-365-copilot/extensibility/declarative-agent-manifest-1.5</w:t>
      </w:r>
    </w:p>
    <w:p>
      <w:pPr>
        <w:pStyle w:val="ListParagraph"/>
        <w:numPr>
          <w:ilvl w:val="0"/>
          <w:numId w:val="3"/>
        </w:numPr>
        <w:spacing w:after="80" w:line="264"/>
      </w:pPr>
      <w:r>
        <w:rPr>
          <w:rFonts w:ascii="Calibri" w:cs="Calibri" w:eastAsia="Calibri" w:hAnsi="Calibri"/>
          <w:color w:val="262626"/>
          <w:sz w:val="21"/>
          <w:szCs w:val="21"/>
        </w:rPr>
        <w:t xml:space="preserve">Microsoft 365 Copilot architecture — learn.microsoft.com/copilot/microsoft-365/microsoft-365-copilot-architecture</w:t>
      </w:r>
    </w:p>
    <w:p>
      <w:pPr>
        <w:pStyle w:val="Heading3"/>
        <w:spacing w:after="90" w:before="200"/>
      </w:pPr>
      <w:r>
        <w:rPr>
          <w:rFonts w:ascii="Calibri" w:cs="Calibri" w:eastAsia="Calibri" w:hAnsi="Calibri"/>
          <w:b/>
          <w:bCs/>
          <w:color w:val="333333"/>
          <w:sz w:val="22"/>
          <w:szCs w:val="22"/>
        </w:rPr>
        <w:t xml:space="preserve">Microsoft — Copilot Studio limits and licensing</w:t>
      </w:r>
    </w:p>
    <w:p>
      <w:pPr>
        <w:pStyle w:val="ListParagraph"/>
        <w:numPr>
          <w:ilvl w:val="0"/>
          <w:numId w:val="3"/>
        </w:numPr>
        <w:spacing w:after="80" w:line="264"/>
      </w:pPr>
      <w:r>
        <w:rPr>
          <w:rFonts w:ascii="Calibri" w:cs="Calibri" w:eastAsia="Calibri" w:hAnsi="Calibri"/>
          <w:color w:val="262626"/>
          <w:sz w:val="21"/>
          <w:szCs w:val="21"/>
        </w:rPr>
        <w:t xml:space="preserve">Copilot Studio quotas and limits — learn.microsoft.com/microsoft-copilot-studio/requirements-quotas</w:t>
      </w:r>
    </w:p>
    <w:p>
      <w:pPr>
        <w:pStyle w:val="ListParagraph"/>
        <w:numPr>
          <w:ilvl w:val="0"/>
          <w:numId w:val="3"/>
        </w:numPr>
        <w:spacing w:after="80" w:line="264"/>
      </w:pPr>
      <w:r>
        <w:rPr>
          <w:rFonts w:ascii="Calibri" w:cs="Calibri" w:eastAsia="Calibri" w:hAnsi="Calibri"/>
          <w:color w:val="262626"/>
          <w:sz w:val="21"/>
          <w:szCs w:val="21"/>
        </w:rPr>
        <w:t xml:space="preserve">Copilot Studio billing and licensing — learn.microsoft.com/microsoft-copilot-studio/billing-licensing</w:t>
      </w:r>
    </w:p>
    <w:p>
      <w:pPr>
        <w:pStyle w:val="ListParagraph"/>
        <w:numPr>
          <w:ilvl w:val="0"/>
          <w:numId w:val="3"/>
        </w:numPr>
        <w:spacing w:after="80" w:line="264"/>
      </w:pPr>
      <w:r>
        <w:rPr>
          <w:rFonts w:ascii="Calibri" w:cs="Calibri" w:eastAsia="Calibri" w:hAnsi="Calibri"/>
          <w:color w:val="262626"/>
          <w:sz w:val="21"/>
          <w:szCs w:val="21"/>
        </w:rPr>
        <w:t xml:space="preserve">Plan agent deployments for throughput and rate limits — learn.microsoft.com/microsoft-copilot-studio/guidance/plan-agent-throughput-rate-limits</w:t>
      </w:r>
    </w:p>
    <w:p>
      <w:pPr>
        <w:pStyle w:val="ListParagraph"/>
        <w:numPr>
          <w:ilvl w:val="0"/>
          <w:numId w:val="3"/>
        </w:numPr>
        <w:spacing w:after="80" w:line="264"/>
      </w:pPr>
      <w:r>
        <w:rPr>
          <w:rFonts w:ascii="Calibri" w:cs="Calibri" w:eastAsia="Calibri" w:hAnsi="Calibri"/>
          <w:color w:val="262626"/>
          <w:sz w:val="21"/>
          <w:szCs w:val="21"/>
        </w:rPr>
        <w:t xml:space="preserve">Agent Usage Estimator — microsoft.github.io/copilot-studio-estimator</w:t>
      </w:r>
    </w:p>
    <w:p>
      <w:pPr>
        <w:pStyle w:val="Heading3"/>
        <w:spacing w:after="90" w:before="200"/>
      </w:pPr>
      <w:r>
        <w:rPr>
          <w:rFonts w:ascii="Calibri" w:cs="Calibri" w:eastAsia="Calibri" w:hAnsi="Calibri"/>
          <w:b/>
          <w:bCs/>
          <w:color w:val="333333"/>
          <w:sz w:val="22"/>
          <w:szCs w:val="22"/>
        </w:rPr>
        <w:t xml:space="preserve">Microsoft — pricing and announcements</w:t>
      </w:r>
    </w:p>
    <w:p>
      <w:pPr>
        <w:pStyle w:val="ListParagraph"/>
        <w:numPr>
          <w:ilvl w:val="0"/>
          <w:numId w:val="3"/>
        </w:numPr>
        <w:spacing w:after="80" w:line="264"/>
      </w:pPr>
      <w:r>
        <w:rPr>
          <w:rFonts w:ascii="Calibri" w:cs="Calibri" w:eastAsia="Calibri" w:hAnsi="Calibri"/>
          <w:color w:val="262626"/>
          <w:sz w:val="21"/>
          <w:szCs w:val="21"/>
        </w:rPr>
        <w:t xml:space="preserve">Microsoft 365 Copilot for enterprise — microsoft.com/microsoft-365/enterprise/copilot-for-microsoft-365</w:t>
      </w:r>
    </w:p>
    <w:p>
      <w:pPr>
        <w:pStyle w:val="ListParagraph"/>
        <w:numPr>
          <w:ilvl w:val="0"/>
          <w:numId w:val="3"/>
        </w:numPr>
        <w:spacing w:after="80" w:line="264"/>
      </w:pPr>
      <w:r>
        <w:rPr>
          <w:rFonts w:ascii="Calibri" w:cs="Calibri" w:eastAsia="Calibri" w:hAnsi="Calibri"/>
          <w:color w:val="262626"/>
          <w:sz w:val="21"/>
          <w:szCs w:val="21"/>
        </w:rPr>
        <w:t xml:space="preserve">Microsoft 365 Copilot for business — microsoft.com/microsoft-365/copilot/business</w:t>
      </w:r>
    </w:p>
    <w:p>
      <w:pPr>
        <w:pStyle w:val="ListParagraph"/>
        <w:numPr>
          <w:ilvl w:val="0"/>
          <w:numId w:val="3"/>
        </w:numPr>
        <w:spacing w:after="80" w:line="264"/>
      </w:pPr>
      <w:r>
        <w:rPr>
          <w:rFonts w:ascii="Calibri" w:cs="Calibri" w:eastAsia="Calibri" w:hAnsi="Calibri"/>
          <w:color w:val="262626"/>
          <w:sz w:val="21"/>
          <w:szCs w:val="21"/>
        </w:rPr>
        <w:t xml:space="preserve">Microsoft Ignite 2025 Book of News (Agent 365, Work IQ, Entra Agent ID) — news.microsoft.com/ignite-2025-book-of-news</w:t>
      </w:r>
    </w:p>
    <w:p>
      <w:pPr>
        <w:pStyle w:val="Heading3"/>
        <w:spacing w:after="90" w:before="200"/>
      </w:pPr>
      <w:r>
        <w:rPr>
          <w:rFonts w:ascii="Calibri" w:cs="Calibri" w:eastAsia="Calibri" w:hAnsi="Calibri"/>
          <w:b/>
          <w:bCs/>
          <w:color w:val="333333"/>
          <w:sz w:val="22"/>
          <w:szCs w:val="22"/>
        </w:rPr>
        <w:t xml:space="preserve">GitHub Copilot</w:t>
      </w:r>
    </w:p>
    <w:p>
      <w:pPr>
        <w:pStyle w:val="ListParagraph"/>
        <w:numPr>
          <w:ilvl w:val="0"/>
          <w:numId w:val="3"/>
        </w:numPr>
        <w:spacing w:after="80" w:line="264"/>
      </w:pPr>
      <w:r>
        <w:rPr>
          <w:rFonts w:ascii="Calibri" w:cs="Calibri" w:eastAsia="Calibri" w:hAnsi="Calibri"/>
          <w:color w:val="262626"/>
          <w:sz w:val="21"/>
          <w:szCs w:val="21"/>
        </w:rPr>
        <w:t xml:space="preserve">About custom agents — docs.github.com/copilot/concepts/agents/cloud-agent/about-custom-agents</w:t>
      </w:r>
    </w:p>
    <w:p>
      <w:pPr>
        <w:pStyle w:val="ListParagraph"/>
        <w:numPr>
          <w:ilvl w:val="0"/>
          <w:numId w:val="3"/>
        </w:numPr>
        <w:spacing w:after="80" w:line="264"/>
      </w:pPr>
      <w:r>
        <w:rPr>
          <w:rFonts w:ascii="Calibri" w:cs="Calibri" w:eastAsia="Calibri" w:hAnsi="Calibri"/>
          <w:color w:val="262626"/>
          <w:sz w:val="21"/>
          <w:szCs w:val="21"/>
        </w:rPr>
        <w:t xml:space="preserve">Adding agent skills for GitHub Copilot — docs.github.com/copilot/how-tos/copilot-on-github/customize-copilot/customize-cloud-agent/add-skills</w:t>
      </w:r>
    </w:p>
    <w:p>
      <w:pPr>
        <w:pStyle w:val="ListParagraph"/>
        <w:numPr>
          <w:ilvl w:val="0"/>
          <w:numId w:val="3"/>
        </w:numPr>
        <w:spacing w:after="80" w:line="264"/>
      </w:pPr>
      <w:r>
        <w:rPr>
          <w:rFonts w:ascii="Calibri" w:cs="Calibri" w:eastAsia="Calibri" w:hAnsi="Calibri"/>
          <w:color w:val="262626"/>
          <w:sz w:val="21"/>
          <w:szCs w:val="21"/>
        </w:rPr>
        <w:t xml:space="preserve">About the Copilot cloud agent — docs.github.com/copilot/concepts/agents/cloud-agent/about-cloud-agent</w:t>
      </w:r>
    </w:p>
    <w:p>
      <w:pPr>
        <w:pStyle w:val="ListParagraph"/>
        <w:numPr>
          <w:ilvl w:val="0"/>
          <w:numId w:val="3"/>
        </w:numPr>
        <w:spacing w:after="80" w:line="264"/>
      </w:pPr>
      <w:r>
        <w:rPr>
          <w:rFonts w:ascii="Calibri" w:cs="Calibri" w:eastAsia="Calibri" w:hAnsi="Calibri"/>
          <w:color w:val="262626"/>
          <w:sz w:val="21"/>
          <w:szCs w:val="21"/>
        </w:rPr>
        <w:t xml:space="preserve">Copilot individual plans — docs.github.com/copilot/concepts/billing/individual-plans</w:t>
      </w:r>
    </w:p>
    <w:p>
      <w:pPr>
        <w:pStyle w:val="ListParagraph"/>
        <w:numPr>
          <w:ilvl w:val="0"/>
          <w:numId w:val="3"/>
        </w:numPr>
        <w:spacing w:after="80" w:line="264"/>
      </w:pPr>
      <w:r>
        <w:rPr>
          <w:rFonts w:ascii="Calibri" w:cs="Calibri" w:eastAsia="Calibri" w:hAnsi="Calibri"/>
          <w:color w:val="262626"/>
          <w:sz w:val="21"/>
          <w:szCs w:val="21"/>
        </w:rPr>
        <w:t xml:space="preserve">Models and pricing for GitHub Copilot — docs.github.com/copilot/reference/copilot-billing/models-and-pricing</w:t>
      </w:r>
    </w:p>
    <w:p>
      <w:pPr>
        <w:pStyle w:val="ListParagraph"/>
        <w:numPr>
          <w:ilvl w:val="0"/>
          <w:numId w:val="3"/>
        </w:numPr>
        <w:spacing w:after="80" w:line="264"/>
      </w:pPr>
      <w:r>
        <w:rPr>
          <w:rFonts w:ascii="Calibri" w:cs="Calibri" w:eastAsia="Calibri" w:hAnsi="Calibri"/>
          <w:color w:val="262626"/>
          <w:sz w:val="21"/>
          <w:szCs w:val="21"/>
        </w:rPr>
        <w:t xml:space="preserve">Copilot requests (legacy premium requests) — docs.github.com/copilot/concepts/billing/copilot-requests</w:t>
      </w:r>
    </w:p>
    <w:p>
      <w:pPr>
        <w:pStyle w:val="ListParagraph"/>
        <w:numPr>
          <w:ilvl w:val="0"/>
          <w:numId w:val="3"/>
        </w:numPr>
        <w:spacing w:after="80" w:line="264"/>
      </w:pPr>
      <w:r>
        <w:rPr>
          <w:rFonts w:ascii="Calibri" w:cs="Calibri" w:eastAsia="Calibri" w:hAnsi="Calibri"/>
          <w:color w:val="262626"/>
          <w:sz w:val="21"/>
          <w:szCs w:val="21"/>
        </w:rPr>
        <w:t xml:space="preserve">GitHub Copilot is moving to usage-based billing — github.blog/news-insights/company-news/github-copilot-is-moving-to-usage-based-billing</w:t>
      </w:r>
    </w:p>
    <w:p>
      <w:pPr>
        <w:spacing w:after="200"/>
      </w:pPr>
      <w:r>
        <w:rPr>
          <w:rFonts w:ascii="Calibri" w:cs="Calibri" w:eastAsia="Calibri" w:hAnsi="Calibri"/>
          <w:color w:val="262626"/>
          <w:sz w:val="21"/>
          <w:szCs w:val="21"/>
        </w:rPr>
        <w:t xml:space="preserve"/>
      </w:r>
    </w:p>
    <w:tbl>
      <w:tblPr>
        <w:tblW w:type="dxa" w:w="10080"/>
        <w:tblBorders>
          <w:top w:val="none"/>
          <w:left w:val="single" w:color="BF8F00" w:sz="24"/>
          <w:bottom w:val="none"/>
          <w:right w:val="none"/>
          <w:insideH w:val="none"/>
          <w:insideV w:val="none"/>
        </w:tblBorders>
      </w:tblPr>
      <w:tblGrid>
        <w:gridCol w:w="10080"/>
      </w:tblGrid>
      <w:tr>
        <w:tc>
          <w:tcPr>
            <w:tcW w:type="dxa" w:w="10080"/>
            <w:shd w:fill="FFF8E7" w:val="clear"/>
            <w:tcMar>
              <w:top w:type="dxa" w:w="140"/>
              <w:left w:type="dxa" w:w="200"/>
              <w:bottom w:type="dxa" w:w="140"/>
              <w:right w:type="dxa" w:w="200"/>
            </w:tcMar>
          </w:tcPr>
          <w:p>
            <w:pPr>
              <w:spacing w:after="0" w:line="264"/>
            </w:pPr>
            <w:r>
              <w:rPr>
                <w:rFonts w:ascii="Calibri" w:cs="Calibri" w:eastAsia="Calibri" w:hAnsi="Calibri"/>
                <w:b/>
                <w:bCs/>
                <w:color w:val="BF8F00"/>
                <w:sz w:val="21"/>
                <w:szCs w:val="21"/>
              </w:rPr>
              <w:t xml:space="preserve">Maintenance note.  </w:t>
            </w:r>
            <w:r>
              <w:rPr>
                <w:rFonts w:ascii="Calibri" w:cs="Calibri" w:eastAsia="Calibri" w:hAnsi="Calibri"/>
                <w:color w:val="262626"/>
                <w:sz w:val="21"/>
                <w:szCs w:val="21"/>
              </w:rPr>
              <w:t xml:space="preserve">This document has a shelf life of roughly one quarter. The fastest-moving items are GitHub Copilot billing and model availability, Copilot Studio credit mechanics, and the Agent 365 feature set. Re-verify Sections 9 and 11 before reusing any figure in a business case.</w:t>
            </w:r>
          </w:p>
        </w:tc>
      </w:tr>
    </w:tbl>
    <w:sectPr>
      <w:headerReference w:type="default" r:id="rId7"/>
      <w:headerReference w:type="first" r:id="rId8"/>
      <w:footerReference w:type="default" r:id="rId9"/>
      <w:footerReference w:type="first" r:id="rId10"/>
      <w:pgSz w:w="12240" w:h="15840" w:orient="portrait"/>
      <w:pgMar w:top="1080" w:right="1080" w:bottom="1080" w:left="1080" w:header="6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pPr>
    <w:r>
      <w:rPr>
        <w:rFonts w:ascii="Calibri" w:cs="Calibri" w:eastAsia="Calibri" w:hAnsi="Calibri"/>
        <w:color w:val="262626"/>
        <w:sz w:val="21"/>
        <w:szCs w:val="21"/>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spacing w:after="0"/>
    </w:pPr>
    <w:r>
      <w:rPr>
        <w:rFonts w:ascii="Calibri" w:cs="Calibri" w:eastAsia="Calibri" w:hAnsi="Calibri"/>
        <w:color w:val="595959"/>
        <w:sz w:val="16"/>
        <w:szCs w:val="16"/>
      </w:rPr>
      <w:t xml:space="preserve">AI Agent Frameworks — Decision Brief</w:t>
    </w:r>
    <w:r>
      <w:ptab w:alignment="right" w:relativeTo="margin" w:leader="none"/>
    </w:r>
    <w:r>
      <w:rPr>
        <w:rFonts w:ascii="Calibri" w:cs="Calibri" w:eastAsia="Calibri" w:hAnsi="Calibri"/>
        <w:color w:val="595959"/>
        <w:sz w:val="16"/>
        <w:szCs w:val="16"/>
      </w:rPr>
      <w:t xml:space="preserve">PLYXZY Solutions · 3 October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Calibri" w:cs="Calibri" w:eastAsia="Calibri" w:hAnsi="Calibri"/>
        <w:color w:val="262626"/>
        <w:sz w:val="21"/>
        <w:szCs w:val="21"/>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bullet"/>
      <w:lvlText w:val="•"/>
      <w:lvlJc w:val="left"/>
      <w:pPr>
        <w:ind w:left="220" w:hanging="180"/>
      </w:pPr>
    </w:lvl>
  </w:abstractNum>
  <w:abstractNum w:abstractNumId="4"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4"/>
    <w:lvlOverride w:ilvl="0">
      <w:startOverride w:val="1"/>
    </w:lvlOverride>
  </w:num>
  <w:num w:numId="5">
    <w:abstractNumId w:val="4"/>
    <w:lvlOverride w:ilvl="0">
      <w:startOverride w:val="1"/>
    </w:lvlOverride>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pPr>
        <w:spacing w:after="12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2E75B6"/>
      <w:sz w:val="25"/>
      <w:szCs w:val="25"/>
    </w:rPr>
  </w:style>
  <w:style w:type="paragraph" w:styleId="Heading3">
    <w:name w:val="Heading 3"/>
    <w:basedOn w:val="Normal"/>
    <w:next w:val="Normal"/>
    <w:qFormat/>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2d0e227cbf6ab0f838fbce94b94539da64e4e98d.png"/><Relationship Id="rId12" Type="http://schemas.openxmlformats.org/officeDocument/2006/relationships/image" Target="media/b2c1225a42bef67df22d25b0191d8e25bd1e63e9.png"/><Relationship Id="rId13" Type="http://schemas.openxmlformats.org/officeDocument/2006/relationships/image" Target="media/9ca0817ea19e524b798c1e3e0ec814f3dfda9807.png"/><Relationship Id="rId14" Type="http://schemas.openxmlformats.org/officeDocument/2006/relationships/image" Target="media/a69fdbc0a6d626f124e1ef6db8c86eb8d2f8498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Agent Frameworks: When to Build Custom, When to Use Copilot</dc:title>
  <dc:creator>Sunkkalp Kataria</dc:creator>
  <dc:description>Decision framework for Microsoft 365 Copilot, declarative and custom engine agents, Copilot Studio and GitHub Copilot agents and skills.</dc:description>
  <cp:lastModifiedBy>Un-named</cp:lastModifiedBy>
  <cp:revision>1</cp:revision>
  <dcterms:created xsi:type="dcterms:W3CDTF">2026-10-03T11:02:01.454Z</dcterms:created>
  <dcterms:modified xsi:type="dcterms:W3CDTF">2026-10-03T11:02:01.454Z</dcterms:modified>
</cp:coreProperties>
</file>

<file path=docProps/custom.xml><?xml version="1.0" encoding="utf-8"?>
<Properties xmlns="http://schemas.openxmlformats.org/officeDocument/2006/custom-properties" xmlns:vt="http://schemas.openxmlformats.org/officeDocument/2006/docPropsVTypes"/>
</file>